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2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8-K/A</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January 17, 2017</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TechnipFMC plc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179" w:right="359" w:bottom="1440" w:gutter="0" w:footer="0" w:header="0"/>
        </w:sectPr>
      </w:pPr>
    </w:p>
    <w:p>
      <w:pPr>
        <w:spacing w:after="0" w:line="367" w:lineRule="exact"/>
        <w:rPr>
          <w:sz w:val="24"/>
          <w:szCs w:val="24"/>
          <w:color w:val="auto"/>
        </w:rPr>
      </w:pPr>
    </w:p>
    <w:p>
      <w:pPr>
        <w:ind w:left="11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001-37983</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98-1283037</w:t>
      </w:r>
    </w:p>
    <w:p>
      <w:pPr>
        <w:spacing w:after="0" w:line="153" w:lineRule="exact"/>
        <w:rPr>
          <w:sz w:val="24"/>
          <w:szCs w:val="24"/>
          <w:color w:val="auto"/>
        </w:rPr>
      </w:pPr>
    </w:p>
    <w:p>
      <w:pPr>
        <w:sectPr>
          <w:pgSz w:w="11900" w:h="16838" w:orient="portrait"/>
          <w:cols w:equalWidth="0" w:num="3">
            <w:col w:w="4620" w:space="720"/>
            <w:col w:w="3100" w:space="720"/>
            <w:col w:w="2140"/>
          </w:cols>
          <w:pgMar w:left="240" w:top="1179" w:right="359" w:bottom="1440" w:gutter="0" w:footer="0" w:header="0"/>
          <w:type w:val="continuous"/>
        </w:sectPr>
      </w:pPr>
    </w:p>
    <w:p>
      <w:pPr>
        <w:ind w:left="58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20" w:space="720"/>
            <w:col w:w="2900" w:space="720"/>
            <w:col w:w="2740"/>
          </w:cols>
          <w:pgMar w:left="240" w:top="1179" w:right="359" w:bottom="1440" w:gutter="0" w:footer="0" w:header="0"/>
          <w:type w:val="continuous"/>
        </w:sectPr>
      </w:pP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One St. Paul’s Churchyard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London, EC4M 8AP</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United Kingdom</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(Address of principal executive offices)</w:t>
      </w:r>
    </w:p>
    <w:p>
      <w:pPr>
        <w:spacing w:after="0" w:line="17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+44 203429-3950</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(Registrant's telephone number, including area code)</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2"/>
          <w:szCs w:val="12"/>
          <w:color w:val="auto"/>
        </w:rPr>
        <w:t>(Former name or former address, if changed since last report)</w:t>
      </w:r>
    </w:p>
    <w:p>
      <w:pPr>
        <w:sectPr>
          <w:pgSz w:w="11900" w:h="16838" w:orient="portrait"/>
          <w:cols w:equalWidth="0" w:num="1">
            <w:col w:w="11300"/>
          </w:cols>
          <w:pgMar w:left="240" w:top="1179" w:right="359" w:bottom="1440" w:gutter="0" w:footer="0" w:header="0"/>
          <w:type w:val="continuous"/>
        </w:sectPr>
      </w:pPr>
    </w:p>
    <w:p>
      <w:pPr>
        <w:spacing w:after="0" w:line="23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186690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100330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00"/>
          </w:cols>
          <w:pgMar w:left="240" w:top="117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As previously reported on a Current Report on Form 8-K originally filed by TechnipFMC plc (the “Company” or “TechnipFMC”) on January 17, 2017 (the "Original Form 8-K"), pursuant to the terms of the Business Combination Agreement, dated as of June 14, 2016 (as amended, the “Business Combination Agreement”), providing for a business combination (the "Transaction") among FMC Technologies, Inc., a Delaware corporation (“FMCTI”), Technip S.A., a French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(“Technip”), and the Company, (i) Technip merged with and into the Company, with the Company surviving the merger, and immediately thereafter, (ii) a wholly-owned indirect subsidiary of the Company merged with and into FMCTI, with FMCTI surviving as a wholly-owned subsidiary of the Company.</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amendment to the Original Form 8-K is being filed by TechnipFMC solely for the purpose of amending and supplementing Item 9.01 of the Original Form 8-K to present (i) audited consolidated financial statements of FMCTI, which are filed as an exhibit hereto, (ii) unaudited pro forma condensed combined financial information of TechnipFMC in connection with the Transaction, which is filed as an exhibit hereto and (iii) audited consolidated financial statements of Technip, which are filed as an exhibit hereto.</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Conditions</w:t>
      </w:r>
    </w:p>
    <w:p>
      <w:pPr>
        <w:spacing w:after="0" w:line="22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On February 24, 2017, the Company released unaudited pro forma condensed combined financial information as of and for the year ended December 31, 2016, a copy of which is filed as Exhibit 99.2 to this Current Report on Form 8-K and is incorporated herein by reference.</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 Financial statements of businesses acquired.</w:t>
      </w:r>
    </w:p>
    <w:p>
      <w:pPr>
        <w:spacing w:after="0" w:line="190"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Audited consolidated financial statements of FMCTI as of December 31, 2016 and 2015 and for the three-year period ended December 31, 2016, together with the related notes to the financial statements, are attached hereto and filed as Exhibit 99.1.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(b) Pro forma financial information.</w:t>
      </w:r>
    </w:p>
    <w:p>
      <w:pPr>
        <w:spacing w:after="0" w:line="190"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Unaudited pro forma condensed combined financial information of TechnipFMC as of and for the year ended December 31, 2016, together with the related notes to the financial information, are attached hereto and filed as Exhibit 99.2.</w:t>
      </w:r>
    </w:p>
    <w:p>
      <w:pPr>
        <w:sectPr>
          <w:pgSz w:w="11900" w:h="16838" w:orient="portrait"/>
          <w:cols w:equalWidth="0" w:num="1">
            <w:col w:w="11420"/>
          </w:cols>
          <w:pgMar w:left="240" w:top="580" w:right="23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(d) Exhibits.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Description</w:t>
      </w:r>
    </w:p>
    <w:p>
      <w:pPr>
        <w:spacing w:after="0" w:line="211" w:lineRule="exact"/>
        <w:rPr>
          <w:sz w:val="20"/>
          <w:szCs w:val="20"/>
          <w:color w:val="auto"/>
        </w:rPr>
      </w:pPr>
    </w:p>
    <w:p>
      <w:pPr>
        <w:sectPr>
          <w:pgSz w:w="11900" w:h="16838" w:orient="portrait"/>
          <w:cols w:equalWidth="0" w:num="2">
            <w:col w:w="820" w:space="480"/>
            <w:col w:w="10120"/>
          </w:cols>
          <w:pgMar w:left="240" w:top="580" w:right="239" w:bottom="1440" w:gutter="0" w:footer="0" w:header="0"/>
          <w:type w:val="continuous"/>
        </w:sectPr>
      </w:pP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in the Exhibit Index following the signature page hereto is incorporated herein by reference.</w:t>
      </w:r>
    </w:p>
    <w:p>
      <w:pPr>
        <w:sectPr>
          <w:pgSz w:w="11900" w:h="16838" w:orient="portrait"/>
          <w:cols w:equalWidth="0" w:num="1">
            <w:col w:w="11420"/>
          </w:cols>
          <w:pgMar w:left="240" w:top="580"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31750</wp:posOffset>
            </wp:positionV>
            <wp:extent cx="3378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Dated: February 24, 2017</w:t>
      </w:r>
      <w:r>
        <w:rPr>
          <w:sz w:val="20"/>
          <w:szCs w:val="20"/>
          <w:color w:val="auto"/>
        </w:rPr>
        <w:tab/>
      </w:r>
      <w:r>
        <w:rPr>
          <w:rFonts w:ascii="Arial" w:cs="Arial" w:eastAsia="Arial" w:hAnsi="Arial"/>
          <w:sz w:val="16"/>
          <w:szCs w:val="16"/>
          <w:color w:val="auto"/>
        </w:rPr>
        <w:t>Name: Maryann T. Mannen</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36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30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10120" w:type="dxa"/>
            <w:vAlign w:val="bottom"/>
            <w:gridSpan w:val="2"/>
          </w:tcPr>
          <w:p>
            <w:pPr>
              <w:spacing w:after="0"/>
              <w:rPr>
                <w:sz w:val="20"/>
                <w:szCs w:val="20"/>
                <w:color w:val="auto"/>
              </w:rPr>
            </w:pPr>
            <w:r>
              <w:rPr>
                <w:rFonts w:ascii="Arial" w:cs="Arial" w:eastAsia="Arial" w:hAnsi="Arial"/>
                <w:sz w:val="16"/>
                <w:szCs w:val="16"/>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425"/>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4"/>
              </w:rPr>
              <w:t>Audited consolidated financial statements of FMC Technologies, Inc. as of December 31, 2016 and 2015 and for the three-year period</w:t>
            </w:r>
          </w:p>
        </w:tc>
      </w:tr>
      <w:tr>
        <w:trPr>
          <w:trHeight w:val="230"/>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ended December 31, 2016.</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7"/>
              </w:rPr>
              <w:t>Unaudited pro forma condensed combined financial information of TechnipFMC as of and for the year ended December 31, 2016.</w:t>
            </w: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99.3</w:t>
            </w:r>
          </w:p>
        </w:tc>
        <w:tc>
          <w:tcPr>
            <w:tcW w:w="540" w:type="dxa"/>
            <w:vAlign w:val="bottom"/>
          </w:tcPr>
          <w:p>
            <w:pPr>
              <w:spacing w:after="0"/>
              <w:rPr>
                <w:sz w:val="24"/>
                <w:szCs w:val="24"/>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w w:val="93"/>
              </w:rPr>
              <w:t>Audited consolidated financial statements of Technip S.A. as of December 31, 2016, 2015 and 2014 and for the three-year period ended</w:t>
            </w:r>
          </w:p>
        </w:tc>
      </w:tr>
      <w:tr>
        <w:trPr>
          <w:trHeight w:val="230"/>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December 31, 2016.</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FMC TECHNOLOGIES, INC. AND CONSOLIDATED SUBSIDIARIES</w:t>
      </w:r>
    </w:p>
    <w:p>
      <w:pPr>
        <w:spacing w:after="0" w:line="200" w:lineRule="exact"/>
        <w:rPr>
          <w:sz w:val="20"/>
          <w:szCs w:val="20"/>
          <w:color w:val="auto"/>
        </w:rPr>
      </w:pPr>
    </w:p>
    <w:p>
      <w:pPr>
        <w:spacing w:after="0" w:line="24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25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58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6680" w:type="dxa"/>
            <w:vAlign w:val="bottom"/>
            <w:gridSpan w:val="2"/>
          </w:tcPr>
          <w:p>
            <w:pPr>
              <w:jc w:val="center"/>
              <w:ind w:right="4650"/>
              <w:spacing w:after="0"/>
              <w:rPr>
                <w:sz w:val="20"/>
                <w:szCs w:val="20"/>
                <w:color w:val="auto"/>
              </w:rPr>
            </w:pPr>
            <w:r>
              <w:rPr>
                <w:rFonts w:ascii="Arial" w:cs="Arial" w:eastAsia="Arial" w:hAnsi="Arial"/>
                <w:sz w:val="18"/>
                <w:szCs w:val="18"/>
                <w:b w:val="1"/>
                <w:bCs w:val="1"/>
                <w:color w:val="auto"/>
                <w:w w:val="98"/>
              </w:rPr>
              <w:t>CONTENTS</w:t>
            </w:r>
          </w:p>
        </w:tc>
      </w:tr>
      <w:tr>
        <w:trPr>
          <w:trHeight w:val="567"/>
        </w:trPr>
        <w:tc>
          <w:tcPr>
            <w:tcW w:w="47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0"/>
              </w:rPr>
              <w:t>Page</w:t>
            </w:r>
          </w:p>
        </w:tc>
      </w:tr>
      <w:tr>
        <w:trPr>
          <w:trHeight w:val="27"/>
        </w:trPr>
        <w:tc>
          <w:tcPr>
            <w:tcW w:w="470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66"/>
        </w:trPr>
        <w:tc>
          <w:tcPr>
            <w:tcW w:w="47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6680" w:type="dxa"/>
            <w:vAlign w:val="bottom"/>
            <w:gridSpan w:val="2"/>
          </w:tcPr>
          <w:p>
            <w:pPr>
              <w:jc w:val="center"/>
              <w:ind w:left="5450"/>
              <w:spacing w:after="0"/>
              <w:rPr>
                <w:sz w:val="20"/>
                <w:szCs w:val="20"/>
                <w:color w:val="auto"/>
              </w:rPr>
            </w:pPr>
            <w:r>
              <w:rPr>
                <w:rFonts w:ascii="Arial" w:cs="Arial" w:eastAsia="Arial" w:hAnsi="Arial"/>
                <w:sz w:val="18"/>
                <w:szCs w:val="18"/>
                <w:color w:val="auto"/>
                <w:w w:val="99"/>
              </w:rPr>
              <w:t>3</w:t>
            </w:r>
          </w:p>
        </w:tc>
      </w:tr>
      <w:tr>
        <w:trPr>
          <w:trHeight w:val="500"/>
        </w:trPr>
        <w:tc>
          <w:tcPr>
            <w:tcW w:w="470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5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00"/>
        </w:trPr>
        <w:tc>
          <w:tcPr>
            <w:tcW w:w="470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6680" w:type="dxa"/>
            <w:vAlign w:val="bottom"/>
            <w:gridSpan w:val="2"/>
          </w:tcPr>
          <w:p>
            <w:pPr>
              <w:jc w:val="center"/>
              <w:ind w:left="5450"/>
              <w:spacing w:after="0"/>
              <w:rPr>
                <w:sz w:val="20"/>
                <w:szCs w:val="20"/>
                <w:color w:val="auto"/>
              </w:rPr>
            </w:pPr>
            <w:r>
              <w:rPr>
                <w:rFonts w:ascii="Arial" w:cs="Arial" w:eastAsia="Arial" w:hAnsi="Arial"/>
                <w:sz w:val="18"/>
                <w:szCs w:val="18"/>
                <w:color w:val="auto"/>
                <w:w w:val="99"/>
              </w:rPr>
              <w:t>4</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6680" w:type="dxa"/>
            <w:vAlign w:val="bottom"/>
            <w:gridSpan w:val="2"/>
          </w:tcPr>
          <w:p>
            <w:pPr>
              <w:jc w:val="center"/>
              <w:ind w:left="5450"/>
              <w:spacing w:after="0"/>
              <w:rPr>
                <w:sz w:val="20"/>
                <w:szCs w:val="20"/>
                <w:color w:val="auto"/>
              </w:rPr>
            </w:pPr>
            <w:r>
              <w:rPr>
                <w:rFonts w:ascii="Arial" w:cs="Arial" w:eastAsia="Arial" w:hAnsi="Arial"/>
                <w:sz w:val="18"/>
                <w:szCs w:val="18"/>
                <w:color w:val="auto"/>
                <w:w w:val="99"/>
              </w:rPr>
              <w:t>5</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6680" w:type="dxa"/>
            <w:vAlign w:val="bottom"/>
            <w:gridSpan w:val="2"/>
          </w:tcPr>
          <w:p>
            <w:pPr>
              <w:jc w:val="center"/>
              <w:ind w:left="5450"/>
              <w:spacing w:after="0"/>
              <w:rPr>
                <w:sz w:val="20"/>
                <w:szCs w:val="20"/>
                <w:color w:val="auto"/>
              </w:rPr>
            </w:pPr>
            <w:r>
              <w:rPr>
                <w:rFonts w:ascii="Arial" w:cs="Arial" w:eastAsia="Arial" w:hAnsi="Arial"/>
                <w:sz w:val="18"/>
                <w:szCs w:val="18"/>
                <w:color w:val="auto"/>
                <w:w w:val="99"/>
              </w:rPr>
              <w:t>6</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6680" w:type="dxa"/>
            <w:vAlign w:val="bottom"/>
            <w:gridSpan w:val="2"/>
          </w:tcPr>
          <w:p>
            <w:pPr>
              <w:jc w:val="center"/>
              <w:ind w:left="5450"/>
              <w:spacing w:after="0"/>
              <w:rPr>
                <w:sz w:val="20"/>
                <w:szCs w:val="20"/>
                <w:color w:val="auto"/>
              </w:rPr>
            </w:pPr>
            <w:r>
              <w:rPr>
                <w:rFonts w:ascii="Arial" w:cs="Arial" w:eastAsia="Arial" w:hAnsi="Arial"/>
                <w:sz w:val="18"/>
                <w:szCs w:val="18"/>
                <w:color w:val="auto"/>
                <w:w w:val="99"/>
              </w:rPr>
              <w:t>7</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Consolidated Statements of Stockholders’ Equity</w:t>
            </w:r>
          </w:p>
        </w:tc>
        <w:tc>
          <w:tcPr>
            <w:tcW w:w="6680" w:type="dxa"/>
            <w:vAlign w:val="bottom"/>
            <w:gridSpan w:val="2"/>
          </w:tcPr>
          <w:p>
            <w:pPr>
              <w:jc w:val="center"/>
              <w:ind w:left="5450"/>
              <w:spacing w:after="0"/>
              <w:rPr>
                <w:sz w:val="20"/>
                <w:szCs w:val="20"/>
                <w:color w:val="auto"/>
              </w:rPr>
            </w:pPr>
            <w:r>
              <w:rPr>
                <w:rFonts w:ascii="Arial" w:cs="Arial" w:eastAsia="Arial" w:hAnsi="Arial"/>
                <w:sz w:val="18"/>
                <w:szCs w:val="18"/>
                <w:color w:val="auto"/>
                <w:w w:val="99"/>
              </w:rPr>
              <w:t>8</w:t>
            </w:r>
          </w:p>
        </w:tc>
      </w:tr>
      <w:tr>
        <w:trPr>
          <w:trHeight w:val="270"/>
        </w:trPr>
        <w:tc>
          <w:tcPr>
            <w:tcW w:w="47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680" w:type="dxa"/>
            <w:vAlign w:val="bottom"/>
            <w:gridSpan w:val="2"/>
          </w:tcPr>
          <w:p>
            <w:pPr>
              <w:jc w:val="center"/>
              <w:ind w:left="5450"/>
              <w:spacing w:after="0"/>
              <w:rPr>
                <w:sz w:val="20"/>
                <w:szCs w:val="20"/>
                <w:color w:val="auto"/>
              </w:rPr>
            </w:pPr>
            <w:r>
              <w:rPr>
                <w:rFonts w:ascii="Arial" w:cs="Arial" w:eastAsia="Arial" w:hAnsi="Arial"/>
                <w:sz w:val="18"/>
                <w:szCs w:val="18"/>
                <w:color w:val="auto"/>
                <w:w w:val="99"/>
              </w:rPr>
              <w:t>9</w:t>
            </w:r>
          </w:p>
        </w:tc>
      </w:tr>
      <w:tr>
        <w:trPr>
          <w:trHeight w:val="891"/>
        </w:trPr>
        <w:tc>
          <w:tcPr>
            <w:tcW w:w="4700" w:type="dxa"/>
            <w:vAlign w:val="bottom"/>
          </w:tcPr>
          <w:p>
            <w:pPr>
              <w:spacing w:after="0"/>
              <w:rPr>
                <w:sz w:val="24"/>
                <w:szCs w:val="24"/>
                <w:color w:val="auto"/>
              </w:rPr>
            </w:pPr>
          </w:p>
        </w:tc>
        <w:tc>
          <w:tcPr>
            <w:tcW w:w="5540" w:type="dxa"/>
            <w:vAlign w:val="bottom"/>
          </w:tcPr>
          <w:p>
            <w:pPr>
              <w:jc w:val="right"/>
              <w:ind w:right="443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FMC Technologies, Inc.:</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audited the accompanying consolidated balance sheets of FMC Technologies, Inc. and its subsidiaries as of December 31, 2016 and 2015, and the related consolidated statements of income, comprehensive income, cash flows, and changes in stockholders’ equity for each of the years in the three-year period ended December 31, 2016. These consolidated financial statements are the responsibility of the Company’s management. Our responsibility is to express an opinion on these consolidated financial statements based on our audits.</w:t>
      </w:r>
    </w:p>
    <w:p>
      <w:pPr>
        <w:spacing w:after="0" w:line="13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conducted our audits in accordance with the auditing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FMC Technologies, Inc. and its subsidiaries as of December 31, 2016 and 2015, and the results of their operations and their cash flows for each of the years in the three-year period ended December 31, 2016, in conformity with U.S. generally accepted accounting principles.</w:t>
      </w:r>
    </w:p>
    <w:p>
      <w:pPr>
        <w:spacing w:after="0" w:line="200" w:lineRule="exact"/>
        <w:rPr>
          <w:sz w:val="20"/>
          <w:szCs w:val="20"/>
          <w:color w:val="auto"/>
        </w:rPr>
      </w:pPr>
    </w:p>
    <w:p>
      <w:pPr>
        <w:spacing w:after="0" w:line="30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KPMG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580"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FMC TECHNOLOGIES, INC. AND CONSOLIDATED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3,598.2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5,084.5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6,335.7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Lease and other income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330.4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4,855.1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Cost of service revenue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925.0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lease and other revenue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581.7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750.6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Restructuring and impairment expense (Note 5)</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Merger transaction and integration costs (Note 2)</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4,362.0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5,770.6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6,874.1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disposition of business, net (Note 6)</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interest income, interest expense and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 (Note 15)</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705.3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income taxes (Note 6)</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705.3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FMC Technologies, Inc.</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699.9</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 attributable to FMC Technologies, Inc. (Note 4):</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 attributable to FMC Technologies, Inc. (Note 4):</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2.95</w:t>
            </w: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shares outstanding (Note 4):</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236.3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231.7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236.9</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FMC TECHNOLOGIES, INC. AND CONSOLIDATED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37.0</w:t>
            </w:r>
          </w:p>
        </w:tc>
        <w:tc>
          <w:tcPr>
            <w:tcW w:w="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394.8</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705.3</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48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 xml:space="preserve">Foreign currency translation adjustments </w:t>
            </w:r>
            <w:r>
              <w:rPr>
                <w:rFonts w:ascii="Arial" w:cs="Arial" w:eastAsia="Arial" w:hAnsi="Arial"/>
                <w:sz w:val="8"/>
                <w:szCs w:val="8"/>
                <w:color w:val="auto"/>
              </w:rPr>
              <w:t>(1)</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Net gains (losses) on hedging instruments: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losses arising during the period</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Reclassification adjustment for net losses (gains) included in net income</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 xml:space="preserve">Net gains (losses) on hedging instruments </w:t>
            </w:r>
            <w:r>
              <w:rPr>
                <w:rFonts w:ascii="Arial" w:cs="Arial" w:eastAsia="Arial" w:hAnsi="Arial"/>
                <w:sz w:val="8"/>
                <w:szCs w:val="8"/>
                <w:color w:val="auto"/>
              </w:rPr>
              <w:t>(2)</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380"/>
              <w:spacing w:after="0"/>
              <w:rPr>
                <w:sz w:val="20"/>
                <w:szCs w:val="20"/>
                <w:color w:val="auto"/>
              </w:rPr>
            </w:pPr>
            <w:r>
              <w:rPr>
                <w:rFonts w:ascii="Arial" w:cs="Arial" w:eastAsia="Arial" w:hAnsi="Arial"/>
                <w:sz w:val="14"/>
                <w:szCs w:val="14"/>
                <w:color w:val="auto"/>
              </w:rPr>
              <w:t>Pension and other post-retirement benefits: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actuarial loss arising during the period</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Prior service credit (cost) arising during the period</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Reclassification adjustment for settlement and curtailment losses, net included in net income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Reclassification adjustment for amortization of prior service cost included in net income</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Reclassification adjustment for amortization of net actuarial loss included in net income</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720"/>
              <w:spacing w:after="0"/>
              <w:rPr>
                <w:sz w:val="20"/>
                <w:szCs w:val="20"/>
                <w:color w:val="auto"/>
              </w:rPr>
            </w:pPr>
            <w:r>
              <w:rPr>
                <w:rFonts w:ascii="Arial" w:cs="Arial" w:eastAsia="Arial" w:hAnsi="Arial"/>
                <w:sz w:val="14"/>
                <w:szCs w:val="14"/>
                <w:color w:val="auto"/>
              </w:rPr>
              <w:t>Reclassification adjustment for amortization of transition obligation (asset) included in net income</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 xml:space="preserve">Net pension and other post-retirement benefits </w:t>
            </w:r>
            <w:r>
              <w:rPr>
                <w:rFonts w:ascii="Arial" w:cs="Arial" w:eastAsia="Arial" w:hAnsi="Arial"/>
                <w:sz w:val="8"/>
                <w:szCs w:val="8"/>
                <w:color w:val="auto"/>
              </w:rPr>
              <w:t>(3)</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36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(189.0)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(343.0)</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205.8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362.3</w:t>
            </w:r>
          </w:p>
        </w:tc>
        <w:tc>
          <w:tcPr>
            <w:tcW w:w="0" w:type="dxa"/>
            <w:vAlign w:val="bottom"/>
          </w:tcPr>
          <w:p>
            <w:pPr>
              <w:spacing w:after="0"/>
              <w:rPr>
                <w:sz w:val="1"/>
                <w:szCs w:val="1"/>
                <w:color w:val="auto"/>
              </w:rPr>
            </w:pPr>
          </w:p>
        </w:tc>
      </w:tr>
      <w:tr>
        <w:trPr>
          <w:trHeight w:val="80"/>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740" w:type="dxa"/>
            <w:vAlign w:val="bottom"/>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74"/>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FMC Technologies, Inc.</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101.4</w:t>
            </w:r>
          </w:p>
        </w:tc>
        <w:tc>
          <w:tcPr>
            <w:tcW w:w="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204.1</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356.9</w:t>
            </w: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480" w:type="dxa"/>
            <w:vAlign w:val="bottom"/>
            <w:gridSpan w:val="2"/>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w:t>
      </w:r>
    </w:p>
    <w:p>
      <w:pPr>
        <w:spacing w:after="0" w:line="98" w:lineRule="exact"/>
        <w:rPr>
          <w:sz w:val="20"/>
          <w:szCs w:val="20"/>
          <w:color w:val="auto"/>
        </w:rPr>
      </w:pPr>
    </w:p>
    <w:p>
      <w:pPr>
        <w:ind w:left="660" w:hanging="652"/>
        <w:spacing w:after="0"/>
        <w:tabs>
          <w:tab w:leader="none" w:pos="660" w:val="left"/>
        </w:tabs>
        <w:numPr>
          <w:ilvl w:val="0"/>
          <w:numId w:val="1"/>
        </w:numPr>
        <w:rPr>
          <w:rFonts w:ascii="Arial" w:cs="Arial" w:eastAsia="Arial" w:hAnsi="Arial"/>
          <w:sz w:val="9"/>
          <w:szCs w:val="9"/>
          <w:color w:val="auto"/>
        </w:rPr>
      </w:pPr>
      <w:r>
        <w:rPr>
          <w:rFonts w:ascii="Arial" w:cs="Arial" w:eastAsia="Arial" w:hAnsi="Arial"/>
          <w:sz w:val="14"/>
          <w:szCs w:val="14"/>
          <w:color w:val="auto"/>
        </w:rPr>
        <w:t>Net of income tax (expense) benefit of $5.4, $7.9 and $7.2 for the years ended December 31, 2016, 2015 and 2014, respectively.</w:t>
      </w:r>
    </w:p>
    <w:p>
      <w:pPr>
        <w:spacing w:after="0" w:line="13" w:lineRule="exact"/>
        <w:rPr>
          <w:rFonts w:ascii="Arial" w:cs="Arial" w:eastAsia="Arial" w:hAnsi="Arial"/>
          <w:sz w:val="9"/>
          <w:szCs w:val="9"/>
          <w:color w:val="auto"/>
        </w:rPr>
      </w:pPr>
    </w:p>
    <w:p>
      <w:pPr>
        <w:ind w:left="660" w:hanging="652"/>
        <w:spacing w:after="0"/>
        <w:tabs>
          <w:tab w:leader="none" w:pos="660" w:val="left"/>
        </w:tabs>
        <w:numPr>
          <w:ilvl w:val="0"/>
          <w:numId w:val="1"/>
        </w:numPr>
        <w:rPr>
          <w:rFonts w:ascii="Arial" w:cs="Arial" w:eastAsia="Arial" w:hAnsi="Arial"/>
          <w:sz w:val="9"/>
          <w:szCs w:val="9"/>
          <w:color w:val="auto"/>
        </w:rPr>
      </w:pPr>
      <w:r>
        <w:rPr>
          <w:rFonts w:ascii="Arial" w:cs="Arial" w:eastAsia="Arial" w:hAnsi="Arial"/>
          <w:sz w:val="14"/>
          <w:szCs w:val="14"/>
          <w:color w:val="auto"/>
        </w:rPr>
        <w:t>Net of income tax (expense) benefit of $(14.5), $3.3 and $25.7 for the years ended December 31, 2016, 2015 and 2014, respectively.</w:t>
      </w:r>
    </w:p>
    <w:p>
      <w:pPr>
        <w:spacing w:after="0" w:line="1" w:lineRule="exact"/>
        <w:rPr>
          <w:rFonts w:ascii="Arial" w:cs="Arial" w:eastAsia="Arial" w:hAnsi="Arial"/>
          <w:sz w:val="9"/>
          <w:szCs w:val="9"/>
          <w:color w:val="auto"/>
        </w:rPr>
      </w:pPr>
    </w:p>
    <w:p>
      <w:pPr>
        <w:ind w:left="660" w:hanging="652"/>
        <w:spacing w:after="0"/>
        <w:tabs>
          <w:tab w:leader="none" w:pos="660" w:val="left"/>
        </w:tabs>
        <w:numPr>
          <w:ilvl w:val="0"/>
          <w:numId w:val="1"/>
        </w:numPr>
        <w:rPr>
          <w:rFonts w:ascii="Arial" w:cs="Arial" w:eastAsia="Arial" w:hAnsi="Arial"/>
          <w:sz w:val="9"/>
          <w:szCs w:val="9"/>
          <w:color w:val="auto"/>
        </w:rPr>
      </w:pPr>
      <w:r>
        <w:rPr>
          <w:rFonts w:ascii="Arial" w:cs="Arial" w:eastAsia="Arial" w:hAnsi="Arial"/>
          <w:sz w:val="14"/>
          <w:szCs w:val="14"/>
          <w:color w:val="auto"/>
        </w:rPr>
        <w:t>Net of income tax (expense) benefit of $3.9, $(4.1) and $56.9 for the years ended December 31, 2016, 2015 and 2014, respectively.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FMC TECHNOLOGIES, INC. AND CONSOLIDATED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ectPr>
          <w:pgSz w:w="11900" w:h="16838" w:orient="portrait"/>
          <w:cols w:equalWidth="0" w:num="1">
            <w:col w:w="11380"/>
          </w:cols>
          <w:pgMar w:left="280" w:top="715" w:right="239" w:bottom="1440" w:gutter="0" w:footer="0" w:header="0"/>
        </w:sect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 except par value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auto"/>
        </w:rPr>
        <w:t>Trade receivables, net of allowances of $19.7 in 2016 and $19.2 in 2015</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Costs in excess of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Inventories, net (Note 7)</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Derivative financial instruments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Prepaid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Property, plant and equipment, net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Goodwill (Note 10)</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Intangible assets, net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taxes (Note 15)</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Derivative financial instruments (Note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equity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r>
      <w:tr>
        <w:trPr>
          <w:trHeight w:val="258"/>
        </w:trPr>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b w:val="1"/>
                <w:bCs w:val="1"/>
                <w:color w:val="auto"/>
              </w:rPr>
              <w:t>As Adjusted</w:t>
            </w:r>
          </w:p>
        </w:tc>
      </w:tr>
      <w:tr>
        <w:trPr>
          <w:trHeight w:val="270"/>
        </w:trPr>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1,015.9</w:t>
            </w:r>
          </w:p>
        </w:tc>
        <w:tc>
          <w:tcPr>
            <w:tcW w:w="12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916.2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709.4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884.0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638.4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594.1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764.1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333.9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48.9</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68.7</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276.0</w:t>
            </w:r>
          </w:p>
        </w:tc>
      </w:tr>
      <w:tr>
        <w:trPr>
          <w:trHeight w:val="244"/>
        </w:trPr>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3,320.8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3,930.2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29.6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1,262.7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1,371.5</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517.9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514.7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306.4</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204.9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183.3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6"/>
        </w:trPr>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83.6</w:t>
            </w:r>
          </w:p>
        </w:tc>
      </w:tr>
      <w:tr>
        <w:trPr>
          <w:trHeight w:val="237"/>
        </w:trPr>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5,748.6</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6,419.4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ectPr>
          <w:pgSz w:w="11900" w:h="16838" w:orient="portrait"/>
          <w:cols w:equalWidth="0" w:num="2">
            <w:col w:w="7580" w:space="720"/>
            <w:col w:w="3080"/>
          </w:cols>
          <w:pgMar w:left="280" w:top="715"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6520" w:type="dxa"/>
            <w:vAlign w:val="bottom"/>
          </w:tcPr>
          <w:p>
            <w:pPr>
              <w:spacing w:after="0"/>
              <w:rPr>
                <w:sz w:val="20"/>
                <w:szCs w:val="20"/>
                <w:color w:val="auto"/>
              </w:rPr>
            </w:pPr>
            <w:r>
              <w:rPr>
                <w:rFonts w:ascii="Arial" w:cs="Arial" w:eastAsia="Arial" w:hAnsi="Arial"/>
                <w:sz w:val="14"/>
                <w:szCs w:val="14"/>
                <w:color w:val="auto"/>
              </w:rPr>
              <w:t>Short-term debt and current portion of long-term debt (Note 11)</w:t>
            </w:r>
          </w:p>
        </w:tc>
        <w:tc>
          <w:tcPr>
            <w:tcW w:w="1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52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520" w:type="dxa"/>
            <w:vAlign w:val="bottom"/>
          </w:tcPr>
          <w:p>
            <w:pPr>
              <w:spacing w:after="0"/>
              <w:rPr>
                <w:sz w:val="20"/>
                <w:szCs w:val="20"/>
                <w:color w:val="auto"/>
              </w:rPr>
            </w:pPr>
            <w:r>
              <w:rPr>
                <w:rFonts w:ascii="Arial" w:cs="Arial" w:eastAsia="Arial" w:hAnsi="Arial"/>
                <w:sz w:val="14"/>
                <w:szCs w:val="14"/>
                <w:color w:val="auto"/>
              </w:rPr>
              <w:t>Accounts payable, trade</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4"/>
                <w:szCs w:val="14"/>
                <w:color w:val="auto"/>
              </w:rPr>
              <w:t>Advance payments</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4"/>
                <w:szCs w:val="14"/>
                <w:color w:val="auto"/>
              </w:rPr>
              <w:t>Billings in excess of costs</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4"/>
                <w:szCs w:val="14"/>
                <w:color w:val="auto"/>
              </w:rPr>
              <w:t>Accrued payroll</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4"/>
                <w:szCs w:val="14"/>
                <w:color w:val="auto"/>
              </w:rPr>
              <w:t>Derivative financial instruments (Note 18)</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4"/>
                <w:szCs w:val="14"/>
                <w:color w:val="auto"/>
              </w:rPr>
              <w:t>Income taxes payable</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4"/>
                <w:szCs w:val="14"/>
                <w:color w:val="auto"/>
              </w:rPr>
              <w:t>Other current liabilities</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4"/>
                <w:szCs w:val="14"/>
                <w:color w:val="auto"/>
              </w:rPr>
              <w:t>Long-term debt, less current portion (Note 11)</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4"/>
                <w:szCs w:val="14"/>
                <w:color w:val="auto"/>
              </w:rPr>
              <w:t>Accrued pension and other post-retirement benefits, less current portion (Note 16)</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4"/>
                <w:szCs w:val="14"/>
                <w:color w:val="auto"/>
              </w:rPr>
              <w:t>Derivative financial instruments (Note 18)</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4"/>
                <w:szCs w:val="14"/>
                <w:color w:val="auto"/>
              </w:rPr>
              <w:t>Deferred income taxes (Note 15)</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0"/>
                <w:szCs w:val="20"/>
                <w:color w:val="auto"/>
              </w:rPr>
            </w:pPr>
            <w:r>
              <w:rPr>
                <w:rFonts w:ascii="Arial" w:cs="Arial" w:eastAsia="Arial" w:hAnsi="Arial"/>
                <w:sz w:val="14"/>
                <w:szCs w:val="14"/>
                <w:color w:val="auto"/>
              </w:rPr>
              <w:t>Other liabilities</w:t>
            </w: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-2178685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-1835785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-1492250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-1149350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-806450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-463550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-120650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contingent liabilities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Stockholders’ equity (Note 14):</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Preferred stock, $0.01 par value, 12.0 shares authorized; no shares issued in 2016 or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9" w:lineRule="exact"/>
        <w:rPr>
          <w:sz w:val="20"/>
          <w:szCs w:val="20"/>
          <w:color w:val="auto"/>
        </w:rPr>
      </w:pPr>
    </w:p>
    <w:p>
      <w:pPr>
        <w:ind w:right="300"/>
        <w:spacing w:after="0" w:line="253" w:lineRule="auto"/>
        <w:rPr>
          <w:sz w:val="20"/>
          <w:szCs w:val="20"/>
          <w:color w:val="auto"/>
        </w:rPr>
      </w:pPr>
      <w:r>
        <w:rPr>
          <w:rFonts w:ascii="Arial" w:cs="Arial" w:eastAsia="Arial" w:hAnsi="Arial"/>
          <w:sz w:val="14"/>
          <w:szCs w:val="14"/>
          <w:color w:val="auto"/>
        </w:rPr>
        <w:t>Common stock, $0.01 par value, 600.0 shares authorized in 2016 and 2015; 286.3 shares issued in 2016 and 2015; and 225.7 and 226.8 shares outstanding in 2016 and 2015, respectively</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Common stock held in employee benefit trust, at cost; 0.2 shares in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40" w:type="dxa"/>
            <w:vAlign w:val="bottom"/>
          </w:tcPr>
          <w:p>
            <w:pPr>
              <w:spacing w:after="0"/>
              <w:rPr>
                <w:sz w:val="20"/>
                <w:szCs w:val="20"/>
                <w:color w:val="auto"/>
              </w:rPr>
            </w:pPr>
            <w:r>
              <w:rPr>
                <w:rFonts w:ascii="Arial" w:cs="Arial" w:eastAsia="Arial" w:hAnsi="Arial"/>
                <w:sz w:val="14"/>
                <w:szCs w:val="14"/>
                <w:color w:val="auto"/>
              </w:rPr>
              <w:t>Treasury stock, at cost, 60.4 and 59.4 shares in 2016 and 2015, respectively</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Capital in excess of par value of common stock</w:t>
            </w: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Retained earnings</w:t>
            </w: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4"/>
                <w:szCs w:val="14"/>
                <w:color w:val="auto"/>
              </w:rPr>
              <w:t>Total FMC Technologies, Inc. stockholders’ equity</w:t>
            </w: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4"/>
                <w:szCs w:val="14"/>
                <w:color w:val="auto"/>
              </w:rPr>
              <w:t>Total equity</w:t>
            </w: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Total liabilities and equity</w:t>
            </w:r>
          </w:p>
        </w:tc>
        <w:tc>
          <w:tcPr>
            <w:tcW w:w="2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634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-1012190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-326390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-669290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317.3</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21.9</w:t>
            </w:r>
          </w:p>
        </w:tc>
      </w:tr>
      <w:tr>
        <w:trPr>
          <w:trHeight w:val="270"/>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351.6</w:t>
            </w: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519.3</w:t>
            </w:r>
          </w:p>
        </w:tc>
      </w:tr>
      <w:tr>
        <w:trPr>
          <w:trHeight w:val="270"/>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384.2</w:t>
            </w: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464.1</w:t>
            </w:r>
          </w:p>
        </w:tc>
      </w:tr>
      <w:tr>
        <w:trPr>
          <w:trHeight w:val="270"/>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108.0</w:t>
            </w: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200.5</w:t>
            </w:r>
          </w:p>
        </w:tc>
      </w:tr>
      <w:tr>
        <w:trPr>
          <w:trHeight w:val="270"/>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171.7</w:t>
            </w: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185.8</w:t>
            </w:r>
          </w:p>
        </w:tc>
      </w:tr>
      <w:tr>
        <w:trPr>
          <w:trHeight w:val="270"/>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63.6</w:t>
            </w: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516.9</w:t>
            </w:r>
          </w:p>
        </w:tc>
      </w:tr>
      <w:tr>
        <w:trPr>
          <w:trHeight w:val="270"/>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104.0</w:t>
            </w: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57.2</w:t>
            </w:r>
          </w:p>
        </w:tc>
      </w:tr>
      <w:tr>
        <w:trPr>
          <w:trHeight w:val="276"/>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290.9</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339.6</w:t>
            </w:r>
          </w:p>
        </w:tc>
      </w:tr>
      <w:tr>
        <w:trPr>
          <w:trHeight w:val="244"/>
        </w:trPr>
        <w:tc>
          <w:tcPr>
            <w:tcW w:w="720" w:type="dxa"/>
            <w:vAlign w:val="bottom"/>
          </w:tcPr>
          <w:p>
            <w:pPr>
              <w:jc w:val="right"/>
              <w:ind w:right="168"/>
              <w:spacing w:after="0"/>
              <w:rPr>
                <w:sz w:val="20"/>
                <w:szCs w:val="20"/>
                <w:color w:val="auto"/>
              </w:rPr>
            </w:pPr>
            <w:r>
              <w:rPr>
                <w:rFonts w:ascii="Arial" w:cs="Arial" w:eastAsia="Arial" w:hAnsi="Arial"/>
                <w:sz w:val="14"/>
                <w:szCs w:val="14"/>
                <w:color w:val="auto"/>
                <w:w w:val="98"/>
              </w:rPr>
              <w:t>1,791.3</w:t>
            </w: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2,305.3</w:t>
            </w:r>
          </w:p>
        </w:tc>
      </w:tr>
      <w:tr>
        <w:trPr>
          <w:trHeight w:val="270"/>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908.1</w:t>
            </w: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1,134.1</w:t>
            </w:r>
          </w:p>
        </w:tc>
      </w:tr>
      <w:tr>
        <w:trPr>
          <w:trHeight w:val="270"/>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198.8</w:t>
            </w: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230.4</w:t>
            </w:r>
          </w:p>
        </w:tc>
      </w:tr>
      <w:tr>
        <w:trPr>
          <w:trHeight w:val="270"/>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14.2</w:t>
            </w: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70"/>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128.6</w:t>
            </w: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105.4</w:t>
            </w:r>
          </w:p>
        </w:tc>
      </w:tr>
      <w:tr>
        <w:trPr>
          <w:trHeight w:val="270"/>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81.1</w:t>
            </w: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100.5</w:t>
            </w:r>
          </w:p>
        </w:tc>
      </w:tr>
      <w:tr>
        <w:trPr>
          <w:trHeight w:val="810"/>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2.9</w:t>
            </w:r>
          </w:p>
        </w:tc>
        <w:tc>
          <w:tcPr>
            <w:tcW w:w="48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2.9</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(6.5)</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70"/>
        </w:trPr>
        <w:tc>
          <w:tcPr>
            <w:tcW w:w="720" w:type="dxa"/>
            <w:vAlign w:val="bottom"/>
          </w:tcPr>
          <w:p>
            <w:pPr>
              <w:jc w:val="right"/>
              <w:ind w:right="128"/>
              <w:spacing w:after="0"/>
              <w:rPr>
                <w:sz w:val="20"/>
                <w:szCs w:val="20"/>
                <w:color w:val="auto"/>
              </w:rPr>
            </w:pPr>
            <w:r>
              <w:rPr>
                <w:rFonts w:ascii="Arial" w:cs="Arial" w:eastAsia="Arial" w:hAnsi="Arial"/>
                <w:sz w:val="14"/>
                <w:szCs w:val="14"/>
                <w:color w:val="auto"/>
                <w:w w:val="89"/>
              </w:rPr>
              <w:t>(1,636.6)</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(1,607.8)</w:t>
            </w:r>
          </w:p>
        </w:tc>
      </w:tr>
      <w:tr>
        <w:trPr>
          <w:trHeight w:val="270"/>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773.0</w:t>
            </w: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759.0</w:t>
            </w:r>
          </w:p>
        </w:tc>
      </w:tr>
      <w:tr>
        <w:trPr>
          <w:trHeight w:val="270"/>
        </w:trPr>
        <w:tc>
          <w:tcPr>
            <w:tcW w:w="720" w:type="dxa"/>
            <w:vAlign w:val="bottom"/>
          </w:tcPr>
          <w:p>
            <w:pPr>
              <w:jc w:val="right"/>
              <w:ind w:right="168"/>
              <w:spacing w:after="0"/>
              <w:rPr>
                <w:sz w:val="20"/>
                <w:szCs w:val="20"/>
                <w:color w:val="auto"/>
              </w:rPr>
            </w:pPr>
            <w:r>
              <w:rPr>
                <w:rFonts w:ascii="Arial" w:cs="Arial" w:eastAsia="Arial" w:hAnsi="Arial"/>
                <w:sz w:val="14"/>
                <w:szCs w:val="14"/>
                <w:color w:val="auto"/>
                <w:w w:val="98"/>
              </w:rPr>
              <w:t>4,288.8</w:t>
            </w: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4,249.7</w:t>
            </w:r>
          </w:p>
        </w:tc>
      </w:tr>
      <w:tr>
        <w:trPr>
          <w:trHeight w:val="276"/>
        </w:trPr>
        <w:tc>
          <w:tcPr>
            <w:tcW w:w="720" w:type="dxa"/>
            <w:vAlign w:val="bottom"/>
          </w:tcPr>
          <w:p>
            <w:pPr>
              <w:jc w:val="right"/>
              <w:ind w:right="128"/>
              <w:spacing w:after="0"/>
              <w:rPr>
                <w:sz w:val="20"/>
                <w:szCs w:val="20"/>
                <w:color w:val="auto"/>
              </w:rPr>
            </w:pPr>
            <w:r>
              <w:rPr>
                <w:rFonts w:ascii="Arial" w:cs="Arial" w:eastAsia="Arial" w:hAnsi="Arial"/>
                <w:sz w:val="14"/>
                <w:szCs w:val="14"/>
                <w:color w:val="auto"/>
              </w:rPr>
              <w:t>(809.7)</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(872.7)</w:t>
            </w:r>
          </w:p>
        </w:tc>
      </w:tr>
      <w:tr>
        <w:trPr>
          <w:trHeight w:val="244"/>
        </w:trPr>
        <w:tc>
          <w:tcPr>
            <w:tcW w:w="720" w:type="dxa"/>
            <w:vAlign w:val="bottom"/>
          </w:tcPr>
          <w:p>
            <w:pPr>
              <w:jc w:val="right"/>
              <w:ind w:right="168"/>
              <w:spacing w:after="0"/>
              <w:rPr>
                <w:sz w:val="20"/>
                <w:szCs w:val="20"/>
                <w:color w:val="auto"/>
              </w:rPr>
            </w:pPr>
            <w:r>
              <w:rPr>
                <w:rFonts w:ascii="Arial" w:cs="Arial" w:eastAsia="Arial" w:hAnsi="Arial"/>
                <w:sz w:val="14"/>
                <w:szCs w:val="14"/>
                <w:color w:val="auto"/>
                <w:w w:val="98"/>
              </w:rPr>
              <w:t>2,611.9</w:t>
            </w: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2,524.1</w:t>
            </w:r>
          </w:p>
        </w:tc>
      </w:tr>
      <w:tr>
        <w:trPr>
          <w:trHeight w:val="276"/>
        </w:trPr>
        <w:tc>
          <w:tcPr>
            <w:tcW w:w="720" w:type="dxa"/>
            <w:vAlign w:val="bottom"/>
          </w:tcPr>
          <w:p>
            <w:pPr>
              <w:jc w:val="right"/>
              <w:ind w:right="168"/>
              <w:spacing w:after="0"/>
              <w:rPr>
                <w:sz w:val="20"/>
                <w:szCs w:val="20"/>
                <w:color w:val="auto"/>
              </w:rPr>
            </w:pPr>
            <w:r>
              <w:rPr>
                <w:rFonts w:ascii="Arial" w:cs="Arial" w:eastAsia="Arial" w:hAnsi="Arial"/>
                <w:sz w:val="14"/>
                <w:szCs w:val="14"/>
                <w:color w:val="auto"/>
              </w:rPr>
              <w:t>14.6</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w:t>
            </w:r>
          </w:p>
        </w:tc>
      </w:tr>
      <w:tr>
        <w:trPr>
          <w:trHeight w:val="250"/>
        </w:trPr>
        <w:tc>
          <w:tcPr>
            <w:tcW w:w="720" w:type="dxa"/>
            <w:vAlign w:val="bottom"/>
          </w:tcPr>
          <w:p>
            <w:pPr>
              <w:jc w:val="right"/>
              <w:ind w:right="168"/>
              <w:spacing w:after="0"/>
              <w:rPr>
                <w:sz w:val="20"/>
                <w:szCs w:val="20"/>
                <w:color w:val="auto"/>
              </w:rPr>
            </w:pPr>
            <w:r>
              <w:rPr>
                <w:rFonts w:ascii="Arial" w:cs="Arial" w:eastAsia="Arial" w:hAnsi="Arial"/>
                <w:sz w:val="14"/>
                <w:szCs w:val="14"/>
                <w:color w:val="auto"/>
                <w:w w:val="98"/>
              </w:rPr>
              <w:t>2,626.5</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2,543.2</w:t>
            </w:r>
          </w:p>
        </w:tc>
      </w:tr>
      <w:tr>
        <w:trPr>
          <w:trHeight w:val="237"/>
        </w:trPr>
        <w:tc>
          <w:tcPr>
            <w:tcW w:w="720" w:type="dxa"/>
            <w:vAlign w:val="bottom"/>
          </w:tcPr>
          <w:p>
            <w:pPr>
              <w:jc w:val="right"/>
              <w:ind w:right="168"/>
              <w:spacing w:after="0"/>
              <w:rPr>
                <w:sz w:val="20"/>
                <w:szCs w:val="20"/>
                <w:color w:val="auto"/>
              </w:rPr>
            </w:pPr>
            <w:r>
              <w:rPr>
                <w:rFonts w:ascii="Arial" w:cs="Arial" w:eastAsia="Arial" w:hAnsi="Arial"/>
                <w:sz w:val="14"/>
                <w:szCs w:val="14"/>
                <w:color w:val="auto"/>
                <w:w w:val="98"/>
              </w:rPr>
              <w:t>5,748.6</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6,419.4</w:t>
            </w:r>
          </w:p>
        </w:tc>
      </w:tr>
      <w:tr>
        <w:trPr>
          <w:trHeight w:val="20"/>
        </w:trPr>
        <w:tc>
          <w:tcPr>
            <w:tcW w:w="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-25400</wp:posOffset>
            </wp:positionV>
            <wp:extent cx="951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-8255</wp:posOffset>
            </wp:positionV>
            <wp:extent cx="951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-187960</wp:posOffset>
            </wp:positionV>
            <wp:extent cx="951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-3326765</wp:posOffset>
            </wp:positionV>
            <wp:extent cx="951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8480" w:space="720"/>
            <w:col w:w="2180"/>
          </w:cols>
          <w:pgMar w:left="280" w:top="715" w:right="239" w:bottom="1440" w:gutter="0" w:footer="0" w:header="0"/>
          <w:type w:val="continuous"/>
        </w:sect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1380"/>
          </w:cols>
          <w:pgMar w:left="280" w:top="715" w:right="239" w:bottom="1440" w:gutter="0" w:footer="0" w:header="0"/>
          <w:type w:val="continuous"/>
        </w:sect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80" w:top="715"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FMC TECHNOLOGIES, INC. AND CONSOLIDATED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2014</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394.8</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705.3</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cash provided (required) by operating activities: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170.8</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Employee benefit plan and stock-based compensation costs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89.3</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 provision (benefit)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Unrealized loss on derivative instruments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54.4</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Impairments (Note 5)</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Gain on disposition of business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(84.3)</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 receivables, net and costs in excess of billings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Inventories, net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168.7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(99.4)</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trade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Advance payments and billings in excess of costs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225.0</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 payable,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Payment of Multi Phase Meters earn-out consideration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(43.6)</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pension and other post-retirement benefits, net</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assets and liabilities,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provided by operating activities from continuing operations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894.8</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Cash required by operating activities from discontinued operations (Note 6)</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by operating activities</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273.2</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932.6</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894.8</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Cash provided (required) by investing activities: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Capital expenditures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(404.4)</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Investments in joint ventures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held-to-maturity investments (Note 1)</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Proceeds from disposition of business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105.6</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required by investing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(192.3)</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(required) by financing activities: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Net increase (decrease) in short-term debt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(25.8)</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decrease in commercial paper</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Repayments of long-term debt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treasury stock</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Payment of Multi Phase Meters earn-out consideration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(31.0)</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Acquisitions, payment of withheld purchase price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380"/>
              <w:spacing w:after="0"/>
              <w:rPr>
                <w:sz w:val="20"/>
                <w:szCs w:val="20"/>
                <w:color w:val="auto"/>
              </w:rPr>
            </w:pPr>
            <w:r>
              <w:rPr>
                <w:rFonts w:ascii="Arial" w:cs="Arial" w:eastAsia="Arial" w:hAnsi="Arial"/>
                <w:sz w:val="14"/>
                <w:szCs w:val="14"/>
                <w:color w:val="auto"/>
              </w:rPr>
              <w:t>Payments related to taxes withheld on stock-based compensation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76"/>
        </w:trPr>
        <w:tc>
          <w:tcPr>
            <w:tcW w:w="6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financing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(357.7)</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r>
      <w:tr>
        <w:trPr>
          <w:trHeight w:val="250"/>
        </w:trPr>
        <w:tc>
          <w:tcPr>
            <w:tcW w:w="6740" w:type="dxa"/>
            <w:vAlign w:val="bottom"/>
          </w:tcPr>
          <w:p>
            <w:pPr>
              <w:ind w:left="40"/>
              <w:spacing w:after="0"/>
              <w:rPr>
                <w:sz w:val="20"/>
                <w:szCs w:val="20"/>
                <w:color w:val="auto"/>
              </w:rPr>
            </w:pPr>
            <w:r>
              <w:rPr>
                <w:rFonts w:ascii="Arial" w:cs="Arial" w:eastAsia="Arial" w:hAnsi="Arial"/>
                <w:sz w:val="14"/>
                <w:szCs w:val="14"/>
                <w:color w:val="auto"/>
              </w:rPr>
              <w:t>Increase in cash and cash equivalents</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239.7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year</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916.2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638.8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399.1</w:t>
            </w:r>
          </w:p>
        </w:tc>
      </w:tr>
      <w:tr>
        <w:trPr>
          <w:trHeight w:val="243"/>
        </w:trPr>
        <w:tc>
          <w:tcPr>
            <w:tcW w:w="6740" w:type="dxa"/>
            <w:vAlign w:val="bottom"/>
          </w:tcPr>
          <w:p>
            <w:pPr>
              <w:ind w:left="40"/>
              <w:spacing w:after="0"/>
              <w:rPr>
                <w:sz w:val="20"/>
                <w:szCs w:val="20"/>
                <w:color w:val="auto"/>
              </w:rPr>
            </w:pPr>
            <w:r>
              <w:rPr>
                <w:rFonts w:ascii="Arial" w:cs="Arial" w:eastAsia="Arial" w:hAnsi="Arial"/>
                <w:sz w:val="14"/>
                <w:szCs w:val="14"/>
                <w:color w:val="auto"/>
              </w:rPr>
              <w:t>Cash and cash equivalents, end of year</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1,015.9</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916.2</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638.8</w:t>
            </w:r>
          </w:p>
        </w:tc>
      </w:tr>
      <w:tr>
        <w:trPr>
          <w:trHeight w:val="20"/>
        </w:trPr>
        <w:tc>
          <w:tcPr>
            <w:tcW w:w="6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FMC TECHNOLOGIES, INC. AND CONSOLIDATED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Stock Held in</w:t>
            </w:r>
          </w:p>
        </w:tc>
        <w:tc>
          <w:tcPr>
            <w:tcW w:w="16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Capital in</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Treasury and</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Employee</w:t>
            </w: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Excess of Par</w:t>
            </w:r>
          </w:p>
        </w:tc>
        <w:tc>
          <w:tcPr>
            <w:tcW w:w="22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Value of</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Trust</w:t>
            </w: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(1,204.3)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713.2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3,158.4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2,348.6</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699.9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705.3</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Excess tax benefits on stock-based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 arrangements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w w:val="92"/>
              </w:rPr>
              <w:t>Taxes withheld on issuance of stock-</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based awards</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treasury stock</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 14)</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(247.6)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Reissuances of treasury stock</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(Note 14)</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 of common stock for</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benefit trust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(Note 17)</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Purchase of noncontrolling interest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3,856.6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2,490.0</w:t>
            </w:r>
          </w:p>
        </w:tc>
        <w:tc>
          <w:tcPr>
            <w:tcW w:w="0" w:type="dxa"/>
            <w:vAlign w:val="bottom"/>
          </w:tcPr>
          <w:p>
            <w:pPr>
              <w:spacing w:after="0"/>
              <w:rPr>
                <w:sz w:val="1"/>
                <w:szCs w:val="1"/>
                <w:color w:val="auto"/>
              </w:rPr>
            </w:pPr>
          </w:p>
        </w:tc>
      </w:tr>
      <w:tr>
        <w:trPr>
          <w:trHeight w:val="20"/>
        </w:trPr>
        <w:tc>
          <w:tcPr>
            <w:tcW w:w="2180" w:type="dxa"/>
            <w:vAlign w:val="bottom"/>
            <w:vMerge w:val="restart"/>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393.1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w w:val="96"/>
              </w:rPr>
              <w:t>Excess tax benefits on stock-based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payment arrangements</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Taxes withheld on issuance of stock-</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based awards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Purchases of treasury stock</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(Note 14)</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(190.4)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(190.4)</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Reissuances of treasury stock</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 14)</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w w:val="96"/>
              </w:rPr>
              <w:t>Net purchases of common stock for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employee benefit trust</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 17)</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2,543.2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Stock Held in</w:t>
            </w:r>
          </w:p>
        </w:tc>
        <w:tc>
          <w:tcPr>
            <w:tcW w:w="160" w:type="dxa"/>
            <w:vAlign w:val="bottom"/>
          </w:tcPr>
          <w:p>
            <w:pPr>
              <w:spacing w:after="0"/>
              <w:rPr>
                <w:sz w:val="12"/>
                <w:szCs w:val="12"/>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Capital in</w:t>
            </w: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Treasury and</w:t>
            </w: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Employee</w:t>
            </w: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Excess of Par</w:t>
            </w:r>
          </w:p>
        </w:tc>
        <w:tc>
          <w:tcPr>
            <w:tcW w:w="22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Benefit</w:t>
            </w: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Value of</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Trust</w:t>
            </w: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(Loss)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6"/>
                <w:szCs w:val="16"/>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(1,614.8)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759.0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4,249.7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2,543.2</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w w:val="96"/>
              </w:rPr>
              <w:t>Excess tax benefits on stock-based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payment arrangements</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Taxes withheld on issuance of stock-</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based awards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Purchases of treasury stock</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(Note 14)</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Reissuances of treasury stock</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 14)</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180" w:type="dxa"/>
            <w:vAlign w:val="bottom"/>
          </w:tcPr>
          <w:p>
            <w:pPr>
              <w:ind w:left="40"/>
              <w:spacing w:after="0" w:line="157" w:lineRule="exact"/>
              <w:rPr>
                <w:sz w:val="20"/>
                <w:szCs w:val="20"/>
                <w:color w:val="auto"/>
              </w:rPr>
            </w:pPr>
            <w:r>
              <w:rPr>
                <w:rFonts w:ascii="Arial" w:cs="Arial" w:eastAsia="Arial" w:hAnsi="Arial"/>
                <w:sz w:val="14"/>
                <w:szCs w:val="14"/>
                <w:color w:val="auto"/>
              </w:rPr>
              <w:t>Net sales of common stock for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180" w:type="dxa"/>
            <w:vAlign w:val="bottom"/>
          </w:tcPr>
          <w:p>
            <w:pPr>
              <w:ind w:left="40"/>
              <w:spacing w:after="0"/>
              <w:rPr>
                <w:sz w:val="20"/>
                <w:szCs w:val="20"/>
                <w:color w:val="auto"/>
              </w:rPr>
            </w:pPr>
            <w:r>
              <w:rPr>
                <w:rFonts w:ascii="Arial" w:cs="Arial" w:eastAsia="Arial" w:hAnsi="Arial"/>
                <w:sz w:val="14"/>
                <w:szCs w:val="14"/>
                <w:color w:val="auto"/>
              </w:rPr>
              <w:t>employee benefit trust</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 17)</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2,626.5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09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80" w:right="239" w:bottom="1097"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FMC TECHNOLOGIES, INC. AND CONSOLIDATED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Nature of operations—</w:t>
      </w:r>
      <w:r>
        <w:rPr>
          <w:rFonts w:ascii="Arial" w:cs="Arial" w:eastAsia="Arial" w:hAnsi="Arial"/>
          <w:sz w:val="18"/>
          <w:szCs w:val="18"/>
          <w:color w:val="auto"/>
        </w:rPr>
        <w:t>FMC Technologies, Inc. and consolidated subsidiaries (“FMC Technologies,” “we,” “us” or “our”) designs, manufactures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technologically sophisticated systems and products for our customers in the energy industry through our business segments: Subsea Technologies, Surface Technologies and Energy Infrastructure. We have manufacturing operations worldwide, strategically located to facilitate delivery of our products, systems and services to our customers.</w:t>
      </w:r>
    </w:p>
    <w:p>
      <w:pPr>
        <w:spacing w:after="0" w:line="5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Our consolidated financial statements were prepared in U.S. dollars and in accordance with U.S. generally accepted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 (“GAAP”).</w:t>
      </w:r>
    </w:p>
    <w:p>
      <w:pPr>
        <w:spacing w:after="0" w:line="11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On February 25, 2011, our Board of Directors approved a two-for-one stock split of our outstanding shares of common stock. The stock split was completed in the form of a stock dividend; however, upon issuance of the common stock pursuant to the stock split, an amount equal to the aggregate par value of the additional shares of common stock issued was not reclassified from capital in excess of par value to common stock during the first quarter of 2011. This adjustment was made during the first quarter of 2014. All prior-year amounts have been revised to conform to the current year presentation. This adjustment had no overall effect on total equity and did not impact our overall financial position or results of operations for any period presented.</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revised our current derivative financial instrument asset and liability balances as of December 31, 2015 to eliminate certain intercompany derivative transactions. As a result, our total financial position as of December 31, 2015 decreased by $38.0 million.</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Principles of consolidation</w:t>
      </w:r>
      <w:r>
        <w:rPr>
          <w:rFonts w:ascii="Arial" w:cs="Arial" w:eastAsia="Arial" w:hAnsi="Arial"/>
          <w:sz w:val="18"/>
          <w:szCs w:val="18"/>
          <w:color w:val="auto"/>
        </w:rPr>
        <w:t>—These consolidated financial statements include the accounts of FMC Technologies and its majority-owned subsidiaries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Intercompany accounts and transactions are eliminated in consolidation.</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Use of estimates</w:t>
      </w:r>
      <w:r>
        <w:rPr>
          <w:rFonts w:ascii="Arial" w:cs="Arial" w:eastAsia="Arial" w:hAnsi="Arial"/>
          <w:sz w:val="17"/>
          <w:szCs w:val="17"/>
          <w:color w:val="auto"/>
        </w:rPr>
        <w:t>—The preparation of financial statements in conformity with GAAP requires management to make estimates and assumptions that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reported amounts of assets and liabilities and disclosures of contingent assets and liabilities at the date of the financial statements and the reported amounts of revenue and expenses during the reporting period. Actual results could differ from those estimates. Such estimates include, but are not limited to, estimates of total contract profit or loss on long-term construction-type contracts; estimated realizable value on excess and obsolete inventory; estimates related to pension accounting; estimates related to fair value for purposes of assessing goodwill, long-lived assets and intangible assets for impairment; estimates related to income taxes; and estimates related to contingencies, including liquidated damages.</w:t>
      </w:r>
    </w:p>
    <w:p>
      <w:pPr>
        <w:spacing w:after="0" w:line="12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Investments in the common stock of unconsolidated affiliates</w:t>
      </w:r>
      <w:r>
        <w:rPr>
          <w:rFonts w:ascii="Arial" w:cs="Arial" w:eastAsia="Arial" w:hAnsi="Arial"/>
          <w:sz w:val="18"/>
          <w:szCs w:val="18"/>
          <w:color w:val="auto"/>
        </w:rPr>
        <w:t>—The equity method of accounting is used to account for investments in unconsolidated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where we have the ability to exert significant influence over the affiliate’s operating and financial policies. The cost method of accounting is used where significant influence over the affiliate is not present.</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Investments in unconsolidated affiliates are assessed for impairment whenever events or changes in facts and circumstances indicate the carrying value of the investments may not be fully recoverable. When such a condition is judgmentally determined to be other than temporary, the carrying value of the investment is written down to fair value. Management’s assessment as to whether any decline in value is other than temporary is based on our ability and intent to hold the investment and whether evidence indicating the carrying value of the investment is recoverable within a reasonable period of time outweighs evidence to the contrary. Management generally considers our investments in equity method investees to be strategic long-term investments and completes its assessments for impairment with a long-term viewpoint.</w:t>
      </w:r>
    </w:p>
    <w:p>
      <w:pPr>
        <w:spacing w:after="0" w:line="13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Reclassifications</w:t>
      </w:r>
      <w:r>
        <w:rPr>
          <w:rFonts w:ascii="Arial" w:cs="Arial" w:eastAsia="Arial" w:hAnsi="Arial"/>
          <w:sz w:val="18"/>
          <w:szCs w:val="18"/>
          <w:color w:val="auto"/>
        </w:rPr>
        <w:t>—Certain prior-year amounts have been reclassified to conform to the current year’s presentation. These reclassifications include net</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 reclassification from other assets to intangible assets on the consolidated balance sheets.</w:t>
      </w:r>
    </w:p>
    <w:p>
      <w:pPr>
        <w:spacing w:after="0" w:line="1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—Revenue is generally recognized once the following four criteria are met: i) persuasive evidence of an arrangement exists, ii)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equipment has occurred (which is upon shipment or when customer-specific acceptance requirements are met) or services have been rendered, iii) the price of the equipment or service is fixed and determinable, and iv) collectibility is reasonably assured. We record our sales net of any value added, sales or use tax.</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3" w:name="page14"/>
    <w:bookmarkEnd w:id="13"/>
    <w:p>
      <w:pPr>
        <w:ind w:right="180"/>
        <w:spacing w:after="0" w:line="255" w:lineRule="auto"/>
        <w:rPr>
          <w:sz w:val="20"/>
          <w:szCs w:val="20"/>
          <w:color w:val="auto"/>
        </w:rPr>
      </w:pPr>
      <w:r>
        <w:rPr>
          <w:rFonts w:ascii="Arial" w:cs="Arial" w:eastAsia="Arial" w:hAnsi="Arial"/>
          <w:sz w:val="18"/>
          <w:szCs w:val="18"/>
          <w:color w:val="auto"/>
        </w:rPr>
        <w:t>For certain construction-type manufacturing and assembly projects that involve significant design and engineering efforts in order to satisfy detailed customer-supplied specifications, revenue is recognized using the percentage of completion method of accounting. Under the percentage of completion method, revenue is recognized as work progresses on each contract. We primarily apply the ratio of costs incurred to date to total estimated contract costs at completion to measure this ratio. If it is not possible to form a reliable estimate of progress toward completion, no revenue or costs are recognized until the project is complete or substantially complete. Any expected losses on construction-type contracts in progress are charged to earnings, in total, in the period the losses are identified.</w:t>
      </w:r>
    </w:p>
    <w:p>
      <w:pPr>
        <w:spacing w:after="0" w:line="1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Modifications to construction-type contracts, referred to as “change orders,” effectively change the provisions of the original contract, and may, for example, alter the specifications or design, method or manner of performance, equipment, materials, sites and/or period for completion of the work. If a change order represents a firm price commitment from a customer, we account for the revised estimate as if it had been included in the original estimate, effectively recognizing the pro rata impact of the new estimate on our calculation of progress toward completion in the period in which the firm commitment is received. If a change order is unpriced: (1) we include the costs of contract performance in our calculation of progress toward completion in the period in which the costs are incurred or become probable; and (2) when it is determined that the revenue is probable of recovery, we include the change order revenue, limited to the costs incurred to date related to the change order, in our calculation of progress toward completion. Unpriced change orders included in revenue were immaterial to our consolidated revenue for all periods presented. Margin is not recorded on unpriced change orders unless realization is assured beyond a reasonable doubt. The assessment of realization may be based upon our previous experience with the customer or based upon our receipt of a firm price commitment from the customer.</w:t>
      </w:r>
    </w:p>
    <w:p>
      <w:pPr>
        <w:spacing w:after="0" w:line="12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Progress billings are generally issued upon completion of certain phases of the work as stipulated in the contract. Revenue in excess of progress billings are reported in costs in excess of billings in our consolidated balance sheets. Progress billings and cash collections in excess of revenue recognized on a contract are classified as billings in excess of costs and advance payments, respectively in our consolidated balance sheets. Revenue generated from the installation portion of construction-type contracts is included in product revenue in our consolidated statements of income.</w:t>
      </w:r>
    </w:p>
    <w:p>
      <w:pPr>
        <w:spacing w:after="0" w:line="1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Shipping and handling costs</w:t>
      </w:r>
      <w:r>
        <w:rPr>
          <w:rFonts w:ascii="Arial" w:cs="Arial" w:eastAsia="Arial" w:hAnsi="Arial"/>
          <w:sz w:val="18"/>
          <w:szCs w:val="18"/>
          <w:color w:val="auto"/>
        </w:rPr>
        <w:t>—Shipping and handling costs are recorded as cost of product revenue in our consolidated statements of income. Shipping and</w:t>
      </w:r>
      <w:r>
        <w:rPr>
          <w:rFonts w:ascii="Arial" w:cs="Arial" w:eastAsia="Arial" w:hAnsi="Arial"/>
          <w:sz w:val="18"/>
          <w:szCs w:val="18"/>
          <w:i w:val="1"/>
          <w:iCs w:val="1"/>
          <w:color w:val="auto"/>
        </w:rPr>
        <w:t xml:space="preserve"> </w:t>
      </w:r>
      <w:r>
        <w:rPr>
          <w:rFonts w:ascii="Arial" w:cs="Arial" w:eastAsia="Arial" w:hAnsi="Arial"/>
          <w:sz w:val="18"/>
          <w:szCs w:val="18"/>
          <w:color w:val="auto"/>
        </w:rPr>
        <w:t>handling costs billed to customers are recorded as a component of revenue.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equivalents</w:t>
      </w:r>
      <w:r>
        <w:rPr>
          <w:rFonts w:ascii="Arial" w:cs="Arial" w:eastAsia="Arial" w:hAnsi="Arial"/>
          <w:sz w:val="16"/>
          <w:szCs w:val="16"/>
          <w:color w:val="auto"/>
        </w:rPr>
        <w:t>—Cash equivalents are highly-liquid, short-term instruments with original maturities of three months or less from their date of purchase.</w:t>
      </w:r>
    </w:p>
    <w:p>
      <w:pPr>
        <w:spacing w:after="0" w:line="1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Trade receivables, net of allowances</w:t>
      </w:r>
      <w:r>
        <w:rPr>
          <w:rFonts w:ascii="Arial" w:cs="Arial" w:eastAsia="Arial" w:hAnsi="Arial"/>
          <w:sz w:val="18"/>
          <w:szCs w:val="18"/>
          <w:color w:val="auto"/>
        </w:rPr>
        <w:t>—An allowance for doubtful accounts is provided on receivables equal to the estimated uncollectible amounts. This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is based on historical collection experience and a specific review of each customer’s receivable balance.</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—Inventories are stated at the lower of cost or market. Inventory costs include those costs directly attributable to products, including all</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overhead, but excluding costs to distribute. Cost is determined on the last-in, first-out (“LIFO”) basis for most significant domestic inventories, except certain inventories relating to construction-type contracts, which are stated at the actual production cost incurred to date, reduced by the portion of these costs identified with revenue recognized. The first-in, first-out (“FIFO”) method is used to determine the cost for most other inventories, including certain domestic inventories in our surface integrated services business.</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Investments</w:t>
      </w:r>
      <w:r>
        <w:rPr>
          <w:rFonts w:ascii="Arial" w:cs="Arial" w:eastAsia="Arial" w:hAnsi="Arial"/>
          <w:sz w:val="18"/>
          <w:szCs w:val="18"/>
          <w:color w:val="auto"/>
        </w:rPr>
        <w:t>—The appropriate classification of investments in marketable equity securities is determined at the time of purchase and re-evaluated as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reporting date. Securities classified as trading securities are carried at fair value with gains and losses on these securities recognized through other income (expense), net. Trading securities are primarily comprised of marketable equity mutual funds that approximate a portion of our liability under our Non-Qualified Savings and Investment Plan (“Non-Qualified Plan”). We did not have any available-for-sale securities at December 31, 2016 or 2015. Investments classified as held-to-maturity are based on our positive intent and ability to hold to these investments to maturity. Held-to-maturity investments are carried at amortized cost and were $60.0 million at December 31, 2016, representing investments made during 2016 in Angolan bonds with a two-year contractual maturity as of December 2016.</w:t>
      </w:r>
    </w:p>
    <w:p>
      <w:pPr>
        <w:spacing w:after="0" w:line="1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Property, plant and equipment</w:t>
      </w:r>
      <w:r>
        <w:rPr>
          <w:rFonts w:ascii="Arial" w:cs="Arial" w:eastAsia="Arial" w:hAnsi="Arial"/>
          <w:sz w:val="18"/>
          <w:szCs w:val="18"/>
          <w:color w:val="auto"/>
        </w:rPr>
        <w:t>—Property, plant, and equipment is recorded at cost. Depreciation is principally provided on the straight-line basis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useful lives of the assets (land improvements—20 to 35 years; buildings—20 to 50 years; and machinery and equipment—3 to 20 years). Gains and losses are realized upon the sale or retirement of assets and are recorded in other income (expense), net on our consolidated statements of income. Maintenance and repair costs are expensed as incurred. Expenditures that extend the useful lives of property, plant and equipment are capitalized and depreciated over the estimated new remaining life of the asset.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4" w:name="page15"/>
    <w:bookmarkEnd w:id="14"/>
    <w:p>
      <w:pPr>
        <w:ind w:right="100"/>
        <w:spacing w:after="0" w:line="302" w:lineRule="auto"/>
        <w:rPr>
          <w:sz w:val="20"/>
          <w:szCs w:val="20"/>
          <w:color w:val="auto"/>
        </w:rPr>
      </w:pPr>
      <w:r>
        <w:rPr>
          <w:rFonts w:ascii="Arial" w:cs="Arial" w:eastAsia="Arial" w:hAnsi="Arial"/>
          <w:sz w:val="16"/>
          <w:szCs w:val="16"/>
          <w:i w:val="1"/>
          <w:iCs w:val="1"/>
          <w:color w:val="auto"/>
        </w:rPr>
        <w:t>Impairment of property, plant and equipment</w:t>
      </w:r>
      <w:r>
        <w:rPr>
          <w:rFonts w:ascii="Arial" w:cs="Arial" w:eastAsia="Arial" w:hAnsi="Arial"/>
          <w:sz w:val="16"/>
          <w:szCs w:val="16"/>
          <w:color w:val="auto"/>
        </w:rPr>
        <w:t>—Property, plant and equipment are reviewed for impairment whenever events or changes in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the carrying value of the long-lived asset may not be recoverable. The carrying value of a long-lived asset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classified as held for sale are reported at the lower of carrying value or fair value less cost to sell.</w:t>
      </w:r>
    </w:p>
    <w:p>
      <w:pPr>
        <w:spacing w:after="0" w:line="17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not subject to amortization but is tested for impairment on an annual basis (or more frequently if impairment indicators arise).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established October 31 as the date of our annual test for impairment of goodwill. Reporting units with goodwill are tested for impairment by first assessing qualitative factors to determine whether the existence of events or circumstances leads to a determination that it is more likely than not that the fair value of the reporting unit is less than its carrying amount. If after assessing the totality of events or circumstances, or based on management’s judgment, we determine it is more likely than not that the fair value of a reporting unit is less than its carrying amount, a two-step impairment test is performed. The first step compares the fair value of the reporting unit (measured as the present value of expected future cash flows) to its carrying amount. If the fair value of the reporting unit is less than its carrying amount, a second step is performed. In this step, the fair value of the reporting unit is allocated to its assets and liabilities to determine the implied fair value of goodwill, which is used to measure the impairment loss.</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Intangible assets</w:t>
      </w:r>
      <w:r>
        <w:rPr>
          <w:rFonts w:ascii="Arial" w:cs="Arial" w:eastAsia="Arial" w:hAnsi="Arial"/>
          <w:sz w:val="16"/>
          <w:szCs w:val="16"/>
          <w:color w:val="auto"/>
        </w:rPr>
        <w:t>—Our acquired intangible assets are generally amortized on a straight-line basis over their estimated useful lives, which generally range from</w:t>
      </w:r>
      <w:r>
        <w:rPr>
          <w:rFonts w:ascii="Arial" w:cs="Arial" w:eastAsia="Arial" w:hAnsi="Arial"/>
          <w:sz w:val="16"/>
          <w:szCs w:val="16"/>
          <w:i w:val="1"/>
          <w:iCs w:val="1"/>
          <w:color w:val="auto"/>
        </w:rPr>
        <w:t xml:space="preserve"> </w:t>
      </w:r>
      <w:r>
        <w:rPr>
          <w:rFonts w:ascii="Arial" w:cs="Arial" w:eastAsia="Arial" w:hAnsi="Arial"/>
          <w:sz w:val="16"/>
          <w:szCs w:val="16"/>
          <w:color w:val="auto"/>
        </w:rPr>
        <w:t>7 to 40 years. Our acquired intangible assets do not have indefinite lives. Intangible assets are reviewed for impairment whenever events or changes in circumstances indicate the carrying amount of the intangible asset may not be recoverable. The carrying amount of an intangible asset is not recoverable if it exceeds the sum of the undiscounted cash flows expected to result from the use and eventual disposition of the asset. If it is determined that an impairment loss has occurred, the loss is measured as the amount by which the carrying amount of the intangible asset exceeds its fair value.</w:t>
      </w:r>
    </w:p>
    <w:p>
      <w:pPr>
        <w:spacing w:after="0" w:line="10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Capitalized software costs are recorded at cost. Capitalized software costs include purchases of software and internal and external costs incurred during the application development stage of software projects. These costs are amortized on a straight-line basis over the estimated useful lives. For internal use software, the useful lives range from three to ten years. For Internet website costs, the estimated useful lives do not exceed three years.</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Debt Costs</w:t>
      </w:r>
      <w:r>
        <w:rPr>
          <w:rFonts w:ascii="Arial" w:cs="Arial" w:eastAsia="Arial" w:hAnsi="Arial"/>
          <w:sz w:val="18"/>
          <w:szCs w:val="18"/>
          <w:color w:val="auto"/>
        </w:rPr>
        <w:t>—Debt issuance costs related to our revolving credit facility are classified as a deferred asset in other current assets on our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Debt issuance costs related to all other debt instruments are treated as a reduction of the associated liability.</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Legal Costs</w:t>
      </w:r>
      <w:r>
        <w:rPr>
          <w:rFonts w:ascii="Arial" w:cs="Arial" w:eastAsia="Arial" w:hAnsi="Arial"/>
          <w:sz w:val="18"/>
          <w:szCs w:val="18"/>
          <w:color w:val="auto"/>
        </w:rPr>
        <w:t>—Legal costs associated with loss contingencies are expensed as incurred; consequently, loss contingencies do not include legal costs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incurred.</w:t>
      </w:r>
    </w:p>
    <w:p>
      <w:pPr>
        <w:spacing w:after="0" w:line="11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i w:val="1"/>
          <w:iCs w:val="1"/>
          <w:color w:val="auto"/>
        </w:rPr>
        <w:t>Fair value measurements</w:t>
      </w:r>
      <w:r>
        <w:rPr>
          <w:rFonts w:ascii="Arial" w:cs="Arial" w:eastAsia="Arial" w:hAnsi="Arial"/>
          <w:sz w:val="17"/>
          <w:szCs w:val="17"/>
          <w:color w:val="auto"/>
        </w:rPr>
        <w:t>—Fair value is defined as the price that would be received to sell an asset or paid to transfer a liability (an exit price) in an orderly</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between market participants at the reporting date. The fair value framework requires the categorization of assets and liabilities measured at fair value into three levels based upon the assumptions (inputs) used to price the assets or liabilities, with the exception of certain assets and liabilities measured using the net asset value practical expedient, which are not required to be leveled. Level 1 provides the most reliable measure of fair value, whereas Level 3 generally requires significant management judgment. The three levels are defined as follows:</w:t>
      </w:r>
    </w:p>
    <w:p>
      <w:pPr>
        <w:spacing w:after="0" w:line="64" w:lineRule="exact"/>
        <w:rPr>
          <w:sz w:val="20"/>
          <w:szCs w:val="20"/>
          <w:color w:val="auto"/>
        </w:rPr>
      </w:pPr>
    </w:p>
    <w:p>
      <w:pPr>
        <w:ind w:left="740" w:hanging="570"/>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117" w:lineRule="exact"/>
        <w:rPr>
          <w:rFonts w:ascii="Arial" w:cs="Arial" w:eastAsia="Arial" w:hAnsi="Arial"/>
          <w:sz w:val="18"/>
          <w:szCs w:val="18"/>
          <w:color w:val="auto"/>
        </w:rPr>
      </w:pPr>
    </w:p>
    <w:p>
      <w:pPr>
        <w:ind w:left="740" w:right="40" w:hanging="570"/>
        <w:spacing w:after="0" w:line="277" w:lineRule="auto"/>
        <w:tabs>
          <w:tab w:leader="none" w:pos="7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or quoted prices for identical assets or liabilities in inactive markets.</w:t>
      </w:r>
    </w:p>
    <w:p>
      <w:pPr>
        <w:spacing w:after="0" w:line="62" w:lineRule="exact"/>
        <w:rPr>
          <w:rFonts w:ascii="Arial" w:cs="Arial" w:eastAsia="Arial" w:hAnsi="Arial"/>
          <w:sz w:val="18"/>
          <w:szCs w:val="18"/>
          <w:i w:val="1"/>
          <w:iCs w:val="1"/>
          <w:color w:val="auto"/>
        </w:rPr>
      </w:pPr>
    </w:p>
    <w:p>
      <w:pPr>
        <w:ind w:left="740" w:right="20" w:hanging="570"/>
        <w:spacing w:after="0" w:line="277" w:lineRule="auto"/>
        <w:tabs>
          <w:tab w:leader="none" w:pos="7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 pricing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5" w:name="page16"/>
    <w:bookmarkEnd w:id="15"/>
    <w:p>
      <w:pPr>
        <w:ind w:right="320"/>
        <w:spacing w:after="0" w:line="279"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—Current income taxes are provided on income reported for financial statement purposes, adjusted for transactions that do not enter into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computation of income taxes payable in the same year. Deferred tax assets and liabilities are measured using enacted tax rates for the expected future tax consequences of temporary differences between the carrying amounts and the tax bases of assets and liabilities. A valuation allowance is established whenever management believes that it is more likely than not that deferred tax assets may not be realizable.</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U.S. income taxes are not provided on our equity in undistributed earnings of foreign subsidiaries or affiliates to the extent we have determined that the earnings are indefinitely reinvested. U.S. income taxes are provided on such earnings in the period in which we can no longer support that such earnings are indefinitely reinvested.</w:t>
      </w:r>
    </w:p>
    <w:p>
      <w:pPr>
        <w:spacing w:after="0" w:line="12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Tax benefits related to uncertain tax positions are recognized when it is more likely than not, based on the technical merits, that the position will be sustained upon examination.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expense and penalties recognized on underpayments of income taxes as income tax expense.</w:t>
      </w:r>
    </w:p>
    <w:p>
      <w:pPr>
        <w:spacing w:after="0" w:line="17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i w:val="1"/>
          <w:iCs w:val="1"/>
          <w:color w:val="auto"/>
        </w:rPr>
        <w:t>Stock-based employee compensation</w:t>
      </w:r>
      <w:r>
        <w:rPr>
          <w:rFonts w:ascii="Arial" w:cs="Arial" w:eastAsia="Arial" w:hAnsi="Arial"/>
          <w:sz w:val="16"/>
          <w:szCs w:val="16"/>
          <w:color w:val="auto"/>
        </w:rPr>
        <w:t>—We measure stock-based compensation expense on restricted stock awards based on the market price at the grant date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number of shares awarded. The stock-based compensation expense for each award is recognized ratably over the applicable service period or the period beginning at the start of the service period and ending when an employee becomes eligible for retirement. Forfeitures are recognized as they occur.</w:t>
      </w:r>
    </w:p>
    <w:p>
      <w:pPr>
        <w:spacing w:after="0" w:line="9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Common stock held in employee benefit trust</w:t>
      </w:r>
      <w:r>
        <w:rPr>
          <w:rFonts w:ascii="Arial" w:cs="Arial" w:eastAsia="Arial" w:hAnsi="Arial"/>
          <w:sz w:val="16"/>
          <w:szCs w:val="16"/>
          <w:color w:val="auto"/>
        </w:rPr>
        <w:t>—Shares of our common stock are purchased by the plan administrator of the Non-Qualified Plan and placed in</w:t>
      </w:r>
      <w:r>
        <w:rPr>
          <w:rFonts w:ascii="Arial" w:cs="Arial" w:eastAsia="Arial" w:hAnsi="Arial"/>
          <w:sz w:val="16"/>
          <w:szCs w:val="16"/>
          <w:i w:val="1"/>
          <w:iCs w:val="1"/>
          <w:color w:val="auto"/>
        </w:rPr>
        <w:t xml:space="preserve"> </w:t>
      </w:r>
      <w:r>
        <w:rPr>
          <w:rFonts w:ascii="Arial" w:cs="Arial" w:eastAsia="Arial" w:hAnsi="Arial"/>
          <w:sz w:val="16"/>
          <w:szCs w:val="16"/>
          <w:color w:val="auto"/>
        </w:rPr>
        <w:t>a trust owned by us. Purchased shares are recorded at cost and classified as a reduction of stockholders’ equity on the consolidated balance sheets.</w:t>
      </w:r>
    </w:p>
    <w:p>
      <w:pPr>
        <w:spacing w:after="0" w:line="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color w:val="auto"/>
        </w:rPr>
        <w:t>Earnings per common share (“EPS”)</w:t>
      </w:r>
      <w:r>
        <w:rPr>
          <w:rFonts w:ascii="Arial" w:cs="Arial" w:eastAsia="Arial" w:hAnsi="Arial"/>
          <w:sz w:val="18"/>
          <w:szCs w:val="18"/>
          <w:color w:val="auto"/>
        </w:rPr>
        <w:t>—Basic EPS is computed using the weighted-average number of common shares outstanding during the year. We use</w:t>
      </w:r>
      <w:r>
        <w:rPr>
          <w:rFonts w:ascii="Arial" w:cs="Arial" w:eastAsia="Arial" w:hAnsi="Arial"/>
          <w:sz w:val="18"/>
          <w:szCs w:val="18"/>
          <w:i w:val="1"/>
          <w:iCs w:val="1"/>
          <w:color w:val="auto"/>
        </w:rPr>
        <w:t xml:space="preserve"> </w:t>
      </w:r>
      <w:r>
        <w:rPr>
          <w:rFonts w:ascii="Arial" w:cs="Arial" w:eastAsia="Arial" w:hAnsi="Arial"/>
          <w:sz w:val="18"/>
          <w:szCs w:val="18"/>
          <w:color w:val="auto"/>
        </w:rPr>
        <w:t>the treasury stock method to compute diluted EPS which gives effect to the potential dilution of earnings that could have occurred if additional shares were issued for awards granted under our incentive compensation and stock plan. The treasury stock method assumes proceeds that would be obtained upon exercise of awards granted under our incentive compensation and stock plan are used to purchase outstanding common stock at the average market price during the period.</w:t>
      </w:r>
    </w:p>
    <w:p>
      <w:pPr>
        <w:spacing w:after="0" w:line="134"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Warranty obligations—</w:t>
      </w:r>
      <w:r>
        <w:rPr>
          <w:rFonts w:ascii="Arial" w:cs="Arial" w:eastAsia="Arial" w:hAnsi="Arial"/>
          <w:sz w:val="16"/>
          <w:szCs w:val="16"/>
          <w:color w:val="auto"/>
        </w:rPr>
        <w:t>We provide warranties of various lengths and terms to certain customers based on standard terms and conditions and negotiated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Estimated cost of warranties are accrued at the time revenue is recognized for products where reliable, historical experience of warranty claims and costs exists or when additional specific obligations are identified. The obligation reflected in other current liabilities on the consolidated balance sheets is based on historical experience by product and considers failure rates and the related costs in correcting a product failure. Should actual product failure rates or repair costs differ from our current estimates, revisions to the estimated warranty liability would be required.</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Foreign currency</w:t>
      </w:r>
      <w:r>
        <w:rPr>
          <w:rFonts w:ascii="Arial" w:cs="Arial" w:eastAsia="Arial" w:hAnsi="Arial"/>
          <w:sz w:val="17"/>
          <w:szCs w:val="17"/>
          <w:color w:val="auto"/>
        </w:rPr>
        <w:t>—Financial statements of operations for which the U.S. dollar is not the functional currency, and are located in non-highly inflationary</w:t>
      </w:r>
      <w:r>
        <w:rPr>
          <w:rFonts w:ascii="Arial" w:cs="Arial" w:eastAsia="Arial" w:hAnsi="Arial"/>
          <w:sz w:val="17"/>
          <w:szCs w:val="17"/>
          <w:i w:val="1"/>
          <w:iCs w:val="1"/>
          <w:color w:val="auto"/>
        </w:rPr>
        <w:t xml:space="preserve"> </w:t>
      </w:r>
      <w:r>
        <w:rPr>
          <w:rFonts w:ascii="Arial" w:cs="Arial" w:eastAsia="Arial" w:hAnsi="Arial"/>
          <w:sz w:val="17"/>
          <w:szCs w:val="17"/>
          <w:color w:val="auto"/>
        </w:rPr>
        <w:t>countries, are translated into U.S. dollars prior to consolidation. Assets and liabilities are translated at the exchange rate in effect at the balance sheet date, while income statement accounts are translated at the average exchange rate for each period. For these operations, translation gains and losses are recorded as a component of accumulated other comprehensive income (loss) in stockholders’ equity until the foreign entity is sold or liquidated. For operations in highly inflationary countries and where the local currency is not the functional currency, inventories, property, plant and equipment, and other non-current assets are converted to U.S. dollars at historical exchange rates, and all gains or losses from conversion are included in net income. Foreign currency effects on cash, cash equivalents and debt in hyperinflationary economies are included in interest income or expense.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6" w:name="page17"/>
    <w:bookmarkEnd w:id="16"/>
    <w:p>
      <w:pPr>
        <w:spacing w:after="0" w:line="259" w:lineRule="auto"/>
        <w:rPr>
          <w:sz w:val="20"/>
          <w:szCs w:val="20"/>
          <w:color w:val="auto"/>
        </w:rPr>
      </w:pPr>
      <w:r>
        <w:rPr>
          <w:rFonts w:ascii="Arial" w:cs="Arial" w:eastAsia="Arial" w:hAnsi="Arial"/>
          <w:sz w:val="18"/>
          <w:szCs w:val="18"/>
          <w:i w:val="1"/>
          <w:iCs w:val="1"/>
          <w:color w:val="auto"/>
        </w:rPr>
        <w:t>Derivative instruments—</w:t>
      </w:r>
      <w:r>
        <w:rPr>
          <w:rFonts w:ascii="Arial" w:cs="Arial" w:eastAsia="Arial" w:hAnsi="Arial"/>
          <w:sz w:val="18"/>
          <w:szCs w:val="18"/>
          <w:color w:val="auto"/>
        </w:rPr>
        <w:t>Derivatives are recognized on the consolidated balance sheets at fair value, with classification as current or non-current based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maturity of the derivative instrument. Changes in the fair value of derivative instruments are recorded in current earnings or deferred in accumulated other comprehensive income (loss), depending on the type of hedging transaction and whether a derivative is designated as, and is effective as, a hedge. Each instrument is accounted for individually and assets and liabilities are not offset.</w:t>
      </w:r>
    </w:p>
    <w:p>
      <w:pPr>
        <w:spacing w:after="0" w:line="13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Hedge accounting is only applied when the derivative is deemed to be highly effective at offsetting changes in anticipated cash flows of the hedged item or transaction. Changes in fair value of derivatives that are designated as cash flow hedges are deferred in accumulated other comprehensive income (loss) until the underlying transactions are recognized in earnings. At such time, related deferred hedging gains or losses are recorded in earnings on the same line as the hedged item. Effectiveness is assessed at the inception of the hedge and on a quarterly basis. Effectiveness of forward contract cash flow hedges are assessed based solely on changes in fair value attributable to the change in the spot rate. The change in the fair value of the contract related to the change in forward rates is excluded from the assessment of hedge effectiveness. Changes in this excluded component of the derivative instrument, along with any ineffectiveness identified, are recorded in earnings as incurred. We document our risk management strategy and hedge effectiveness at the inception of, and during the term of, each hedge.</w:t>
      </w:r>
    </w:p>
    <w:p>
      <w:pPr>
        <w:spacing w:after="0" w:line="1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also use forward contracts to hedge foreign currency assets and liabilities, for which we do not apply hedge accounting. The changes in fair value of these contracts are recognized in other income (expense), net on our consolidated statements of income, as they occur and offset gains or losses on the remeasurement of the related asset or liability.</w:t>
      </w:r>
    </w:p>
    <w:p>
      <w:pPr>
        <w:spacing w:after="0" w:line="12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flows from derivative contracts are reported in the consolidated statements of cash flows in the same categories as the cash flows from the underlying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MERGER OF FMC TECHNOLOGIES AND TECHNIP</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May 2016 FMC Technologies announced its intention to enter into a business combination with Technip S.A. (“Technip”). On June 14, 2016, FMC Technologies and Technip entered into a definitive business combination agreement providing for the business combination among FMC Technologies, FMC Technologies SIS Limited, a private limited company incorporated under the laws of England and Wales and a wholly-owned subsidiary of FMC Technologies, and Technip. On August 4, 2016, FMC Technologies SIS Limited changed its name to TechnipFMC Limited and was subsequently re-registered under the laws of England and Wales on January 11, 2017 as TechnipFMC plc (“TechnipFMC”). On December 5, 2016, the definitive business combination agreement was approved by the shareholders of both FMC Technologies and Technip.</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wholly-owned subsidiaries, were exchanged for 2.0 ordinary shares of TechnipFMC, subject to the terms of the definitive business combination agreement. Immediately following the Technip Merger, a wholly-owned indirect subsidiary of TechnipFMC (“Merger Sub”) merged with and into FMC Technologies, with FMC Technologies continuing as the surviving company and as a wholly-owned indirect subsidiary of TechnipFMC (the “FMCTI Merger”), and each share of common stock of FMC Technologies (the “FMCTI Shares”), other than FMCTI Shares owned by FMCTI, TechnipFMC, Merger Sub or their respective wholly-owned subsidiaries, were exchanged for 1.0 ordinary share of TechnipFMC, subject to the terms of the definitive business combination agreement.</w:t>
      </w:r>
    </w:p>
    <w:p>
      <w:pPr>
        <w:spacing w:after="0" w:line="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Business combination transaction and integration costs incurred were $45.2 million and $3.5 million during the years ended December 31, 2016 and 2015, respectively. Under the acquisition method of accounting, Technip was identified as the accounting acquirer.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Effective January 1, 2016, we adopted the Accounting Standards Update (“ASU”) No. 2016-09, </w:t>
      </w:r>
      <w:r>
        <w:rPr>
          <w:rFonts w:ascii="Arial" w:cs="Arial" w:eastAsia="Arial" w:hAnsi="Arial"/>
          <w:sz w:val="18"/>
          <w:szCs w:val="18"/>
          <w:i w:val="1"/>
          <w:iCs w:val="1"/>
          <w:color w:val="auto"/>
        </w:rPr>
        <w:t>“Improvements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Among other amendments, this update requires that excess tax benefits or deficiencies be recognized as income tax expense or benefit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statement and eliminates the requirement to reclassify excess tax benefits and deficiencies from operating activities to financing activities in the statement of cash flows. This updated guidance also gives an entity the election to either (i) estimate the forfeiture rate of employee stock-based awards or (ii) account for forfeitures as they occur. Prospectively beginning January 1, 2016, tax deficiencies have been reflected as income tax expense in the accompanying consolidated statement of income resulting in $5.8 million of additional tax expense for the year ended December 31, 2016. We elected to retrospectively classify excess tax benefits and deficiencies as operating activity and these amounts, which were immaterial for all periods presented, are reflected in the income taxes payable, net line item in the accompanying consolidated statement of cash flows. In addition, we elected to change our accounting policy to account for forfeitures in compensation cost as they occur. We believe this method is preferable as it better reflects actual stock-based compensation expense.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7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This update requires an entity to recognize revenue to depict the transfer of promised goods or services to customers in an amount that reflects the consideration to which the entity expects to be entitled in exchange for those goods or services. The ASU will supersede most existing GAAP related to revenue recognition and will supersede some cost guidance in existing GAAP related to construction-type and production-type contract accounting. Additionally, the ASU will significantly increase disclosures related to revenue recognition. In August 2015, the FASB issued ASU No. 2015-14 which deferred the effective date of ASU No. 2014-09 by one year, and as a result, is now effective for us on January 1, 2018. In March 2016, the FASB issued ASU No. 2016-08, “Principal versus Agent Considerations (Reporting Revenue Gross versus Net)” which clarifies the implementation guidance on principal versus agent considerations. Early application is permitted to the original effective date of January 1, 2017. Entities are permitted to apply the amendments either retrospectively to each prior reporting period presented or retrospectively with the cumulative effect of initially applying the ASU recognized at the date of initial application. During the third quarter of 2016, we completed the initial evaluation of the new standard and the related assessment and review of a representative sample of existing revenue contracts with our customers. We determined, on a preliminary basis, that although the timing and pattern of revenue recognition will remain largely unchanged, the analysis used to determine the timing and pattern of revenue recognition will differ. We also determined the primary impact of the adoption on our consolidated financial statements will be the additional required disclosures around revenue recognition in the notes to the consolidated financial statements. We have not determined the effect of the ASU on our internal control over financial reporting or other changes in business practices and processes but will do so in the design and implementation phase to occur over the next year. Due to the completion of the merger between FMC Technologies and Technip on January 16, 2017, our assessments and preliminary conclusions will be re-evaluated in context of TechnipFMC's combined operations and contracts with its customers.</w:t>
      </w:r>
    </w:p>
    <w:p>
      <w:pPr>
        <w:spacing w:after="0" w:line="1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July 2015, the FASB issued ASU No.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This update requires in scope inventory to be measured at the lower of cost and net realizable value rather than at the lower of cost or market under existing guidance. The amendments in this ASU are effective for us on January 1, 2017 and are required to be adopted prospectively. Early application is permitted. The adoption of this ASU did not have a material effect on our consolidated financial statements.</w:t>
      </w:r>
    </w:p>
    <w:p>
      <w:pPr>
        <w:spacing w:after="0" w:line="18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This update requires that a lessee recognize in the statement of financial position a liability to make lease payments and a right-of-use asset representing its right to use the underlying asset for the lease term. For leases with a term of 12 months or less, a lessee is permitted to make an accounting policy election by class of underlying asset not to recognize lease assets and lease liabilities. Similar to current guidance, the update continues to differentiate between finance leases and operating leases, however this distinction now primarily relates to differences in the manner of expense recognition over time and in the classification of lease payments in the statement of cash flows. The updated guidance leaves the accounting for leases by lessors largely unchanged from existing GAAP. Early application is permitted. Entities are required to use a modified retrospective adoption, with certain relief provisions, for leases that exist or are entered into after the beginning of the earliest comparative period in the financial statements when adopted. The guidance will become effective for us on January 1, 2019. The impacts that adoption of the ASU is expected to have on our consolidated financial statements and related disclosures are being evaluated. Additionally, we have not determined the effect of the ASU on our internal control over financial reporting or other changes in business practices and processes. Due to the completion of the merger between FMC Technologies and Technip on January 16, 2017, we will continue with the assessment and implementation of the ASU within the newly combined company.</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23" w:right="259" w:bottom="1440" w:gutter="0" w:footer="0" w:header="0"/>
        </w:sectPr>
      </w:pPr>
    </w:p>
    <w:bookmarkStart w:id="18" w:name="page19"/>
    <w:bookmarkEnd w:id="18"/>
    <w:p>
      <w:pPr>
        <w:ind w:right="160"/>
        <w:spacing w:after="0" w:line="302" w:lineRule="auto"/>
        <w:rPr>
          <w:sz w:val="20"/>
          <w:szCs w:val="20"/>
          <w:color w:val="auto"/>
        </w:rPr>
      </w:pPr>
      <w:r>
        <w:rPr>
          <w:rFonts w:ascii="Arial" w:cs="Arial" w:eastAsia="Arial" w:hAnsi="Arial"/>
          <w:sz w:val="16"/>
          <w:szCs w:val="16"/>
          <w:color w:val="auto"/>
        </w:rPr>
        <w:t xml:space="preserve">In October 2016, the FASB issued ASU No. 2016-16, </w:t>
      </w:r>
      <w:r>
        <w:rPr>
          <w:rFonts w:ascii="Arial" w:cs="Arial" w:eastAsia="Arial" w:hAnsi="Arial"/>
          <w:sz w:val="16"/>
          <w:szCs w:val="16"/>
          <w:i w:val="1"/>
          <w:iCs w:val="1"/>
          <w:color w:val="auto"/>
        </w:rPr>
        <w:t>“Intra-Entity Transfers of Assets Other Than Inventory.”</w:t>
      </w:r>
      <w:r>
        <w:rPr>
          <w:rFonts w:ascii="Arial" w:cs="Arial" w:eastAsia="Arial" w:hAnsi="Arial"/>
          <w:sz w:val="16"/>
          <w:szCs w:val="16"/>
          <w:color w:val="auto"/>
        </w:rPr>
        <w:t xml:space="preserve"> This update requires that income tax consequences are recognized on an intra-entity transfer of an asset other than inventory when the transfer occurs. The amendments in this ASU are effective for us on January 1, 2018 and are required to be adopted on a modified retrospective basis. Early application is permitted. Due to the completion of the merger between FMC Technologies and Technip on January 16, 2017, we will evaluate the impact of this ASU within the newly combined company.</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This update eliminates Step 2 from the goodwill impairment test. An annual or interim goodwill test should be performed by comparing the fair value of a reporting unit with its carrying amount. Income tax effects from any tax deductible goodwill on the carrying amount of the reporting unit should also be considered when measuring any applicable goodwill impairment loss. This updated guidance also eliminates the requirements for any reporting unit with a zero or negative carrying amount to perform a qualitative assessment and if it fails that qualitative assessment, to perform Step 2 of the goodwill impairment test. Any goodwill amount allocated to a reporting unit with a zero or negative carrying amount net of assets is required to be disclosed. The amendments in this ASU are effective for us January 1, 2020 and are required to be adopted prospectively. Early adoption is permitted. Due to the completion of the merger between FMC Technologies and Technip on January 16, 2017, we will evaluate the impact of this ASU within the newly combined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Effective January 1, 2016, we changed the method of valuing inventory for certain domestic inventories in our surface integrated services business from the last-in, first-out (LIFO) method to the first-in, first-out (FIFO) method under GAAP. The cumulative effect, net of income taxes, of the change in accounting principle was approximately $12.3 million and was recorded as an increase to retained earnings as of January 1, 2013. The statements of income for the years ended December 31, 2013, 2014, and 2015, including interim periods therein, were not retroactively adjusted as the adjustment for each of the periods was not material. We believe the FIFO method is preferable as it better reflects the current value of inventory reported in the consolidated balance sheets, provides for better matching of costs of goods sold with related revenue, provides for greater consistency and uniformity across our operations with respect to the method of inventory valuation, and is the method used by management to monitor the financial results of the business for operational and financial planning.</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attributable to FMC Technologies, Inc.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restricted stock units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shares and dilutive securities</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Basic earnings per share from continuing operations attributable to FMC Technologies, Inc.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0.21</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 from continuing operations attributable to FMC Technologies, Inc.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5. RESTRUCTURING AND IMPAIRMENT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impairment expense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02"/>
        </w:trPr>
        <w:tc>
          <w:tcPr>
            <w:tcW w:w="744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Restructuring expense:</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Subsea Technologies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Energy Infrastructure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7400" w:type="dxa"/>
            <w:vAlign w:val="bottom"/>
            <w:gridSpan w:val="3"/>
          </w:tcPr>
          <w:p>
            <w:pPr>
              <w:ind w:left="140"/>
              <w:spacing w:after="0"/>
              <w:rPr>
                <w:sz w:val="20"/>
                <w:szCs w:val="20"/>
                <w:color w:val="auto"/>
              </w:rPr>
            </w:pPr>
            <w:r>
              <w:rPr>
                <w:rFonts w:ascii="Arial" w:cs="Arial" w:eastAsia="Arial" w:hAnsi="Arial"/>
                <w:sz w:val="18"/>
                <w:szCs w:val="18"/>
                <w:color w:val="auto"/>
              </w:rPr>
              <w:t>Total restructuring expense</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45.7</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6"/>
        </w:trPr>
        <w:tc>
          <w:tcPr>
            <w:tcW w:w="74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Impairment expense:</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Subsea Technologies</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4"/>
          </w:tcPr>
          <w:p>
            <w:pPr>
              <w:ind w:left="40"/>
              <w:spacing w:after="0"/>
              <w:rPr>
                <w:sz w:val="20"/>
                <w:szCs w:val="20"/>
                <w:color w:val="auto"/>
              </w:rPr>
            </w:pPr>
            <w:r>
              <w:rPr>
                <w:rFonts w:ascii="Arial" w:cs="Arial" w:eastAsia="Arial" w:hAnsi="Arial"/>
                <w:sz w:val="18"/>
                <w:szCs w:val="18"/>
                <w:color w:val="auto"/>
              </w:rPr>
              <w:t>Energy Infrastructure</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7400" w:type="dxa"/>
            <w:vAlign w:val="bottom"/>
            <w:gridSpan w:val="3"/>
          </w:tcPr>
          <w:p>
            <w:pPr>
              <w:ind w:left="140"/>
              <w:spacing w:after="0"/>
              <w:rPr>
                <w:sz w:val="20"/>
                <w:szCs w:val="20"/>
                <w:color w:val="auto"/>
              </w:rPr>
            </w:pPr>
            <w:r>
              <w:rPr>
                <w:rFonts w:ascii="Arial" w:cs="Arial" w:eastAsia="Arial" w:hAnsi="Arial"/>
                <w:sz w:val="18"/>
                <w:szCs w:val="18"/>
                <w:color w:val="auto"/>
              </w:rPr>
              <w:t>Total impairment expense</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66.5</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restructuring and impairment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Restructuring—</w:t>
      </w:r>
      <w:r>
        <w:rPr>
          <w:rFonts w:ascii="Arial" w:cs="Arial" w:eastAsia="Arial" w:hAnsi="Arial"/>
          <w:sz w:val="18"/>
          <w:szCs w:val="18"/>
          <w:color w:val="auto"/>
        </w:rPr>
        <w:t>As a result of the decline in crude oil prices and its effect on the demand for products and services in the oilfield services industry worldwide,</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in 2015, we initiated a company-wide reduction in workforce and facility consolidation intended to reduce costs and better align our workforce with current and anticipated activity levels, which resulted in the recognition of severance costs relating to termination benefits and other restructuring charges.</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Asset impairments—</w:t>
      </w:r>
      <w:r>
        <w:rPr>
          <w:rFonts w:ascii="Arial" w:cs="Arial" w:eastAsia="Arial" w:hAnsi="Arial"/>
          <w:sz w:val="18"/>
          <w:szCs w:val="18"/>
          <w:color w:val="auto"/>
        </w:rPr>
        <w:t>We conduct impairment tests on long-lived assets whenever events or changes in circumstances indicate the carrying value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recoverable. The carrying value of a long-lived asset is not recoverable if it exceeds the sum of the undiscounted cash flows expected to result from the use and eventual disposition over the asset’s remaining useful life. Our review of recoverability of the carrying value of our assets considers several assumptions including the intended use and service potential of the asset.</w:t>
      </w:r>
    </w:p>
    <w:p>
      <w:pPr>
        <w:spacing w:after="0" w:line="13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prolonged downturn in the energy market and its corresponding impact on our business outlook led us to conclude the carrying amount of certain long-lived assets in our U.S. surface integrated services business exceeded their fair values. The low commodity price environment’s impact on our outlook for revenue growth and profitability of our U.S. surface integrated services business led us to record impairment charges in our Surface Technologies segment during the year ended December 31, 2016. These asset impairments included impairment charges of our flowback property, plant and equipment and related customer relationships intangible assets of $12.4 million and $3.4 million, respectively, to record the assets to their combined fair value of $44.7 million as of March 31, 2016.</w:t>
      </w:r>
    </w:p>
    <w:p>
      <w:pPr>
        <w:spacing w:after="0" w:line="13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Also, we recorded impairment charges of $15.3 million and $2.8 million, to our wireline equipment and allocated goodwill, respectively, to record the assets to their combined fair value of $20.0 million as of March 31, 2016. The impairment charges, recorded in our Surface Technologies segment, include wireline operations in both the United States and Canada and relate to the sale of these assets. Refer to Note 6 for information related to the sale of these assets.</w:t>
      </w:r>
    </w:p>
    <w:p>
      <w:pPr>
        <w:spacing w:after="0" w:line="9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During the year ended December 31, 2015, we recorded impairment charges in our Surface Technologies segment of $54.7 million related to our Canadian surface integrated services business. These charges include the complete impairment of customer relationships intangible asset and goodwill in our Canadian surface integrated services reporting unit of $33.3 million and $8.4 million, respectively, as well as a charge of $13.0 million to record wireline and flowback long-lived assets at their fair value of $39.4 million as of September 30, 2015. Refer to Note 19 to these consolidated financial statements for a discussion of the method used to determine the fair value of these assets. We did not record any impairment expenses during the year ended December 31, 2014.</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2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DISPOSITION OF BUSINESSES AND DISCONTINUED OPERATIONS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Material Handling Products—</w:t>
      </w:r>
      <w:r>
        <w:rPr>
          <w:rFonts w:ascii="Arial" w:cs="Arial" w:eastAsia="Arial" w:hAnsi="Arial"/>
          <w:sz w:val="17"/>
          <w:szCs w:val="17"/>
          <w:color w:val="auto"/>
        </w:rPr>
        <w:t>On April 30, 2014, we completed the sale of our equity interests of Technisys, Inc., a Utah corporation, and FMC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Energy Holdings Ltd., a private limited liability company organized under the laws of Hong Kong, and assets primarily representing a product line of our material handling business (“Material Handling Products”) to Syntron Material Handling, LLC, an affiliate of Levine Leichtman Capital Partners Private Capital Solutions II, L.P. Material Handling Products was historically reported in our Energy Infrastructure segment. Net of working capital adjustments, we recognized a pretax gain of $84.3 million on the sale during the year ended December 31, 2014.</w:t>
      </w:r>
    </w:p>
    <w:p>
      <w:pPr>
        <w:spacing w:after="0" w:line="11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Wireline Operations—</w:t>
      </w:r>
      <w:r>
        <w:rPr>
          <w:rFonts w:ascii="Arial" w:cs="Arial" w:eastAsia="Arial" w:hAnsi="Arial"/>
          <w:sz w:val="18"/>
          <w:szCs w:val="18"/>
          <w:color w:val="auto"/>
        </w:rPr>
        <w:t>On June 1, 2016, we completed the sale of our wireline operations in our surface integrated services businesses in the United States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Canada to Reliance Oilfield Services, LLC. Results of operations related to our wireline operations were historically reported in our Surface Technologies segment. We recognized a $0.7 million loss on the sale during the year ended December 31, 2016.</w:t>
      </w:r>
    </w:p>
    <w:p>
      <w:pPr>
        <w:spacing w:after="0" w:line="12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Blending and Transfer—</w:t>
      </w:r>
      <w:r>
        <w:rPr>
          <w:rFonts w:ascii="Arial" w:cs="Arial" w:eastAsia="Arial" w:hAnsi="Arial"/>
          <w:sz w:val="18"/>
          <w:szCs w:val="18"/>
          <w:color w:val="auto"/>
        </w:rPr>
        <w:t>On November 7, 2016, we completed the sale of our blending and transfer business to Emerson Electric Co. Results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our blending and transfer business were historically reported in our Energy Infrastructure segment. We recognized a $7.2 million gain on the sale during the year ended December 31, 2016.</w:t>
      </w:r>
    </w:p>
    <w:p>
      <w:pPr>
        <w:spacing w:after="0" w:line="12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Discontinued Operations—</w:t>
      </w:r>
      <w:r>
        <w:rPr>
          <w:rFonts w:ascii="Arial" w:cs="Arial" w:eastAsia="Arial" w:hAnsi="Arial"/>
          <w:sz w:val="18"/>
          <w:szCs w:val="18"/>
          <w:color w:val="auto"/>
        </w:rPr>
        <w:t>In 2007, the Algerian Tax Authority issued a notice of tax assessment against SOFEC Floating Systems, Inc. (“SOFEC”) for</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years 2003 through 2006. SOFEC, a former wholly-owned subsidiary of FMC Technologies, issued a protest in 2009 in response to the assessment, and during 2016, we were notified the tax assessment protest was officially rejected. During the period assessed, SOFEC engaged in a multi-year supply and installation project for Sonatrach, Algeria’s national oil company. During the year ended December 31, 2016, we expensed approximately $10.1 million, net of income taxes, related to this discontinued operation.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1014"/>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70"/>
        </w:trPr>
        <w:tc>
          <w:tcPr>
            <w:tcW w:w="8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As Adjusted</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723.4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LIFO and valuation adjustments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Historically, we have held quantities of inventory in our Surface Technologies segment necessary to react to fast-paced changes in customer demand, particularly in the North American market. As a result of the decline in crude oil prices and its effect on demand for products and services in the oilfield services industry as well as changes in the pattern of demand for certain types of inventory, we recorded $41.1 million of inventory valuation reserves in our Surface Technologies segment during the year ended December 31, 2015.</w:t>
      </w:r>
    </w:p>
    <w:p>
      <w:pPr>
        <w:spacing w:after="0" w:line="13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Net inventories accounted for under the LIFO method totaled $172.1 million and $253.6 million at December 31, 2016 and 2015, respectively. The current replacement costs of LIFO inventories exceeded their recorded values by $68.2 million and $90.2 million at December 31, 2016 and 2015, respectively. In 2016 and 2015 there were reductions in certain LIFO inventories which were carried at costs lower than current replacement costs. The result was a decrease in the cost of sales by $0.8 million and $2.3 million for 2016 and 2015, respectively. There was no reduction to the base LIFO inventory in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8. EQUITY METHOD INVESTMENTS</w:t>
      </w:r>
    </w:p>
    <w:p>
      <w:pPr>
        <w:spacing w:after="0" w:line="9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FTO Services</w:t>
      </w:r>
      <w:r>
        <w:rPr>
          <w:rFonts w:ascii="Arial" w:cs="Arial" w:eastAsia="Arial" w:hAnsi="Arial"/>
          <w:sz w:val="16"/>
          <w:szCs w:val="16"/>
          <w:color w:val="auto"/>
        </w:rPr>
        <w:t>—FMC Technologies Offshore, LLC (“FTO Services”) is an affiliated company in the form of a joint venture between FMC Technologies and</w:t>
      </w:r>
      <w:r>
        <w:rPr>
          <w:rFonts w:ascii="Arial" w:cs="Arial" w:eastAsia="Arial" w:hAnsi="Arial"/>
          <w:sz w:val="16"/>
          <w:szCs w:val="16"/>
          <w:i w:val="1"/>
          <w:iCs w:val="1"/>
          <w:color w:val="auto"/>
        </w:rPr>
        <w:t xml:space="preserve"> </w:t>
      </w:r>
      <w:r>
        <w:rPr>
          <w:rFonts w:ascii="Arial" w:cs="Arial" w:eastAsia="Arial" w:hAnsi="Arial"/>
          <w:sz w:val="16"/>
          <w:szCs w:val="16"/>
          <w:color w:val="auto"/>
        </w:rPr>
        <w:t>Edison Chouest Offshore LLC. We have accounted for our 50% investment using the equity method of accounting, and its results are reported in our Subsea Technologies segment. Additionally, prior to its expiration, debt obligations under a revolving credit facility of FTO Services were jointly and severally guaranteed by FMC Technologies and Edison Chouest Offshore LLC. Refer to Note 13 for additional information regarding the guarantee.</w:t>
      </w:r>
    </w:p>
    <w:p>
      <w:pPr>
        <w:spacing w:after="0" w:line="1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FTO Services experienced net losses since formation due to expenses related to startup of operations and as a result of the downturn in the oilfield services industry. We recognized $22.4 million and $44.5 million of losses from equity earnings in affiliates related to FTO Services for the years ended December 31, 2016 and 2015, which are included in lease and other income in the accompanying consolidated statements of income. The carrying value of our equity method investment in FTO Services was $(5.4) million as of December 31, 2016, and is included as a component of other current liabilities in the accompanying consolidated balance sheet. Due to market conditions, FMC Technologies and Edison Chouest Offshore LLC agreed during the third quarter of 2016 to dissolve FTO Services. Substantially all activities related to the joint venture have ceased. As part of the anticipated dissolution, we performed under the revolving credit facility guarantee with joint and equal payments of the maximum potential amount made by FMC Technologies and Edison Chouest Offshore LLC.</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Forsys Subsea</w:t>
      </w:r>
      <w:r>
        <w:rPr>
          <w:rFonts w:ascii="Arial" w:cs="Arial" w:eastAsia="Arial" w:hAnsi="Arial"/>
          <w:sz w:val="16"/>
          <w:szCs w:val="16"/>
          <w:color w:val="auto"/>
        </w:rPr>
        <w:t>—Forsys Subsea Limited (“Forsys Subsea”) is an affiliated company in the form of a joint venture between FMC Technologies and Technip.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Forsys Subsea provides front-end engineering and life-of-field decision support services for subsea fields globally, and its results are reported in our Subsea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Technologies segment. We have accounted for our 50% investment using the equity method of accounting. Forsys Subsea has experienced net losses since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formation due to expenses related to startup of operations and as a result of the downturn in the oilfield services industry. We recognized $14.1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$9.3 million of losses from equity earnings in affiliates related to Forsys Subsea for the years ended December 31, 2016 and 2015, which are included in lease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other income in the accompanying consolidated statements of income.</w:t>
      </w:r>
    </w:p>
    <w:p>
      <w:pPr>
        <w:spacing w:after="0" w:line="157" w:lineRule="exact"/>
        <w:rPr>
          <w:sz w:val="20"/>
          <w:szCs w:val="20"/>
          <w:color w:val="auto"/>
        </w:rPr>
      </w:pPr>
    </w:p>
    <w:p>
      <w:pPr>
        <w:jc w:val="both"/>
        <w:ind w:right="720"/>
        <w:spacing w:after="0" w:line="342" w:lineRule="auto"/>
        <w:rPr>
          <w:sz w:val="20"/>
          <w:szCs w:val="20"/>
          <w:color w:val="auto"/>
        </w:rPr>
      </w:pPr>
      <w:r>
        <w:rPr>
          <w:rFonts w:ascii="Arial" w:cs="Arial" w:eastAsia="Arial" w:hAnsi="Arial"/>
          <w:sz w:val="16"/>
          <w:szCs w:val="16"/>
          <w:color w:val="auto"/>
        </w:rPr>
        <w:t>As a result of the merger of FMC Technologies and Technip on January 16, 2017 which formed TechnipFMC, Forsys Subsea became a consolidated subsidiary of TechnipFMC. Refer to Note 2 for additional information regarding the business combination between FMC Technologies and Technip.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385.6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process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178.8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(892.1)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1,262.7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expense was $167.0, million, $179.5 million and $170.8 million in 2016, 2015 and 2014, respectively. The amount of interest cost capitalized was $1.8 million, $1.6 million and $0.9 million in 2016, 2015 and 2014,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8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10.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r>
        <w:rPr>
          <w:rFonts w:ascii="Arial" w:cs="Arial" w:eastAsia="Arial" w:hAnsi="Arial"/>
          <w:sz w:val="18"/>
          <w:szCs w:val="18"/>
          <w:color w:val="auto"/>
        </w:rPr>
        <w:t>—The carrying amount of goodwill by reporting segment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Subsea</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Surface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Energy</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Technologies</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Technologies</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Infrastructure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70"/>
        </w:trPr>
        <w:tc>
          <w:tcPr>
            <w:tcW w:w="5160" w:type="dxa"/>
            <w:vAlign w:val="bottom"/>
          </w:tcPr>
          <w:p>
            <w:pPr>
              <w:ind w:left="380"/>
              <w:spacing w:after="0" w:line="270" w:lineRule="exact"/>
              <w:rPr>
                <w:sz w:val="20"/>
                <w:szCs w:val="20"/>
                <w:color w:val="auto"/>
              </w:rPr>
            </w:pPr>
            <w:r>
              <w:rPr>
                <w:rFonts w:ascii="Arial" w:cs="Arial" w:eastAsia="Arial" w:hAnsi="Arial"/>
                <w:sz w:val="18"/>
                <w:szCs w:val="18"/>
                <w:color w:val="auto"/>
              </w:rPr>
              <w:t>Blending and Transfer divestiture</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UCOS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group transfer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Impairment</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Translation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366.5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Refer to Note 6 for information related to the Blending and Transfer divestiture.</w:t>
      </w:r>
    </w:p>
    <w:p>
      <w:pPr>
        <w:spacing w:after="0" w:line="104"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Beginning in the first quarter of 2016, UCOS</w:t>
      </w:r>
      <w:r>
        <w:rPr>
          <w:rFonts w:ascii="Arial" w:cs="Arial" w:eastAsia="Arial" w:hAnsi="Arial"/>
          <w:sz w:val="25"/>
          <w:szCs w:val="25"/>
          <w:color w:val="auto"/>
          <w:vertAlign w:val="superscript"/>
        </w:rPr>
        <w:t>®</w:t>
      </w:r>
      <w:r>
        <w:rPr>
          <w:rFonts w:ascii="Arial" w:cs="Arial" w:eastAsia="Arial" w:hAnsi="Arial"/>
          <w:sz w:val="16"/>
          <w:szCs w:val="16"/>
          <w:color w:val="auto"/>
        </w:rPr>
        <w:t xml:space="preserve"> product group results are included in Subsea Technologies. Refer to Note 21 for additional disclosure.</w:t>
      </w:r>
    </w:p>
    <w:p>
      <w:pPr>
        <w:spacing w:after="0" w:line="86"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Refer to Note 5 to these consolidated financial statements for additional disclosure related to impairment of goodwill during the years ended December 31, 2016 and 2015. We did not recognize any impairment for the year ended December 31, 2014 as the fair values of our reporting units with goodwill balances exceeded their carrying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—The components of intangible assets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89"/>
              </w:rPr>
              <w:t>2016</w:t>
            </w:r>
          </w:p>
        </w:tc>
        <w:tc>
          <w:tcPr>
            <w:tcW w:w="12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6"/>
              </w:rPr>
              <w:t>2015</w:t>
            </w: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3"/>
                <w:szCs w:val="13"/>
                <w:color w:val="auto"/>
              </w:rPr>
            </w:pPr>
          </w:p>
        </w:tc>
        <w:tc>
          <w:tcPr>
            <w:tcW w:w="980" w:type="dxa"/>
            <w:vAlign w:val="bottom"/>
          </w:tcPr>
          <w:p>
            <w:pPr>
              <w:jc w:val="center"/>
              <w:ind w:right="216"/>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112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4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Patents and acquired technology</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Software</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Refer to Note 5 to these consolidated financial statements for disclosure related to intangible asset impairment charges. We did not have any material additions to our intangible assets during 2016 or 2015.</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All of our acquired identifiable intangible assets are subject to amortization and, where applicable, foreign currency translation adjustments. We recorded</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$44.3 million, $43.9 million and $41.5 million in amortization expense related to intangible assets during the years ended December 31, 2016, 2015 and 2014, respectively. During the years 2017 through 2021, annual amortization expense is expected to be as follows: $39.1 million in 2017, $36.1 million in 2018, $32.9 million in 2019, $30.9 million in 2020, $28.7 million in 2021 and $106.3 million thereafter.</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11. DEBT</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Credit facility</w:t>
      </w:r>
      <w:r>
        <w:rPr>
          <w:rFonts w:ascii="Arial" w:cs="Arial" w:eastAsia="Arial" w:hAnsi="Arial"/>
          <w:sz w:val="18"/>
          <w:szCs w:val="18"/>
          <w:color w:val="auto"/>
        </w:rPr>
        <w:t>—On September 24, 2015, we entered into a $2.0 billion revolving credit agreement (“credit agreement”) with Wells Fargo Bank,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as Administrative Agent. The credit agreement is a five-year, revolving credit facility expiring in September 2020. Subject to certain conditions, at our request the aggregate commitments under the credit agreement may be increased by an additional $500.0 million.</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Borrowings under the credit agreement bear interest at the highest of three base rates or the London interbank offered rate (“LIBOR”), at our option, plus an applicable margin. Depending on our senior unsecured credit rating, the applicable margin for revolving loans varies (i) in the case of LIBOR loans, from 1.00% to 1.75% and (ii) in the case of base rate loans, from 0.00% to 0.75%.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new credit agreement, we terminated our previously existing $1.5 billion five-year revolving credit agreement.</w:t>
      </w:r>
    </w:p>
    <w:p>
      <w:pPr>
        <w:spacing w:after="0" w:line="17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On January 12, 2017, FMC Technologies, Inc. and Technip Eurocash SNC entered into a $2.5 billion five-year senior unsecured revolving credit facility agreement (“facility agreement”) with JPMorgan Chase Bank, National Association, as agent and an arranger, SG Americas Securities LLC as an arranger, and the lenders party thereto. Our previously existing $2.0 billion five-year revolving credit agreement was terminated upon availability of the facility agreement. Refer to Note 25 to these consolidated financial statements for additional disclosure related to the facility agreement.</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Senior Notes</w:t>
      </w:r>
      <w:r>
        <w:rPr>
          <w:rFonts w:ascii="Arial" w:cs="Arial" w:eastAsia="Arial" w:hAnsi="Arial"/>
          <w:sz w:val="18"/>
          <w:szCs w:val="18"/>
          <w:color w:val="auto"/>
        </w:rPr>
        <w:t>—On September 21, 2012, we completed the public offering of $300.0 million aggregate principal amount of 2.00% senior notes due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“2017 Notes”) and $500.0 million aggregate principal amount of 3.45% senior notes due October 2022 (the “2022 Notes” and, collectively with the 2017 Notes, the “Senior Notes”). Interest on the Senior Notes is payable semi-annually in arrears on April 1 and October 1 of each year, beginning April 1, 2013. Net proceeds from the offering of $793.8 million were used for the repayment of outstanding commercial paper and indebtedness under our revolving credit facility.</w:t>
      </w:r>
    </w:p>
    <w:p>
      <w:pPr>
        <w:spacing w:after="0" w:line="21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terms of the Senior Notes are governed by the indenture (the “Base Indenture”), dated as of September 21, 2012 between FMC Technologies and U.S. Bank National Association, as trustee (the “Trustee”), as amended and supplemented by the First Supplemental Indenture between FMC Technologies and the Trustee (the “First Supplemental Indenture”) relating to the issuance of the 2017 Notes and the Second Supplemental Indenture between FMC Technologies and the Trustee (the “Second Supplemental Indenture”) relating to the issuance of the 2022 Notes.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At any time prior to their maturity in the case of the 2017 Notes, and at any time prior to July 1, 2022, in the case of the 2022 Notes, we may redeem some or all of the Senior Notes at the redemption prices specified in the First Supplemental Indenture and Second Supplemental Indenture, respectively. At any time on or after July 1, 2022, we may redeem some or all of the 2022 Notes at the redemption price equal to 100% of the principal amount of the 2022 Notes redeemed. The Senior Notes are our senior unsecured obligations. The Senior Notes will rank equally in right of payment with all of our existing and future unsubordinated debt, and will rank senior in right of payment to all of our future subordinated debt.</w:t>
      </w:r>
    </w:p>
    <w:p>
      <w:pPr>
        <w:spacing w:after="0" w:line="11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Commercial paper</w:t>
      </w:r>
      <w:r>
        <w:rPr>
          <w:rFonts w:ascii="Arial" w:cs="Arial" w:eastAsia="Arial" w:hAnsi="Arial"/>
          <w:sz w:val="18"/>
          <w:szCs w:val="18"/>
          <w:color w:val="auto"/>
        </w:rPr>
        <w:t>—Under our commercial paper program, we have the ability to access $1.5 billion of short-term financing through our commercial paper</w:t>
      </w:r>
      <w:r>
        <w:rPr>
          <w:rFonts w:ascii="Arial" w:cs="Arial" w:eastAsia="Arial" w:hAnsi="Arial"/>
          <w:sz w:val="18"/>
          <w:szCs w:val="18"/>
          <w:i w:val="1"/>
          <w:iCs w:val="1"/>
          <w:color w:val="auto"/>
        </w:rPr>
        <w:t xml:space="preserve"> </w:t>
      </w:r>
      <w:r>
        <w:rPr>
          <w:rFonts w:ascii="Arial" w:cs="Arial" w:eastAsia="Arial" w:hAnsi="Arial"/>
          <w:sz w:val="18"/>
          <w:szCs w:val="18"/>
          <w:color w:val="auto"/>
        </w:rPr>
        <w:t>dealers subject to the limit of unused capacity of our revolving credit agreement. Commercial paper borrowings are issued at market interest rates. Commercial paper borrowings as of December 31, 2016, had a weighted average interest rate of 1.20%.</w:t>
      </w:r>
    </w:p>
    <w:p>
      <w:pPr>
        <w:spacing w:after="0" w:line="1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Term loan</w:t>
      </w:r>
      <w:r>
        <w:rPr>
          <w:rFonts w:ascii="Arial" w:cs="Arial" w:eastAsia="Arial" w:hAnsi="Arial"/>
          <w:sz w:val="18"/>
          <w:szCs w:val="18"/>
          <w:color w:val="auto"/>
        </w:rPr>
        <w:t>—In August 2013, we entered into a R$60.7 million term loan agreement in Brazil maturing on August 15, 2016, with Itaú BBA., as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Agent. Under the loan agreement, interest accrues at an annual rate of 5.50%. Principal is due at maturity and interest is paid quarterly. At maturity, all outstanding amounts under the term loan were repaid.</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Foreign uncommitted credit</w:t>
      </w:r>
      <w:r>
        <w:rPr>
          <w:rFonts w:ascii="Arial" w:cs="Arial" w:eastAsia="Arial" w:hAnsi="Arial"/>
          <w:sz w:val="18"/>
          <w:szCs w:val="18"/>
          <w:color w:val="auto"/>
        </w:rPr>
        <w:t>—We have uncommitted credit lines at many of our international subsidiaries for immaterial amounts. We utilize these facilities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more efficient daily source of liquidity. The effective interest rates depend upon the local national market.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Short-term debt and current portion of long-term debt</w:t>
      </w:r>
      <w:r>
        <w:rPr>
          <w:rFonts w:ascii="Arial" w:cs="Arial" w:eastAsia="Arial" w:hAnsi="Arial"/>
          <w:sz w:val="18"/>
          <w:szCs w:val="18"/>
          <w:color w:val="auto"/>
        </w:rPr>
        <w:t>—Short-term debt and current portion of long-term debt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 Notes due 2017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Foreign uncommitted credit facilities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short-term debt and current portion of long-term debt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Long-term debt</w:t>
            </w:r>
            <w:r>
              <w:rPr>
                <w:rFonts w:ascii="Arial" w:cs="Arial" w:eastAsia="Arial" w:hAnsi="Arial"/>
                <w:sz w:val="18"/>
                <w:szCs w:val="18"/>
                <w:color w:val="auto"/>
              </w:rPr>
              <w:t>—Long-term debt consisted of the following: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2.00% Notes due 2017</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3.45% Notes due 2022</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497.9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497.5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1,207.9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908.1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1,134.1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_______________________</w:t>
      </w:r>
    </w:p>
    <w:p>
      <w:pPr>
        <w:spacing w:after="0" w:line="121" w:lineRule="exact"/>
        <w:rPr>
          <w:sz w:val="20"/>
          <w:szCs w:val="20"/>
          <w:color w:val="auto"/>
        </w:rPr>
      </w:pPr>
    </w:p>
    <w:p>
      <w:pPr>
        <w:ind w:left="660" w:right="60" w:hanging="652"/>
        <w:spacing w:after="0" w:line="233"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At December 31, 2016 and 2015, committed credit available under our revolving credit facility provided the ability to refinance our commercial paper obligations on a long-term basis. As we have both the ability and intent to refinance these obligations on a long-term basis, our commercial paper borrowings were classified as long-term in the consolidated balance sheets at December 31, 2016 and 2015.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total long-term debt as of December 31, 2016, are payable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Payments Due by Period</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3"/>
                <w:szCs w:val="13"/>
                <w:color w:val="auto"/>
              </w:rPr>
            </w:pPr>
          </w:p>
        </w:tc>
        <w:tc>
          <w:tcPr>
            <w:tcW w:w="118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88"/>
              </w:rPr>
              <w:t>Less than</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center"/>
              <w:ind w:right="262"/>
              <w:spacing w:after="0" w:line="153" w:lineRule="exact"/>
              <w:rPr>
                <w:sz w:val="20"/>
                <w:szCs w:val="20"/>
                <w:color w:val="auto"/>
              </w:rPr>
            </w:pPr>
            <w:r>
              <w:rPr>
                <w:rFonts w:ascii="Arial" w:cs="Arial" w:eastAsia="Arial" w:hAnsi="Arial"/>
                <w:sz w:val="14"/>
                <w:szCs w:val="14"/>
                <w:b w:val="1"/>
                <w:bCs w:val="1"/>
                <w:color w:val="auto"/>
                <w:w w:val="88"/>
              </w:rPr>
              <w:t>1-3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562"/>
              <w:spacing w:after="0" w:line="153" w:lineRule="exact"/>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center"/>
              <w:ind w:right="242"/>
              <w:spacing w:after="0" w:line="153" w:lineRule="exact"/>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8"/>
              </w:rPr>
              <w:t>payments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3"/>
              </w:rPr>
              <w:t>1 year</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1,207.9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299.8</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410.2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6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SALE LEASEBACK TRANSACTION</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March 2007, we sold and leased back property in Houston, Texas, consisting of land, offices and production facilities primarily related to the Subsea Technologies and Surface Technologies segments. We received net proceeds of $58.1 million in connection with the sale. The carrying value of the property sold was $20.3 million. We accounted for the transaction as a sale leaseback resulting in (i) first quarter 2007 recognition of $1.3 million of the $37.4 million gain on the transaction and (ii) the deferral of the remaining $36.1 million of the gain, which will be amortized to rent expense over the lease term. The deferred gain is presented in other liabilities in the consolidated balance sheet. The lease expires in 2022 and provides for two 5-year optional extensions. Annual rent of $4.2 million escalates 2.0% per year, and beginning in April 2017, annual rent will be re-established at $4.5 million and escalate 2.0% per year. The lease was recorded as an operating lease.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13. COMMITMENTS AND CONTINGENT LIABILITIES</w:t>
      </w:r>
    </w:p>
    <w:p>
      <w:pPr>
        <w:spacing w:after="0" w:line="121"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i w:val="1"/>
          <w:iCs w:val="1"/>
          <w:color w:val="auto"/>
        </w:rPr>
        <w:t>Commitments associated with leases—</w:t>
      </w:r>
      <w:r>
        <w:rPr>
          <w:rFonts w:ascii="Arial" w:cs="Arial" w:eastAsia="Arial" w:hAnsi="Arial"/>
          <w:sz w:val="16"/>
          <w:szCs w:val="16"/>
          <w:color w:val="auto"/>
        </w:rPr>
        <w:t>We lease office space, manufacturing facilities and various types of manufacturing and data processing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Leases of real estate generally provide for payment of property taxes, insurance and repairs by us. Substantially all of our leases are classified as operating leases. Rent expense under operating leases amounted to $115.6 million, $131.2 million and $136.8 million in 2016, 2015 and 2014, respectively.</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2014 we entered into construction and operating lease agreements to finance the construction of manufacturing and office facilities located in Houston, TX. In January 2016, construction of the facilities was completed and rental payments under the operating lease commenced. Upon expiration of the operating lease in September 2021, we have the option to renew the lease, purchase the facilities or re-market the facilities on behalf of the lessor, including certain guarantees of residual value under the re-marketing option.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future minimum rental payments under noncancellable operating leases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6"/>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w:t>
            </w:r>
          </w:p>
        </w:tc>
      </w:tr>
      <w:tr>
        <w:trPr>
          <w:trHeight w:val="243"/>
        </w:trPr>
        <w:tc>
          <w:tcPr>
            <w:tcW w:w="9840" w:type="dxa"/>
            <w:vAlign w:val="bottom"/>
          </w:tcPr>
          <w:p>
            <w:pPr>
              <w:ind w:left="40"/>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65.3</w:t>
            </w:r>
          </w:p>
        </w:tc>
      </w:tr>
      <w:tr>
        <w:trPr>
          <w:trHeight w:val="27"/>
        </w:trPr>
        <w:tc>
          <w:tcPr>
            <w:tcW w:w="9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43"/>
        </w:trPr>
        <w:tc>
          <w:tcPr>
            <w:tcW w:w="9840" w:type="dxa"/>
            <w:vAlign w:val="bottom"/>
          </w:tcPr>
          <w:p>
            <w:pPr>
              <w:ind w:left="4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27"/>
        </w:trPr>
        <w:tc>
          <w:tcPr>
            <w:tcW w:w="9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43"/>
        </w:trPr>
        <w:tc>
          <w:tcPr>
            <w:tcW w:w="98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101.5</w:t>
            </w:r>
          </w:p>
        </w:tc>
      </w:tr>
      <w:tr>
        <w:trPr>
          <w:trHeight w:val="27"/>
        </w:trPr>
        <w:tc>
          <w:tcPr>
            <w:tcW w:w="98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9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381.8</w:t>
            </w:r>
          </w:p>
        </w:tc>
      </w:tr>
      <w:tr>
        <w:trPr>
          <w:trHeight w:val="243"/>
        </w:trPr>
        <w:tc>
          <w:tcPr>
            <w:tcW w:w="9840" w:type="dxa"/>
            <w:vAlign w:val="bottom"/>
          </w:tcPr>
          <w:p>
            <w:pPr>
              <w:ind w:left="40"/>
              <w:spacing w:after="0"/>
              <w:rPr>
                <w:sz w:val="20"/>
                <w:szCs w:val="20"/>
                <w:color w:val="auto"/>
              </w:rPr>
            </w:pPr>
            <w:r>
              <w:rPr>
                <w:rFonts w:ascii="Arial" w:cs="Arial" w:eastAsia="Arial" w:hAnsi="Arial"/>
                <w:sz w:val="18"/>
                <w:szCs w:val="18"/>
                <w:color w:val="auto"/>
              </w:rPr>
              <w:t>Less income from subleases</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98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minimum operating lease payments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379.5</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Contingent liabilities associated with guarantees—</w:t>
      </w:r>
      <w:r>
        <w:rPr>
          <w:rFonts w:ascii="Arial" w:cs="Arial" w:eastAsia="Arial" w:hAnsi="Arial"/>
          <w:sz w:val="18"/>
          <w:szCs w:val="18"/>
          <w:color w:val="auto"/>
        </w:rPr>
        <w:t>In the ordinary course of business, we enter into standby letters of credit, performance bonds, surety bonds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guarantees with financial institutions for the benefit of our customers, vendors and other parties. These financial instruments at December 31, 2016, represented $597.5 million of guarantees related to our future performance and $52.0 million of guarantees to secure a portion of our existing financial obligations. We expect to replace these financial instruments as they mature through the issuance of new or the extension of existing letters of credit and surety bonds.</w:t>
      </w:r>
    </w:p>
    <w:p>
      <w:pPr>
        <w:spacing w:after="0" w:line="13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August 2014 FMC Technologies entered into an arrangement to guarantee the debt obligations under a revolving credit facility of FTO Services, our joint venture with Edison Chouest Offshore LLC. Under the terms of the guarantee, FMC Technologies and Edison Chouest Offshore LLC jointly and severally guaranteed amounts under the revolving credit facility with a maximum potential amount of future payments of $40.0 million that would become payable if FTO Services defaults in payment under the terms of the revolving credit facility. The term of the guarantee, which expired in August 2016, was two years. During 2016, we performed under the guarantee with joint and equal payments of the maximum potential amount made by FMC Technologies and Edison Chouest Offshore LLC. Refer to Note 8 for additional information regarding the accounting for our investment in FTO Services.</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Management believes the ultimate resolution of our known contingencies will not materially affect our consolidated financial position, results of operations, or cash flows.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Contingent liabilities associated with legal matters—</w:t>
      </w:r>
      <w:r>
        <w:rPr>
          <w:rFonts w:ascii="Arial" w:cs="Arial" w:eastAsia="Arial" w:hAnsi="Arial"/>
          <w:sz w:val="18"/>
          <w:szCs w:val="18"/>
          <w:color w:val="auto"/>
        </w:rPr>
        <w:t>We are involved in various pending or potential legal actions in the ordinary course of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is unable to predict the ultimate outcome of these actions, because of the inherent uncertainty of litigation. However, management believes that the most probable, ultimate resolution of these matters will not have a material adverse effect on our consolidated financial position, results of operations or cash flows.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14.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stock</w:t>
      </w:r>
      <w:r>
        <w:rPr>
          <w:rFonts w:ascii="Arial" w:cs="Arial" w:eastAsia="Arial" w:hAnsi="Arial"/>
          <w:sz w:val="18"/>
          <w:szCs w:val="18"/>
          <w:color w:val="auto"/>
        </w:rPr>
        <w:t>—The following is a summary of our capital stock activity for the years ended December 31, 2016, 2015 and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Held in</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 of shares in thousands)</w:t>
            </w: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Employee</w:t>
            </w:r>
          </w:p>
        </w:tc>
        <w:tc>
          <w:tcPr>
            <w:tcW w:w="14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Stock Issued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Benefit Trust</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286,318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50,318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Stock awards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purchases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stock purchased for (sold from) employee benefit trust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286,318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54,626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Stock awards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purchases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stock purchased for (sold from) employee benefit trust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286,318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59,356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Stock awards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purchases</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stock purchased for (sold from) employee benefit trust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286,318</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60,440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the Board of Directors had authorized 90 million shares of common stock under our share repurchase program. We repurchased</w:t>
      </w:r>
    </w:p>
    <w:p>
      <w:pPr>
        <w:spacing w:after="0" w:line="4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$50.6 million, $190.4 million and $247.6 million of common stock during 2016, 2015 and 2014, respectively, under the authorized repurchase program. As of December 31, 2016, approximately 15.9 million shares remained available for purchase under the current program. Pursuant to the business combination agreement executed by FMC Technologies and Technip on June 14, 2016, repurchases of common stock during the period prior to the closing of the merger were suspended. We intend to hold repurchased shares in treasury for general corporate purposes, including issuances under our employee incentive compensation and stock plans. Treasury shares are accounted for using the cost method. Upon the consummation of the merger of FMC Technologies and Technip on January 16, 2017, our share repurchase program was effectively terminated. Refer to Note 2 to these consolidated financial statements for additional disclosure related to the merger.</w:t>
      </w:r>
    </w:p>
    <w:p>
      <w:pPr>
        <w:spacing w:after="0" w:line="1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plan administrator of the Non-Qualified Plan purchases shares of our common stock on the open market. Such shares are placed in a trust owned by FMC Technologies.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 cash dividends were declared on our common stock in 2016, 2015 or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—Accumulated other comprehensive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Foreign Currency</w:t>
            </w: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Defined Pension</w:t>
            </w:r>
          </w:p>
        </w:tc>
        <w:tc>
          <w:tcPr>
            <w:tcW w:w="160" w:type="dxa"/>
            <w:vAlign w:val="bottom"/>
          </w:tcPr>
          <w:p>
            <w:pPr>
              <w:spacing w:after="0"/>
              <w:rPr>
                <w:sz w:val="14"/>
                <w:szCs w:val="14"/>
                <w:color w:val="auto"/>
              </w:rPr>
            </w:pPr>
          </w:p>
        </w:tc>
        <w:tc>
          <w:tcPr>
            <w:tcW w:w="15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9"/>
              </w:rPr>
              <w:t>Accumulated Other</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Hedging</w:t>
            </w:r>
          </w:p>
        </w:tc>
        <w:tc>
          <w:tcPr>
            <w:tcW w:w="24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 Other</w:t>
            </w:r>
          </w:p>
        </w:tc>
        <w:tc>
          <w:tcPr>
            <w:tcW w:w="1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3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Post-Retirement Benefits</w:t>
            </w:r>
          </w:p>
        </w:tc>
        <w:tc>
          <w:tcPr>
            <w:tcW w:w="160" w:type="dxa"/>
            <w:vAlign w:val="bottom"/>
          </w:tcPr>
          <w:p>
            <w:pPr>
              <w:spacing w:after="0"/>
              <w:rPr>
                <w:sz w:val="16"/>
                <w:szCs w:val="16"/>
                <w:color w:val="auto"/>
              </w:rPr>
            </w:pPr>
          </w:p>
        </w:tc>
        <w:tc>
          <w:tcPr>
            <w:tcW w:w="1540" w:type="dxa"/>
            <w:vAlign w:val="bottom"/>
          </w:tcPr>
          <w:p>
            <w:pPr>
              <w:jc w:val="right"/>
              <w:ind w:right="133"/>
              <w:spacing w:after="0"/>
              <w:rPr>
                <w:sz w:val="20"/>
                <w:szCs w:val="20"/>
                <w:color w:val="auto"/>
              </w:rPr>
            </w:pPr>
            <w:r>
              <w:rPr>
                <w:rFonts w:ascii="Arial" w:cs="Arial" w:eastAsia="Arial" w:hAnsi="Arial"/>
                <w:sz w:val="14"/>
                <w:szCs w:val="14"/>
                <w:b w:val="1"/>
                <w:bCs w:val="1"/>
                <w:color w:val="auto"/>
                <w:w w:val="91"/>
              </w:rPr>
              <w:t>Comprehensive Loss</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reclassifications, net of tax</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 for net (gains) losses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 net income,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0" w:type="dxa"/>
            <w:vAlign w:val="bottom"/>
          </w:tcPr>
          <w:p>
            <w:pPr>
              <w:spacing w:after="0"/>
              <w:rPr>
                <w:sz w:val="1"/>
                <w:szCs w:val="1"/>
                <w:color w:val="auto"/>
              </w:rPr>
            </w:pPr>
          </w:p>
        </w:tc>
      </w:tr>
      <w:tr>
        <w:trPr>
          <w:trHeight w:val="209"/>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reclassifications, net of tax</w:t>
            </w:r>
          </w:p>
        </w:tc>
        <w:tc>
          <w:tcPr>
            <w:tcW w:w="220" w:type="dxa"/>
            <w:vAlign w:val="bottom"/>
          </w:tcPr>
          <w:p>
            <w:pPr>
              <w:spacing w:after="0"/>
              <w:rPr>
                <w:sz w:val="20"/>
                <w:szCs w:val="20"/>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 adjustment for net (gains) losses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 net income,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Reclassifications out of accumulated other comprehensive loss</w:t>
      </w:r>
      <w:r>
        <w:rPr>
          <w:rFonts w:ascii="Arial" w:cs="Arial" w:eastAsia="Arial" w:hAnsi="Arial"/>
          <w:sz w:val="16"/>
          <w:szCs w:val="16"/>
          <w:color w:val="auto"/>
        </w:rPr>
        <w:t>—Reclassifications out of accumulated other comprehensive loss consisted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660" w:type="dxa"/>
            <w:vAlign w:val="bottom"/>
            <w:gridSpan w:val="6"/>
          </w:tcPr>
          <w:p>
            <w:pPr>
              <w:ind w:left="4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2016</w:t>
            </w: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2015</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2014</w:t>
            </w:r>
          </w:p>
        </w:tc>
        <w:tc>
          <w:tcPr>
            <w:tcW w:w="1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3660" w:type="dxa"/>
            <w:vAlign w:val="bottom"/>
            <w:gridSpan w:val="6"/>
          </w:tcPr>
          <w:p>
            <w:pPr>
              <w:ind w:left="40"/>
              <w:spacing w:after="0" w:line="153" w:lineRule="exact"/>
              <w:rPr>
                <w:sz w:val="20"/>
                <w:szCs w:val="20"/>
                <w:color w:val="auto"/>
              </w:rPr>
            </w:pPr>
            <w:r>
              <w:rPr>
                <w:rFonts w:ascii="Arial" w:cs="Arial" w:eastAsia="Arial" w:hAnsi="Arial"/>
                <w:sz w:val="14"/>
                <w:szCs w:val="14"/>
                <w:b w:val="1"/>
                <w:bCs w:val="1"/>
                <w:color w:val="auto"/>
                <w:w w:val="98"/>
              </w:rPr>
              <w:t>Details about Accumulated Other Comprehensive Loss</w:t>
            </w:r>
          </w:p>
        </w:tc>
        <w:tc>
          <w:tcPr>
            <w:tcW w:w="4000" w:type="dxa"/>
            <w:vAlign w:val="bottom"/>
            <w:gridSpan w:val="8"/>
          </w:tcPr>
          <w:p>
            <w:pPr>
              <w:jc w:val="center"/>
              <w:spacing w:after="0" w:line="153" w:lineRule="exact"/>
              <w:rPr>
                <w:sz w:val="20"/>
                <w:szCs w:val="20"/>
                <w:color w:val="auto"/>
              </w:rPr>
            </w:pPr>
            <w:r>
              <w:rPr>
                <w:rFonts w:ascii="Arial" w:cs="Arial" w:eastAsia="Arial" w:hAnsi="Arial"/>
                <w:sz w:val="14"/>
                <w:szCs w:val="14"/>
                <w:b w:val="1"/>
                <w:bCs w:val="1"/>
                <w:color w:val="auto"/>
                <w:w w:val="92"/>
              </w:rPr>
              <w:t>Amount Reclassified out of Accumulated Other Comprehensive</w:t>
            </w:r>
          </w:p>
        </w:tc>
        <w:tc>
          <w:tcPr>
            <w:tcW w:w="120" w:type="dxa"/>
            <w:vAlign w:val="bottom"/>
          </w:tcPr>
          <w:p>
            <w:pPr>
              <w:spacing w:after="0"/>
              <w:rPr>
                <w:sz w:val="13"/>
                <w:szCs w:val="13"/>
                <w:color w:val="auto"/>
              </w:rPr>
            </w:pPr>
          </w:p>
        </w:tc>
        <w:tc>
          <w:tcPr>
            <w:tcW w:w="364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Affected Line Item in the Consolidated Statement of</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Components</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2"/>
        </w:trPr>
        <w:tc>
          <w:tcPr>
            <w:tcW w:w="3660" w:type="dxa"/>
            <w:vAlign w:val="bottom"/>
            <w:gridSpan w:val="6"/>
            <w:shd w:val="clear" w:color="auto" w:fill="CCEEFF"/>
          </w:tcPr>
          <w:p>
            <w:pPr>
              <w:ind w:left="40"/>
              <w:spacing w:after="0" w:line="202" w:lineRule="exact"/>
              <w:rPr>
                <w:sz w:val="20"/>
                <w:szCs w:val="20"/>
                <w:color w:val="auto"/>
              </w:rPr>
            </w:pPr>
            <w:r>
              <w:rPr>
                <w:rFonts w:ascii="Arial" w:cs="Arial" w:eastAsia="Arial" w:hAnsi="Arial"/>
                <w:sz w:val="18"/>
                <w:szCs w:val="18"/>
                <w:color w:val="auto"/>
              </w:rPr>
              <w:t>Gains (losses) on hedging instruments</w:t>
            </w: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1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60" w:type="dxa"/>
            <w:vAlign w:val="bottom"/>
            <w:gridSpan w:val="6"/>
          </w:tcPr>
          <w:p>
            <w:pPr>
              <w:ind w:left="40"/>
              <w:spacing w:after="0"/>
              <w:rPr>
                <w:sz w:val="20"/>
                <w:szCs w:val="20"/>
                <w:color w:val="auto"/>
              </w:rPr>
            </w:pPr>
            <w:r>
              <w:rPr>
                <w:rFonts w:ascii="Arial" w:cs="Arial" w:eastAsia="Arial" w:hAnsi="Arial"/>
                <w:sz w:val="18"/>
                <w:szCs w:val="18"/>
                <w:color w:val="auto"/>
              </w:rPr>
              <w:t>Foreign exchange contracts:</w:t>
            </w: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Revenue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of sales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660" w:type="dxa"/>
            <w:vAlign w:val="bottom"/>
            <w:gridSpan w:val="6"/>
            <w:vMerge w:val="restart"/>
          </w:tcPr>
          <w:p>
            <w:pPr>
              <w:ind w:left="40"/>
              <w:spacing w:after="0" w:line="202" w:lineRule="exact"/>
              <w:rPr>
                <w:sz w:val="20"/>
                <w:szCs w:val="20"/>
                <w:color w:val="auto"/>
              </w:rPr>
            </w:pPr>
            <w:r>
              <w:rPr>
                <w:rFonts w:ascii="Arial" w:cs="Arial" w:eastAsia="Arial" w:hAnsi="Arial"/>
                <w:sz w:val="18"/>
                <w:szCs w:val="18"/>
                <w:color w:val="auto"/>
              </w:rPr>
              <w:t>Defined pension and other post-retirement</w:t>
            </w: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60" w:type="dxa"/>
            <w:vAlign w:val="bottom"/>
            <w:gridSpan w:val="6"/>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80" w:type="dxa"/>
            <w:vAlign w:val="bottom"/>
            <w:gridSpan w:val="2"/>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gridSpan w:val="6"/>
          </w:tcPr>
          <w:p>
            <w:pPr>
              <w:ind w:left="40"/>
              <w:spacing w:after="0" w:line="196" w:lineRule="exact"/>
              <w:rPr>
                <w:sz w:val="20"/>
                <w:szCs w:val="20"/>
                <w:color w:val="auto"/>
              </w:rPr>
            </w:pPr>
            <w:r>
              <w:rPr>
                <w:rFonts w:ascii="Arial" w:cs="Arial" w:eastAsia="Arial" w:hAnsi="Arial"/>
                <w:sz w:val="18"/>
                <w:szCs w:val="18"/>
                <w:color w:val="auto"/>
              </w:rPr>
              <w:t>benefits</w:t>
            </w: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Settlements and curtailments</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3660" w:type="dxa"/>
            <w:vAlign w:val="bottom"/>
            <w:gridSpan w:val="6"/>
          </w:tcPr>
          <w:p>
            <w:pPr>
              <w:ind w:left="40"/>
              <w:spacing w:after="0"/>
              <w:rPr>
                <w:sz w:val="20"/>
                <w:szCs w:val="20"/>
                <w:color w:val="auto"/>
              </w:rPr>
            </w:pPr>
            <w:r>
              <w:rPr>
                <w:rFonts w:ascii="Arial" w:cs="Arial" w:eastAsia="Arial" w:hAnsi="Arial"/>
                <w:sz w:val="18"/>
                <w:szCs w:val="18"/>
                <w:color w:val="auto"/>
              </w:rPr>
              <w:t>Amortization of actuarial loss</w:t>
            </w: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3660" w:type="dxa"/>
            <w:vAlign w:val="bottom"/>
            <w:gridSpan w:val="6"/>
          </w:tcPr>
          <w:p>
            <w:pPr>
              <w:ind w:left="40"/>
              <w:spacing w:after="0"/>
              <w:rPr>
                <w:sz w:val="20"/>
                <w:szCs w:val="20"/>
                <w:color w:val="auto"/>
              </w:rPr>
            </w:pPr>
            <w:r>
              <w:rPr>
                <w:rFonts w:ascii="Arial" w:cs="Arial" w:eastAsia="Arial" w:hAnsi="Arial"/>
                <w:sz w:val="18"/>
                <w:szCs w:val="18"/>
                <w:color w:val="auto"/>
              </w:rPr>
              <w:t>Amortization of transition asset</w:t>
            </w:r>
          </w:p>
        </w:tc>
        <w:tc>
          <w:tcPr>
            <w:tcW w:w="4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2"/>
                <w:szCs w:val="22"/>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30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gridSpan w:val="3"/>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These accumulated other comprehensive income components are included in the computation of net periodic pension cost (see Note 16 for additional details).</w:t>
      </w:r>
    </w:p>
    <w:p>
      <w:pPr>
        <w:spacing w:after="0" w:line="234" w:lineRule="exact"/>
        <w:rPr>
          <w:rFonts w:ascii="Arial" w:cs="Arial" w:eastAsia="Arial" w:hAnsi="Arial"/>
          <w:sz w:val="23"/>
          <w:szCs w:val="23"/>
          <w:color w:val="auto"/>
          <w:vertAlign w:val="superscript"/>
        </w:rPr>
      </w:pPr>
    </w:p>
    <w:p>
      <w:pPr>
        <w:ind w:left="5620"/>
        <w:spacing w:after="0"/>
        <w:rPr>
          <w:rFonts w:ascii="Arial" w:cs="Arial" w:eastAsia="Arial" w:hAnsi="Arial"/>
          <w:sz w:val="23"/>
          <w:szCs w:val="23"/>
          <w:color w:val="auto"/>
          <w:vertAlign w:val="superscript"/>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income (loss) before income taxes</w:t>
      </w:r>
      <w:r>
        <w:rPr>
          <w:rFonts w:ascii="Arial" w:cs="Arial" w:eastAsia="Arial" w:hAnsi="Arial"/>
          <w:sz w:val="18"/>
          <w:szCs w:val="18"/>
          <w:color w:val="auto"/>
        </w:rPr>
        <w:t>—Domestic and foreign components of income (loss) before income taxes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Foreign</w:t>
            </w: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484.4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707.7</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Income before income taxes attributable to FMC Technologies, Inc.</w:t>
            </w: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1,060.9</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w w:val="96"/>
              </w:rPr>
              <w:t>Provision for income tax</w:t>
            </w:r>
            <w:r>
              <w:rPr>
                <w:rFonts w:ascii="Arial" w:cs="Arial" w:eastAsia="Arial" w:hAnsi="Arial"/>
                <w:sz w:val="18"/>
                <w:szCs w:val="18"/>
                <w:color w:val="auto"/>
                <w:w w:val="96"/>
              </w:rPr>
              <w:t>—The provision for income taxes consisted of:</w:t>
            </w:r>
          </w:p>
        </w:tc>
        <w:tc>
          <w:tcPr>
            <w:tcW w:w="1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5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Federal</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(105.9)</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w:t>
            </w: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Foreign</w:t>
            </w: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13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23"/>
        </w:trPr>
        <w:tc>
          <w:tcPr>
            <w:tcW w:w="5440" w:type="dxa"/>
            <w:vAlign w:val="bottom"/>
          </w:tcPr>
          <w:p>
            <w:pPr>
              <w:ind w:left="40"/>
              <w:spacing w:after="0"/>
              <w:rPr>
                <w:sz w:val="20"/>
                <w:szCs w:val="20"/>
                <w:color w:val="auto"/>
              </w:rPr>
            </w:pPr>
            <w:r>
              <w:rPr>
                <w:rFonts w:ascii="Arial" w:cs="Arial" w:eastAsia="Arial" w:hAnsi="Arial"/>
                <w:sz w:val="18"/>
                <w:szCs w:val="18"/>
                <w:color w:val="auto"/>
              </w:rPr>
              <w:t>Deferred:</w:t>
            </w:r>
          </w:p>
        </w:tc>
        <w:tc>
          <w:tcPr>
            <w:tcW w:w="1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4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the valuation allowance for deferred tax assets</w:t>
            </w:r>
          </w:p>
        </w:tc>
        <w:tc>
          <w:tcPr>
            <w:tcW w:w="1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Decrease of deferred tax liability for change in tax rates</w:t>
            </w:r>
          </w:p>
        </w:tc>
        <w:tc>
          <w:tcPr>
            <w:tcW w:w="1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deferred tax (benefit) expense</w:t>
            </w:r>
          </w:p>
        </w:tc>
        <w:tc>
          <w:tcPr>
            <w:tcW w:w="13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8"/>
                <w:szCs w:val="18"/>
                <w:color w:val="auto"/>
              </w:rPr>
              <w:t>Total deferred</w:t>
            </w:r>
          </w:p>
        </w:tc>
        <w:tc>
          <w:tcPr>
            <w:tcW w:w="13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25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Deferred tax assets and liabilities</w:t>
      </w:r>
      <w:r>
        <w:rPr>
          <w:rFonts w:ascii="Arial" w:cs="Arial" w:eastAsia="Arial" w:hAnsi="Arial"/>
          <w:sz w:val="18"/>
          <w:szCs w:val="18"/>
          <w:color w:val="auto"/>
        </w:rPr>
        <w:t>—Significant components of deferred tax assets and liabilities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attributable to:</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Non-deductible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Foreign tax credit carryforwards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pension and other post-retirement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 credit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 of valuation allowance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289.5</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 attributable to:</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Revenue in excess of billings on contracts accounted for under the percentage of completion method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U.S. tax on foreign subsidiaries’ undistributed earnings not indefinitely reinvested</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goodwill and 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204.4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assets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December 31, 2016 and 2015, the carrying amount of net deferred tax assets and the related valuation allowance included the impact of foreign currency translation adjustments.</w:t>
      </w:r>
    </w:p>
    <w:p>
      <w:pPr>
        <w:spacing w:after="0" w:line="11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 xml:space="preserve">Non-deductible interest. </w:t>
      </w:r>
      <w:r>
        <w:rPr>
          <w:rFonts w:ascii="Arial" w:cs="Arial" w:eastAsia="Arial" w:hAnsi="Arial"/>
          <w:sz w:val="17"/>
          <w:szCs w:val="17"/>
          <w:color w:val="auto"/>
        </w:rPr>
        <w:t>At December 31, 2016, deferred tax assets include tax benefits of $64.0 million related to certain intercompany interest costs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are not currently deductible, but which may be deductible in future periods. If not utilized, these costs will become permanently nondeductible beginning in 2025. Management believes that it is more likely than not that we will not be able to deduct these costs before expiration of the carry forward period; therefore, we have established a valuation allowance against the related deferred tax assets.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Foreign tax credit carryforwards. </w:t>
      </w:r>
      <w:r>
        <w:rPr>
          <w:rFonts w:ascii="Arial" w:cs="Arial" w:eastAsia="Arial" w:hAnsi="Arial"/>
          <w:sz w:val="16"/>
          <w:szCs w:val="16"/>
          <w:color w:val="auto"/>
        </w:rPr>
        <w:t>At December 31, 2016, deferred tax assets included U.S. foreign tax credit carryforwards of $73.1 million, which, if not</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will begin to expire in 2021. Realization of these deferred tax assets is dependent on the generation of sufficient U.S. taxable income prior to the above date. Based on long-term forecasts of operating results, management believes that it is more likely than not that domestic earnings over the forecast period will result in sufficient U.S. taxable income to fully realize these deferred tax assets. In its analysis, management has considered the effect of foreign deemed dividends and other expected adjustments to domestic earnings that are required in determining U.S. taxable income. Foreign earnings taxable to us as dividends, including deemed dividends for U.S. tax purposes, were $25.9 million, $190.2 million and $186.6 million, in 2016, 2015 and 2014, respectively.</w:t>
      </w:r>
    </w:p>
    <w:p>
      <w:pPr>
        <w:spacing w:after="0" w:line="1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Net operating loss carryforwards. </w:t>
      </w:r>
      <w:r>
        <w:rPr>
          <w:rFonts w:ascii="Arial" w:cs="Arial" w:eastAsia="Arial" w:hAnsi="Arial"/>
          <w:sz w:val="18"/>
          <w:szCs w:val="18"/>
          <w:color w:val="auto"/>
        </w:rPr>
        <w:t>At December 31, 2016, deferred tax assets included tax benefits related to net operating loss carryforwards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entities. If not utilized, these net operating loss carryforwards will begin to expire in 2018. Management believes it is more likely than not that we will not be able to utilize certain of these operating loss carryforwards before expiration; therefore, we have established a valuation allowance against the related deferred tax assets.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i w:val="1"/>
          <w:iCs w:val="1"/>
          <w:color w:val="auto"/>
        </w:rPr>
        <w:t>Unrecognized tax benefits</w:t>
      </w:r>
      <w:r>
        <w:rPr>
          <w:rFonts w:ascii="Arial" w:cs="Arial" w:eastAsia="Arial" w:hAnsi="Arial"/>
          <w:sz w:val="17"/>
          <w:szCs w:val="17"/>
          <w:color w:val="auto"/>
        </w:rPr>
        <w:t>—The following table presents a summary of changes in our unrecognized tax benefits and associated interest and penalties: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Federal,</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Accrued</w:t>
            </w:r>
          </w:p>
        </w:tc>
        <w:tc>
          <w:tcPr>
            <w:tcW w:w="220" w:type="dxa"/>
            <w:vAlign w:val="bottom"/>
          </w:tcPr>
          <w:p>
            <w:pPr>
              <w:spacing w:after="0"/>
              <w:rPr>
                <w:sz w:val="14"/>
                <w:szCs w:val="14"/>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Total Gross</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State and</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Unrecognized</w:t>
            </w:r>
          </w:p>
        </w:tc>
        <w:tc>
          <w:tcPr>
            <w:tcW w:w="0" w:type="dxa"/>
            <w:vAlign w:val="bottom"/>
          </w:tcPr>
          <w:p>
            <w:pPr>
              <w:spacing w:after="0"/>
              <w:rPr>
                <w:sz w:val="1"/>
                <w:szCs w:val="1"/>
                <w:color w:val="auto"/>
              </w:rPr>
            </w:pPr>
          </w:p>
        </w:tc>
      </w:tr>
      <w:tr>
        <w:trPr>
          <w:trHeight w:val="149"/>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and</w:t>
            </w: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Income Tax</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Tax</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Penalties</w:t>
            </w:r>
          </w:p>
        </w:tc>
        <w:tc>
          <w:tcPr>
            <w:tcW w:w="220" w:type="dxa"/>
            <w:vAlign w:val="bottom"/>
          </w:tcPr>
          <w:p>
            <w:pPr>
              <w:spacing w:after="0"/>
              <w:rPr>
                <w:sz w:val="16"/>
                <w:szCs w:val="16"/>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prior years</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due to settlements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Additions for tax positions related to prior years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Additions for tax positions related to current year</w:t>
            </w:r>
          </w:p>
        </w:tc>
        <w:tc>
          <w:tcPr>
            <w:tcW w:w="3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due to settlements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Additions for tax positions related to prior years</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Reductions for tax positions related to current year</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due to settlements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2016, 2015 and 2014, there were $49.5 million, $9.3 million and $43.1 million, respectively, of unrecognized tax benefits that if recognized would affect the annual effective tax rate.</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is reasonably possible that within twelve months unrecognized tax benefits related to certain tax reporting positions taken in prior periods could decrease by up to $50.2 million, due to either the expiration of the statute of limitations in certain jurisdictions or the resolution of current income tax examinations, or both.</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2015 IRS examinations of our U.S. federal income tax returns for our 2010 and 2011 tax years as well as protests filed with the IRS Appeals Office with respect to proposed adjustments related to our 2007 through 2009 tax years were resolved.</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2016 our income tax provision included a $45.0 million charge related to a change in our unrecognized tax benefits for certain intercompany interest costs. In 2014 Norway enacted new rules limiting the deductibility of interest on related party loans, and since 2014, we have provided valuation allowances on our deferred tax assets related to interest arising from intercompany debt structures in Norway. On October 18, 2016, the Norwegian Supreme Court rendered its decision in the IKEA case. The Norwegian Supreme Court relied on Norway’s general anti-avoidance rule to disallow interest deductions on debt arising from IKEA’s 2007 reorganization, where the main objective was materially tax driven. In 2012 we undertook a reorganization bearing features similar to the IKEA reorganization. As a result of the Norwegian Supreme Court ruling, we believe it is more likely than not that intercompany interest on our debt structures in Norway will be nondeductible.</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tax years and thereafter remain subject to examination: 2011 for Angola, 2006 for Norway, 2007 for Nigeria, 2011 for Brazil and 2013 for the United States.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color w:val="auto"/>
        </w:rPr>
        <w:t>Effective income tax rate reconciliation</w:t>
      </w:r>
      <w:r>
        <w:rPr>
          <w:rFonts w:ascii="Arial" w:cs="Arial" w:eastAsia="Arial" w:hAnsi="Arial"/>
          <w:sz w:val="17"/>
          <w:szCs w:val="17"/>
          <w:color w:val="auto"/>
        </w:rPr>
        <w:t>—The effective income tax rate was different from the statutory U.S. federal income tax rate due to the following:</w:t>
      </w:r>
    </w:p>
    <w:p>
      <w:pPr>
        <w:spacing w:after="0" w:line="174"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23495</wp:posOffset>
            </wp:positionV>
            <wp:extent cx="31216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gridSpan w:val="2"/>
          </w:tcPr>
          <w:p>
            <w:pPr>
              <w:ind w:left="7140"/>
              <w:spacing w:after="0"/>
              <w:rPr>
                <w:sz w:val="20"/>
                <w:szCs w:val="20"/>
                <w:color w:val="auto"/>
              </w:rPr>
            </w:pPr>
            <w:r>
              <w:rPr>
                <w:rFonts w:ascii="Arial" w:cs="Arial" w:eastAsia="Arial" w:hAnsi="Arial"/>
                <w:sz w:val="14"/>
                <w:szCs w:val="14"/>
                <w:b w:val="1"/>
                <w:bCs w:val="1"/>
                <w:color w:val="auto"/>
              </w:rPr>
              <w:t>2016</w:t>
            </w:r>
          </w:p>
        </w:tc>
        <w:tc>
          <w:tcPr>
            <w:tcW w:w="1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ind w:right="551"/>
              <w:spacing w:after="0"/>
              <w:rPr>
                <w:sz w:val="20"/>
                <w:szCs w:val="20"/>
                <w:color w:val="auto"/>
              </w:rPr>
            </w:pPr>
            <w:r>
              <w:rPr>
                <w:rFonts w:ascii="Arial" w:cs="Arial" w:eastAsia="Arial" w:hAnsi="Arial"/>
                <w:sz w:val="14"/>
                <w:szCs w:val="14"/>
                <w:b w:val="1"/>
                <w:bCs w:val="1"/>
                <w:color w:val="auto"/>
              </w:rPr>
              <w:t>2014</w:t>
            </w: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U.S. federal income tax rate</w:t>
            </w: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Net difference resulting from:</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earnings subject to different tax rates:</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gridSpan w:val="2"/>
          </w:tcPr>
          <w:p>
            <w:pPr>
              <w:ind w:left="380"/>
              <w:spacing w:after="0"/>
              <w:rPr>
                <w:sz w:val="20"/>
                <w:szCs w:val="20"/>
                <w:color w:val="auto"/>
              </w:rPr>
            </w:pPr>
            <w:r>
              <w:rPr>
                <w:rFonts w:ascii="Arial" w:cs="Arial" w:eastAsia="Arial" w:hAnsi="Arial"/>
                <w:sz w:val="18"/>
                <w:szCs w:val="18"/>
                <w:color w:val="auto"/>
              </w:rPr>
              <w:t>Singapore</w:t>
            </w:r>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Malaysia</w:t>
            </w:r>
          </w:p>
        </w:tc>
        <w:tc>
          <w:tcPr>
            <w:tcW w:w="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43"/>
        </w:trPr>
        <w:tc>
          <w:tcPr>
            <w:tcW w:w="7520" w:type="dxa"/>
            <w:vAlign w:val="bottom"/>
            <w:gridSpan w:val="2"/>
          </w:tcPr>
          <w:p>
            <w:pPr>
              <w:ind w:left="380"/>
              <w:spacing w:after="0"/>
              <w:rPr>
                <w:sz w:val="20"/>
                <w:szCs w:val="20"/>
                <w:color w:val="auto"/>
              </w:rPr>
            </w:pPr>
            <w:r>
              <w:rPr>
                <w:rFonts w:ascii="Arial" w:cs="Arial" w:eastAsia="Arial" w:hAnsi="Arial"/>
                <w:sz w:val="18"/>
                <w:szCs w:val="18"/>
                <w:color w:val="auto"/>
              </w:rPr>
              <w:t>Luxembourg</w:t>
            </w:r>
          </w:p>
        </w:tc>
        <w:tc>
          <w:tcPr>
            <w:tcW w:w="56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Foreign earnings subject to U.S. tax</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2</w:t>
            </w: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merger transaction costs (Note 2)</w:t>
            </w: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Net change in unrecognized tax benefits</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withholding taxes</w:t>
            </w: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Change in valuation allowance</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3</w:t>
            </w:r>
          </w:p>
        </w:tc>
      </w:tr>
      <w:tr>
        <w:trPr>
          <w:trHeight w:val="27"/>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(Note 3)</w:t>
            </w:r>
          </w:p>
        </w:tc>
        <w:tc>
          <w:tcPr>
            <w:tcW w:w="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Undistributed earnings of foreign subsidiaries. </w:t>
      </w:r>
      <w:r>
        <w:rPr>
          <w:rFonts w:ascii="Arial" w:cs="Arial" w:eastAsia="Arial" w:hAnsi="Arial"/>
          <w:sz w:val="18"/>
          <w:szCs w:val="18"/>
          <w:color w:val="auto"/>
        </w:rPr>
        <w:t>We have provided U.S. income taxes on $1,658.7 million of cumulative undistributed earnings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subsidiaries where we have determined that the foreign subsidiaries’ earnings are not indefinitely reinvested. No provision for U.S. income taxes has been recorded on earnings of foreign subsidiaries that are indefinitely reinvested. The cumulative balance of foreign earnings with respect to which no provision for U.S. income taxes has been recorded was $2,284.0 million at December 31, 2016. The amount of applicable U.S. income taxes that would be incurred if these earnings were repatriated is approximately $386.0 million.</w:t>
      </w:r>
    </w:p>
    <w:p>
      <w:pPr>
        <w:spacing w:after="0" w:line="13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Income tax holidays. </w:t>
      </w:r>
      <w:r>
        <w:rPr>
          <w:rFonts w:ascii="Arial" w:cs="Arial" w:eastAsia="Arial" w:hAnsi="Arial"/>
          <w:sz w:val="18"/>
          <w:szCs w:val="18"/>
          <w:color w:val="auto"/>
        </w:rPr>
        <w:t>We benefit from income tax holidays in Singapore and Malaysia which will expire after 2018 for Singapore and 2017 and 2020 for</w:t>
      </w:r>
      <w:r>
        <w:rPr>
          <w:rFonts w:ascii="Arial" w:cs="Arial" w:eastAsia="Arial" w:hAnsi="Arial"/>
          <w:sz w:val="18"/>
          <w:szCs w:val="18"/>
          <w:i w:val="1"/>
          <w:iCs w:val="1"/>
          <w:color w:val="auto"/>
        </w:rPr>
        <w:t xml:space="preserve"> </w:t>
      </w:r>
      <w:r>
        <w:rPr>
          <w:rFonts w:ascii="Arial" w:cs="Arial" w:eastAsia="Arial" w:hAnsi="Arial"/>
          <w:sz w:val="18"/>
          <w:szCs w:val="18"/>
          <w:color w:val="auto"/>
        </w:rPr>
        <w:t>Malaysia. For the years ended December 31, 2016 and 2015, these tax holidays reduced our provision for income taxes by $31.9 million, or $0.14 per share on a diluted basis, and $29.3 million, or $0.13 per share on a diluted basis,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16. PENSION AND OTHER POST-RETIREMENT BENEFIT PLANS</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funded and unfunded defined benefit pension plans which provide defined benefits based on years of service and final average salary. In October 2009, the Board of Directors amended the U.S. Qualified and Non-Qualified Defined Benefit Pension Plans (“U.S. Pension Plans”) to freeze participation in the U.S. Pension Plans for all new nonunion employees hired on or after January 1, 2010, and current nonunion employees with less than five years of vesting service as of December 31, 2009 (“frozen participants”). For current nonunion employees with less than five years of vesting service as of December 31, 2009, benefits accrued under the U.S. Pension Plans and earned as of that date were frozen based on credited service and pay as of December 31, 2009.</w:t>
      </w:r>
    </w:p>
    <w:p>
      <w:pPr>
        <w:spacing w:after="0" w:line="10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2014, the Company amended the U.S. Qualified Pension Plan, and effective June 1, 2014, the assets and liabilities attributable to participants who are (i) either frozen participants or participants that had terminated service and subsequently became re-employed on or after January 1, 2010, and (ii) active employees of FMC Technologies as of June 1, 2014 were transferred from the U.S. Qualified Pension Plan to the FMC Technologies, Inc. Frozen Retirement Plan (“Frozen Plan”). Under the Frozen Plan, participants had the option to accept cash or an annuity upon the Frozen Plan’s termination. In December 2014, substantially all settlement payments were made based on frozen participants’ elections and settlement costs were recorded during 2014.</w:t>
      </w:r>
    </w:p>
    <w:p>
      <w:pPr>
        <w:spacing w:after="0" w:line="10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Also on June 1, 2014, the U.S. Qualified Pension Plan was further amended to provide vested participants who had terminated employment prior to May 1, 2014 an option to commence their benefits immediately, either as an annuity or a single lump sum payment. In December 2014, lump sum payments were paid out of the Plan to these terminated vested participants.</w:t>
      </w:r>
    </w:p>
    <w:p>
      <w:pPr>
        <w:spacing w:after="0" w:line="12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Foreign-based employees are eligible to participate in FMC Technologies-sponsored or government-sponsored benefit plans to which we contribute. Several of the foreign defined benefit pension plans sponsored by us provide for employee contributions; the remaining plans are noncontributory.</w:t>
      </w:r>
    </w:p>
    <w:p>
      <w:pPr>
        <w:spacing w:after="0" w:line="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have other post-retirement benefit plans covering substantially all of our U.S. employees who were hired prior to January 1, 2003. The post-retirement health care plans are contributory; the post-retirement life insurance plans are noncontributory.</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required to recognize the funded status of defined benefit post-retirement plans as an asset or liability in the consolidated balance sheet and recognize changes in that funded status in comprehensive income in the year in which the changes occur. Further, we are required to measure the plan’s assets and its obligations that determine its funded status as of the date of the consolidated balance sheet. We have applied this guidance to our domestic pension and other post-retirement benefit plans as well as for many of our non-U.S. plans, including those in the United Kingdom, Norway, Germany, France and Canada. Pension expense measured in compliance with GAAP for the other non-U.S. pension plans is not materially different from the locally reported pension expense.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0" w:right="259" w:bottom="1440" w:gutter="0" w:footer="0" w:header="0"/>
        </w:sectPr>
      </w:pPr>
    </w:p>
    <w:bookmarkStart w:id="33" w:name="page34"/>
    <w:bookmarkEnd w:id="33"/>
    <w:p>
      <w:pPr>
        <w:ind w:right="80"/>
        <w:spacing w:after="0" w:line="308" w:lineRule="auto"/>
        <w:rPr>
          <w:sz w:val="20"/>
          <w:szCs w:val="20"/>
          <w:color w:val="auto"/>
        </w:rPr>
      </w:pPr>
      <w:r>
        <w:rPr>
          <w:rFonts w:ascii="Arial" w:cs="Arial" w:eastAsia="Arial" w:hAnsi="Arial"/>
          <w:sz w:val="17"/>
          <w:szCs w:val="17"/>
          <w:color w:val="auto"/>
        </w:rPr>
        <w:t>The funded status of our U.S. Pension Plans, certain foreign pension plans and U.S. post-retirement health care and life insurance benefit plans, together with the associated balances recognized in our consolidated balance sheets as of December 31, 2016 and 2015,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Pensions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3"/>
          </w:tcPr>
          <w:p>
            <w:pPr>
              <w:jc w:val="center"/>
              <w:ind w:right="202"/>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02"/>
              <w:spacing w:after="0"/>
              <w:rPr>
                <w:sz w:val="20"/>
                <w:szCs w:val="20"/>
                <w:color w:val="auto"/>
              </w:rPr>
            </w:pPr>
            <w:r>
              <w:rPr>
                <w:rFonts w:ascii="Arial" w:cs="Arial" w:eastAsia="Arial" w:hAnsi="Arial"/>
                <w:sz w:val="14"/>
                <w:szCs w:val="14"/>
                <w:b w:val="1"/>
                <w:bCs w:val="1"/>
                <w:color w:val="auto"/>
                <w:w w:val="86"/>
              </w:rPr>
              <w:t>Benefits</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w w:val="83"/>
              </w:rPr>
              <w:t>2016</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U.S.</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Int’l</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benefit obligation</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595.0</w:t>
            </w:r>
          </w:p>
        </w:tc>
        <w:tc>
          <w:tcPr>
            <w:tcW w:w="46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364.5</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Projected benefit obligation at January 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vMerge w:val="continue"/>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617.1</w:t>
            </w: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428.5</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640.6</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482.5</w:t>
            </w:r>
          </w:p>
        </w:tc>
        <w:tc>
          <w:tcPr>
            <w:tcW w:w="120" w:type="dxa"/>
            <w:vAlign w:val="bottom"/>
          </w:tcPr>
          <w:p>
            <w:pPr>
              <w:spacing w:after="0"/>
              <w:rPr>
                <w:sz w:val="17"/>
                <w:szCs w:val="17"/>
                <w:color w:val="auto"/>
              </w:rPr>
            </w:pPr>
          </w:p>
        </w:tc>
        <w:tc>
          <w:tcPr>
            <w:tcW w:w="700" w:type="dxa"/>
            <w:vAlign w:val="bottom"/>
          </w:tcPr>
          <w:p>
            <w:pPr>
              <w:jc w:val="right"/>
              <w:ind w:right="52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7"/>
                <w:szCs w:val="17"/>
                <w:color w:val="auto"/>
              </w:rPr>
            </w:pPr>
          </w:p>
        </w:tc>
        <w:tc>
          <w:tcPr>
            <w:tcW w:w="720" w:type="dxa"/>
            <w:vAlign w:val="bottom"/>
          </w:tcPr>
          <w:p>
            <w:pPr>
              <w:jc w:val="right"/>
              <w:ind w:right="54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w w:val="89"/>
              </w:rPr>
              <w:t>10.4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Service cost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Interest cost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Actuarial (gain) loss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(1.2)</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Amendments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Curtailments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Settlements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Plan participants’ contributions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Benefits paid</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(0.5)</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Projected benefit obligation at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Fair value of plan assets at January 1</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355.9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504.8</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386.7</w:t>
            </w: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Actual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Company contributions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Settlements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Plan participants’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Benefits paid</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7"/>
              </w:rPr>
              <w:t>(0.5)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plan assets at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Funded status of the plans (liability) at December 31</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8"/>
                <w:szCs w:val="18"/>
                <w:color w:val="auto"/>
              </w:rPr>
            </w:pPr>
          </w:p>
        </w:tc>
        <w:tc>
          <w:tcPr>
            <w:tcW w:w="700" w:type="dxa"/>
            <w:vAlign w:val="bottom"/>
            <w:tcBorders>
              <w:top w:val="single" w:sz="8" w:color="auto"/>
            </w:tcBorders>
          </w:tcPr>
          <w:p>
            <w:pPr>
              <w:jc w:val="right"/>
              <w:ind w:right="52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54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(9.1)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4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Pensions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3"/>
          </w:tcPr>
          <w:p>
            <w:pPr>
              <w:jc w:val="center"/>
              <w:ind w:right="202"/>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02"/>
              <w:spacing w:after="0"/>
              <w:rPr>
                <w:sz w:val="20"/>
                <w:szCs w:val="20"/>
                <w:color w:val="auto"/>
              </w:rPr>
            </w:pPr>
            <w:r>
              <w:rPr>
                <w:rFonts w:ascii="Arial" w:cs="Arial" w:eastAsia="Arial" w:hAnsi="Arial"/>
                <w:sz w:val="14"/>
                <w:szCs w:val="14"/>
                <w:b w:val="1"/>
                <w:bCs w:val="1"/>
                <w:color w:val="auto"/>
                <w:w w:val="86"/>
              </w:rPr>
              <w:t>Benefits</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w w:val="83"/>
              </w:rPr>
              <w:t>2016</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820" w:type="dxa"/>
            <w:vAlign w:val="bottom"/>
          </w:tcPr>
          <w:p>
            <w:pPr>
              <w:jc w:val="right"/>
              <w:ind w:right="300"/>
              <w:spacing w:after="0"/>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21"/>
                <w:szCs w:val="21"/>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21"/>
                <w:szCs w:val="21"/>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Int’l</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portion of accrued pension and other post-</w:t>
            </w: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benefits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46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(0.7)</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w w:val="95"/>
              </w:rPr>
              <w:t>Accrued pension and other post-retirement benefits, net of</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current portion</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7"/>
              </w:rPr>
              <w:t>(8.4)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Funded status recognized in the consolidated balance sheets</w:t>
            </w: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460" w:type="dxa"/>
            <w:vAlign w:val="bottom"/>
            <w:gridSpan w:val="3"/>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22"/>
              <w:spacing w:after="0"/>
              <w:rPr>
                <w:sz w:val="20"/>
                <w:szCs w:val="20"/>
                <w:color w:val="auto"/>
              </w:rPr>
            </w:pPr>
            <w:r>
              <w:rPr>
                <w:rFonts w:ascii="Arial" w:cs="Arial" w:eastAsia="Arial" w:hAnsi="Arial"/>
                <w:sz w:val="16"/>
                <w:szCs w:val="16"/>
                <w:color w:val="auto"/>
                <w:w w:val="8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542"/>
              <w:spacing w:after="0"/>
              <w:rPr>
                <w:sz w:val="20"/>
                <w:szCs w:val="20"/>
                <w:color w:val="auto"/>
              </w:rPr>
            </w:pPr>
            <w:r>
              <w:rPr>
                <w:rFonts w:ascii="Arial" w:cs="Arial" w:eastAsia="Arial" w:hAnsi="Arial"/>
                <w:sz w:val="16"/>
                <w:szCs w:val="16"/>
                <w:color w:val="auto"/>
                <w:w w:val="8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(9.1)</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at December 31</w:t>
            </w:r>
          </w:p>
        </w:tc>
        <w:tc>
          <w:tcPr>
            <w:tcW w:w="28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6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4" w:name="page35"/>
    <w:bookmarkEnd w:id="34"/>
    <w:p>
      <w:pPr>
        <w:ind w:right="200"/>
        <w:spacing w:after="0" w:line="277" w:lineRule="auto"/>
        <w:rPr>
          <w:sz w:val="20"/>
          <w:szCs w:val="20"/>
          <w:color w:val="auto"/>
        </w:rPr>
      </w:pPr>
      <w:r>
        <w:rPr>
          <w:rFonts w:ascii="Arial" w:cs="Arial" w:eastAsia="Arial" w:hAnsi="Arial"/>
          <w:sz w:val="18"/>
          <w:szCs w:val="18"/>
          <w:color w:val="auto"/>
        </w:rPr>
        <w:t>The following table summarizes the pre-tax amounts in accumulated other comprehensive (income) loss at December 31, 2016 and 2015 that have not been recognized as components of net periodic benefit cost: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w w:val="96"/>
              </w:rPr>
              <w:t>Other</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Pensions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40" w:type="dxa"/>
            <w:vAlign w:val="bottom"/>
            <w:gridSpan w:val="3"/>
          </w:tcPr>
          <w:p>
            <w:pPr>
              <w:jc w:val="center"/>
              <w:ind w:right="202"/>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02"/>
              <w:spacing w:after="0"/>
              <w:rPr>
                <w:sz w:val="20"/>
                <w:szCs w:val="20"/>
                <w:color w:val="auto"/>
              </w:rPr>
            </w:pPr>
            <w:r>
              <w:rPr>
                <w:rFonts w:ascii="Arial" w:cs="Arial" w:eastAsia="Arial" w:hAnsi="Arial"/>
                <w:sz w:val="14"/>
                <w:szCs w:val="14"/>
                <w:b w:val="1"/>
                <w:bCs w:val="1"/>
                <w:color w:val="auto"/>
                <w:w w:val="86"/>
              </w:rPr>
              <w:t>Benefits</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2016</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2015</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800" w:type="dxa"/>
            <w:vAlign w:val="bottom"/>
          </w:tcPr>
          <w:p>
            <w:pPr>
              <w:jc w:val="right"/>
              <w:ind w:right="281"/>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22"/>
                <w:szCs w:val="22"/>
                <w:color w:val="auto"/>
              </w:rPr>
            </w:pPr>
          </w:p>
        </w:tc>
        <w:tc>
          <w:tcPr>
            <w:tcW w:w="720" w:type="dxa"/>
            <w:vAlign w:val="bottom"/>
          </w:tcPr>
          <w:p>
            <w:pPr>
              <w:jc w:val="right"/>
              <w:ind w:right="261"/>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amounts recognized in accumulated other</w:t>
            </w: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Unrecognized actuarial (gain) loss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251.9</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193.7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242.0</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174.8</w:t>
            </w:r>
          </w:p>
        </w:tc>
        <w:tc>
          <w:tcPr>
            <w:tcW w:w="120" w:type="dxa"/>
            <w:vAlign w:val="bottom"/>
          </w:tcPr>
          <w:p>
            <w:pPr>
              <w:spacing w:after="0"/>
              <w:rPr>
                <w:sz w:val="20"/>
                <w:szCs w:val="20"/>
                <w:color w:val="auto"/>
              </w:rPr>
            </w:pPr>
          </w:p>
        </w:tc>
        <w:tc>
          <w:tcPr>
            <w:tcW w:w="700" w:type="dxa"/>
            <w:vAlign w:val="bottom"/>
          </w:tcPr>
          <w:p>
            <w:pPr>
              <w:jc w:val="right"/>
              <w:ind w:right="522"/>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54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7"/>
              </w:rPr>
              <w:t>(0.2)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Unrecognized prior service (credit) cost</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Unrecognized transition asset</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 loss at</w:t>
            </w:r>
          </w:p>
        </w:tc>
        <w:tc>
          <w:tcPr>
            <w:tcW w:w="2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4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194.7</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242.1</w:t>
            </w:r>
          </w:p>
        </w:tc>
        <w:tc>
          <w:tcPr>
            <w:tcW w:w="4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175.9</w:t>
            </w: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22"/>
              <w:spacing w:after="0"/>
              <w:rPr>
                <w:sz w:val="20"/>
                <w:szCs w:val="20"/>
                <w:color w:val="auto"/>
              </w:rPr>
            </w:pPr>
            <w:r>
              <w:rPr>
                <w:rFonts w:ascii="Arial" w:cs="Arial" w:eastAsia="Arial" w:hAnsi="Arial"/>
                <w:sz w:val="16"/>
                <w:szCs w:val="16"/>
                <w:color w:val="auto"/>
                <w:w w:val="8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542"/>
              <w:spacing w:after="0"/>
              <w:rPr>
                <w:sz w:val="20"/>
                <w:szCs w:val="20"/>
                <w:color w:val="auto"/>
              </w:rPr>
            </w:pPr>
            <w:r>
              <w:rPr>
                <w:rFonts w:ascii="Arial" w:cs="Arial" w:eastAsia="Arial" w:hAnsi="Arial"/>
                <w:sz w:val="16"/>
                <w:szCs w:val="16"/>
                <w:color w:val="auto"/>
                <w:w w:val="8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(0.2)</w:t>
            </w:r>
          </w:p>
        </w:tc>
        <w:tc>
          <w:tcPr>
            <w:tcW w:w="0" w:type="dxa"/>
            <w:vAlign w:val="bottom"/>
          </w:tcPr>
          <w:p>
            <w:pPr>
              <w:spacing w:after="0"/>
              <w:rPr>
                <w:sz w:val="1"/>
                <w:szCs w:val="1"/>
                <w:color w:val="auto"/>
              </w:rPr>
            </w:pPr>
          </w:p>
        </w:tc>
      </w:tr>
      <w:tr>
        <w:trPr>
          <w:trHeight w:val="219"/>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w:t>
            </w:r>
          </w:p>
        </w:tc>
        <w:tc>
          <w:tcPr>
            <w:tcW w:w="2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summarize the projected and accumulated benefit obligations and fair values of plan assets where the projected or accumulated benefit obligation exceeds the fair value of plan assets at December 31, 2016 and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gridSpan w:val="5"/>
          </w:tcPr>
          <w:p>
            <w:pPr>
              <w:jc w:val="center"/>
              <w:ind w:right="243"/>
              <w:spacing w:after="0"/>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rPr>
              <w:t>Pensions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gridSpan w:val="5"/>
          </w:tcPr>
          <w:p>
            <w:pPr>
              <w:jc w:val="center"/>
              <w:ind w:right="243"/>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center"/>
              <w:ind w:right="243"/>
              <w:spacing w:after="0"/>
              <w:rPr>
                <w:sz w:val="20"/>
                <w:szCs w:val="20"/>
                <w:color w:val="auto"/>
              </w:rPr>
            </w:pPr>
            <w:r>
              <w:rPr>
                <w:rFonts w:ascii="Arial" w:cs="Arial" w:eastAsia="Arial" w:hAnsi="Arial"/>
                <w:sz w:val="14"/>
                <w:szCs w:val="14"/>
                <w:b w:val="1"/>
                <w:bCs w:val="1"/>
                <w:color w:val="auto"/>
                <w:w w:val="86"/>
              </w:rPr>
              <w:t>Benefits</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2016</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89"/>
              </w:rPr>
              <w:t>2015</w:t>
            </w:r>
          </w:p>
        </w:tc>
        <w:tc>
          <w:tcPr>
            <w:tcW w:w="8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800" w:type="dxa"/>
            <w:vAlign w:val="bottom"/>
          </w:tcPr>
          <w:p>
            <w:pPr>
              <w:jc w:val="right"/>
              <w:ind w:right="282"/>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Int’l</w:t>
            </w:r>
          </w:p>
        </w:tc>
        <w:tc>
          <w:tcPr>
            <w:tcW w:w="300" w:type="dxa"/>
            <w:vAlign w:val="bottom"/>
          </w:tcPr>
          <w:p>
            <w:pPr>
              <w:spacing w:after="0"/>
              <w:rPr>
                <w:sz w:val="22"/>
                <w:szCs w:val="22"/>
                <w:color w:val="auto"/>
              </w:rPr>
            </w:pPr>
          </w:p>
        </w:tc>
        <w:tc>
          <w:tcPr>
            <w:tcW w:w="740" w:type="dxa"/>
            <w:vAlign w:val="bottom"/>
          </w:tcPr>
          <w:p>
            <w:pPr>
              <w:jc w:val="right"/>
              <w:ind w:right="262"/>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Int’l</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Plans with underfunded or non-funded projected benefit</w:t>
            </w: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w:t>
            </w: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Aggregate projected benefit obligation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661.9</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color w:val="auto"/>
              </w:rPr>
              <w:t>435.3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617.1</w:t>
            </w:r>
          </w:p>
        </w:tc>
        <w:tc>
          <w:tcPr>
            <w:tcW w:w="480" w:type="dxa"/>
            <w:vAlign w:val="bottom"/>
            <w:gridSpan w:val="5"/>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428.5</w:t>
            </w:r>
          </w:p>
        </w:tc>
        <w:tc>
          <w:tcPr>
            <w:tcW w:w="20" w:type="dxa"/>
            <w:vAlign w:val="bottom"/>
          </w:tcPr>
          <w:p>
            <w:pPr>
              <w:spacing w:after="0"/>
              <w:rPr>
                <w:sz w:val="20"/>
                <w:szCs w:val="20"/>
                <w:color w:val="auto"/>
              </w:rPr>
            </w:pPr>
          </w:p>
        </w:tc>
        <w:tc>
          <w:tcPr>
            <w:tcW w:w="820" w:type="dxa"/>
            <w:vAlign w:val="bottom"/>
            <w:gridSpan w:val="3"/>
          </w:tcPr>
          <w:p>
            <w:pPr>
              <w:jc w:val="right"/>
              <w:ind w:right="528"/>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5"/>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ind w:right="583"/>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Aggregate fair value of plan assets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361.6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463.4</w:t>
            </w:r>
          </w:p>
        </w:tc>
        <w:tc>
          <w:tcPr>
            <w:tcW w:w="48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355.9</w:t>
            </w:r>
          </w:p>
        </w:tc>
        <w:tc>
          <w:tcPr>
            <w:tcW w:w="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52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8"/>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80" w:type="dxa"/>
            <w:vAlign w:val="bottom"/>
            <w:gridSpan w:val="5"/>
          </w:tcPr>
          <w:p>
            <w:pPr>
              <w:jc w:val="center"/>
              <w:ind w:right="303"/>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rPr>
              <w:t>Pensions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gridSpan w:val="6"/>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center"/>
              <w:ind w:right="303"/>
              <w:spacing w:after="0"/>
              <w:rPr>
                <w:sz w:val="20"/>
                <w:szCs w:val="20"/>
                <w:color w:val="auto"/>
              </w:rPr>
            </w:pPr>
            <w:r>
              <w:rPr>
                <w:rFonts w:ascii="Arial" w:cs="Arial" w:eastAsia="Arial" w:hAnsi="Arial"/>
                <w:sz w:val="14"/>
                <w:szCs w:val="14"/>
                <w:b w:val="1"/>
                <w:bCs w:val="1"/>
                <w:color w:val="auto"/>
                <w:w w:val="90"/>
              </w:rPr>
              <w:t>Benefits</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2016</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w w:val="89"/>
              </w:rPr>
              <w:t>2015</w:t>
            </w:r>
          </w:p>
        </w:tc>
        <w:tc>
          <w:tcPr>
            <w:tcW w:w="8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800" w:type="dxa"/>
            <w:vAlign w:val="bottom"/>
          </w:tcPr>
          <w:p>
            <w:pPr>
              <w:jc w:val="right"/>
              <w:ind w:right="282"/>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Int’l</w:t>
            </w:r>
          </w:p>
        </w:tc>
        <w:tc>
          <w:tcPr>
            <w:tcW w:w="300" w:type="dxa"/>
            <w:vAlign w:val="bottom"/>
          </w:tcPr>
          <w:p>
            <w:pPr>
              <w:spacing w:after="0"/>
              <w:rPr>
                <w:sz w:val="22"/>
                <w:szCs w:val="22"/>
                <w:color w:val="auto"/>
              </w:rPr>
            </w:pPr>
          </w:p>
        </w:tc>
        <w:tc>
          <w:tcPr>
            <w:tcW w:w="740" w:type="dxa"/>
            <w:vAlign w:val="bottom"/>
          </w:tcPr>
          <w:p>
            <w:pPr>
              <w:jc w:val="right"/>
              <w:ind w:right="282"/>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Int’l</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Plans with underfunded or non-funded accumulated benefit</w:t>
            </w: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w:t>
            </w:r>
          </w:p>
        </w:tc>
        <w:tc>
          <w:tcPr>
            <w:tcW w:w="2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6"/>
                <w:szCs w:val="16"/>
                <w:color w:val="auto"/>
              </w:rPr>
              <w:t>Aggregate accumulated benefit obligation</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595.0</w:t>
            </w:r>
          </w:p>
        </w:tc>
        <w:tc>
          <w:tcPr>
            <w:tcW w:w="4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539.3</w:t>
            </w:r>
          </w:p>
        </w:tc>
        <w:tc>
          <w:tcPr>
            <w:tcW w:w="480" w:type="dxa"/>
            <w:vAlign w:val="bottom"/>
            <w:gridSpan w:val="5"/>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117.7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Aggregate fair value of plan assets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463.4</w:t>
            </w:r>
          </w:p>
        </w:tc>
        <w:tc>
          <w:tcPr>
            <w:tcW w:w="480" w:type="dxa"/>
            <w:vAlign w:val="bottom"/>
            <w:gridSpan w:val="5"/>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90.4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table summarizes the components of net periodic benefit cost (income) for the years ended December 31, 2016, 2015 and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Pensions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6"/>
          </w:tcPr>
          <w:p>
            <w:pPr>
              <w:jc w:val="center"/>
              <w:ind w:left="401"/>
              <w:spacing w:after="0"/>
              <w:rPr>
                <w:sz w:val="20"/>
                <w:szCs w:val="20"/>
                <w:color w:val="auto"/>
              </w:rPr>
            </w:pPr>
            <w:r>
              <w:rPr>
                <w:rFonts w:ascii="Arial" w:cs="Arial" w:eastAsia="Arial" w:hAnsi="Arial"/>
                <w:sz w:val="14"/>
                <w:szCs w:val="14"/>
                <w:b w:val="1"/>
                <w:bCs w:val="1"/>
                <w:color w:val="auto"/>
                <w:w w:val="95"/>
              </w:rPr>
              <w:t>Other Post-retirement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w w:val="74"/>
              </w:rPr>
              <w:t>2015</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700" w:type="dxa"/>
            <w:vAlign w:val="bottom"/>
          </w:tcPr>
          <w:p>
            <w:pPr>
              <w:jc w:val="right"/>
              <w:ind w:right="261"/>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22"/>
                <w:szCs w:val="22"/>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Components of net periodic</w:t>
            </w: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cost (income):</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color w:val="auto"/>
              </w:rPr>
              <w:t>Service cost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12.8</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12.1</w:t>
            </w:r>
          </w:p>
        </w:tc>
        <w:tc>
          <w:tcPr>
            <w:tcW w:w="14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14.4</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0"/>
        </w:trPr>
        <w:tc>
          <w:tcPr>
            <w:tcW w:w="2300" w:type="dxa"/>
            <w:vAlign w:val="bottom"/>
          </w:tcPr>
          <w:p>
            <w:pPr>
              <w:ind w:left="380"/>
              <w:spacing w:after="0"/>
              <w:rPr>
                <w:sz w:val="20"/>
                <w:szCs w:val="20"/>
                <w:color w:val="auto"/>
              </w:rPr>
            </w:pPr>
            <w:r>
              <w:rPr>
                <w:rFonts w:ascii="Arial" w:cs="Arial" w:eastAsia="Arial" w:hAnsi="Arial"/>
                <w:sz w:val="16"/>
                <w:szCs w:val="16"/>
                <w:color w:val="auto"/>
              </w:rPr>
              <w:t>Expected return on plan</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38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Settlement loss (gain)</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color w:val="auto"/>
              </w:rPr>
              <w:t>Curtailment loss (gain)</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transition</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300" w:type="dxa"/>
            <w:vAlign w:val="bottom"/>
          </w:tcPr>
          <w:p>
            <w:pPr>
              <w:ind w:left="380"/>
              <w:spacing w:after="0"/>
              <w:rPr>
                <w:sz w:val="20"/>
                <w:szCs w:val="20"/>
                <w:color w:val="auto"/>
              </w:rPr>
            </w:pPr>
            <w:r>
              <w:rPr>
                <w:rFonts w:ascii="Arial" w:cs="Arial" w:eastAsia="Arial" w:hAnsi="Arial"/>
                <w:sz w:val="16"/>
                <w:szCs w:val="16"/>
                <w:color w:val="auto"/>
              </w:rPr>
              <w:t>Amortization of prior</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380"/>
              <w:spacing w:after="0"/>
              <w:rPr>
                <w:sz w:val="20"/>
                <w:szCs w:val="20"/>
                <w:color w:val="auto"/>
              </w:rPr>
            </w:pPr>
            <w:r>
              <w:rPr>
                <w:rFonts w:ascii="Arial" w:cs="Arial" w:eastAsia="Arial" w:hAnsi="Arial"/>
                <w:sz w:val="16"/>
                <w:szCs w:val="16"/>
                <w:color w:val="auto"/>
              </w:rPr>
              <w:t>service cost (credit)</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Amortization of net actuarial</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20" w:type="dxa"/>
            <w:vAlign w:val="bottom"/>
            <w:gridSpan w:val="2"/>
          </w:tcPr>
          <w:p>
            <w:pPr>
              <w:ind w:left="40"/>
              <w:spacing w:after="0"/>
              <w:rPr>
                <w:sz w:val="20"/>
                <w:szCs w:val="20"/>
                <w:color w:val="auto"/>
              </w:rPr>
            </w:pPr>
            <w:r>
              <w:rPr>
                <w:rFonts w:ascii="Arial" w:cs="Arial" w:eastAsia="Arial" w:hAnsi="Arial"/>
                <w:sz w:val="16"/>
                <w:szCs w:val="16"/>
                <w:color w:val="auto"/>
                <w:w w:val="97"/>
              </w:rPr>
              <w:t>Net periodic benefit cost (income) $</w:t>
            </w:r>
          </w:p>
        </w:tc>
        <w:tc>
          <w:tcPr>
            <w:tcW w:w="640" w:type="dxa"/>
            <w:vAlign w:val="bottom"/>
          </w:tcPr>
          <w:p>
            <w:pPr>
              <w:jc w:val="right"/>
              <w:spacing w:after="0"/>
              <w:rPr>
                <w:sz w:val="20"/>
                <w:szCs w:val="20"/>
                <w:color w:val="auto"/>
              </w:rPr>
            </w:pPr>
            <w:r>
              <w:rPr>
                <w:rFonts w:ascii="Arial" w:cs="Arial" w:eastAsia="Arial" w:hAnsi="Arial"/>
                <w:sz w:val="16"/>
                <w:szCs w:val="16"/>
                <w:color w:val="auto"/>
              </w:rPr>
              <w:t>14.1</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18.4</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changes in plan assets and benefit obligations recognized in other comprehensive income (loss)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Pensions</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6"/>
          </w:tcPr>
          <w:p>
            <w:pPr>
              <w:jc w:val="center"/>
              <w:ind w:left="401"/>
              <w:spacing w:after="0"/>
              <w:rPr>
                <w:sz w:val="20"/>
                <w:szCs w:val="20"/>
                <w:color w:val="auto"/>
              </w:rPr>
            </w:pPr>
            <w:r>
              <w:rPr>
                <w:rFonts w:ascii="Arial" w:cs="Arial" w:eastAsia="Arial" w:hAnsi="Arial"/>
                <w:sz w:val="14"/>
                <w:szCs w:val="14"/>
                <w:b w:val="1"/>
                <w:bCs w:val="1"/>
                <w:color w:val="auto"/>
                <w:w w:val="95"/>
              </w:rPr>
              <w:t>Other Post-retirement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3"/>
              </w:rPr>
              <w:t>2015</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640" w:type="dxa"/>
            <w:vAlign w:val="bottom"/>
          </w:tcPr>
          <w:p>
            <w:pPr>
              <w:jc w:val="right"/>
              <w:ind w:right="201"/>
              <w:spacing w:after="0"/>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22"/>
                <w:szCs w:val="22"/>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Int’l</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Changes in plan assets and benefit</w:t>
            </w: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obligations recognized in other</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00" w:type="dxa"/>
            <w:vAlign w:val="bottom"/>
          </w:tcPr>
          <w:p>
            <w:pPr>
              <w:ind w:left="380"/>
              <w:spacing w:after="0"/>
              <w:rPr>
                <w:sz w:val="20"/>
                <w:szCs w:val="20"/>
                <w:color w:val="auto"/>
              </w:rPr>
            </w:pPr>
            <w:r>
              <w:rPr>
                <w:rFonts w:ascii="Arial" w:cs="Arial" w:eastAsia="Arial" w:hAnsi="Arial"/>
                <w:sz w:val="16"/>
                <w:szCs w:val="16"/>
                <w:color w:val="auto"/>
              </w:rPr>
              <w:t>Net actuarial gain (loss)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380"/>
              <w:spacing w:after="0"/>
              <w:rPr>
                <w:sz w:val="20"/>
                <w:szCs w:val="20"/>
                <w:color w:val="auto"/>
              </w:rPr>
            </w:pPr>
            <w:r>
              <w:rPr>
                <w:rFonts w:ascii="Arial" w:cs="Arial" w:eastAsia="Arial" w:hAnsi="Arial"/>
                <w:sz w:val="16"/>
                <w:szCs w:val="16"/>
                <w:color w:val="auto"/>
              </w:rPr>
              <w:t>arising during period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(27.4)</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(29.7)</w:t>
            </w:r>
          </w:p>
        </w:tc>
        <w:tc>
          <w:tcPr>
            <w:tcW w:w="14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(28.5)</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(139.6)</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Prior service (cost) credit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arising during period</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0"/>
        </w:trPr>
        <w:tc>
          <w:tcPr>
            <w:tcW w:w="2300" w:type="dxa"/>
            <w:vAlign w:val="bottom"/>
          </w:tcPr>
          <w:p>
            <w:pPr>
              <w:ind w:left="380"/>
              <w:spacing w:after="0"/>
              <w:rPr>
                <w:sz w:val="20"/>
                <w:szCs w:val="20"/>
                <w:color w:val="auto"/>
              </w:rPr>
            </w:pPr>
            <w:r>
              <w:rPr>
                <w:rFonts w:ascii="Arial" w:cs="Arial" w:eastAsia="Arial" w:hAnsi="Arial"/>
                <w:sz w:val="16"/>
                <w:szCs w:val="16"/>
                <w:color w:val="auto"/>
                <w:w w:val="99"/>
              </w:rPr>
              <w:t>Settlement and curtailment</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380"/>
              <w:spacing w:after="0"/>
              <w:rPr>
                <w:sz w:val="20"/>
                <w:szCs w:val="20"/>
                <w:color w:val="auto"/>
              </w:rPr>
            </w:pPr>
            <w:r>
              <w:rPr>
                <w:rFonts w:ascii="Arial" w:cs="Arial" w:eastAsia="Arial" w:hAnsi="Arial"/>
                <w:sz w:val="16"/>
                <w:szCs w:val="16"/>
                <w:color w:val="auto"/>
              </w:rPr>
              <w:t>loss (gain), net</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Amortization of net actuarial</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0"/>
        </w:trPr>
        <w:tc>
          <w:tcPr>
            <w:tcW w:w="2300" w:type="dxa"/>
            <w:vAlign w:val="bottom"/>
          </w:tcPr>
          <w:p>
            <w:pPr>
              <w:ind w:left="380"/>
              <w:spacing w:after="0"/>
              <w:rPr>
                <w:sz w:val="20"/>
                <w:szCs w:val="20"/>
                <w:color w:val="auto"/>
              </w:rPr>
            </w:pPr>
            <w:r>
              <w:rPr>
                <w:rFonts w:ascii="Arial" w:cs="Arial" w:eastAsia="Arial" w:hAnsi="Arial"/>
                <w:sz w:val="16"/>
                <w:szCs w:val="16"/>
                <w:color w:val="auto"/>
              </w:rPr>
              <w:t>Amortization of prior</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380"/>
              <w:spacing w:after="0"/>
              <w:rPr>
                <w:sz w:val="20"/>
                <w:szCs w:val="20"/>
                <w:color w:val="auto"/>
              </w:rPr>
            </w:pPr>
            <w:r>
              <w:rPr>
                <w:rFonts w:ascii="Arial" w:cs="Arial" w:eastAsia="Arial" w:hAnsi="Arial"/>
                <w:sz w:val="16"/>
                <w:szCs w:val="16"/>
                <w:color w:val="auto"/>
              </w:rPr>
              <w:t>service cost (credit)</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transition</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recognized in other</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4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4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4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2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420" w:type="dxa"/>
            <w:vAlign w:val="bottom"/>
            <w:gridSpan w:val="3"/>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440" w:type="dxa"/>
            <w:vAlign w:val="bottom"/>
            <w:gridSpan w:val="3"/>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6" w:name="page37"/>
    <w:bookmarkEnd w:id="36"/>
    <w:p>
      <w:pPr>
        <w:jc w:val="both"/>
        <w:ind w:right="220"/>
        <w:spacing w:after="0" w:line="286" w:lineRule="auto"/>
        <w:rPr>
          <w:sz w:val="20"/>
          <w:szCs w:val="20"/>
          <w:color w:val="auto"/>
        </w:rPr>
      </w:pPr>
      <w:r>
        <w:rPr>
          <w:rFonts w:ascii="Arial" w:cs="Arial" w:eastAsia="Arial" w:hAnsi="Arial"/>
          <w:sz w:val="17"/>
          <w:szCs w:val="17"/>
          <w:color w:val="auto"/>
        </w:rPr>
        <w:t>Included in accumulated other comprehensive income (loss) at December 31, 2016, are noncash, pre-tax charges which have not yet been recognized in net periodic benefit cost (income). The estimated amounts expected to be amortized from the portion of each component of accumulated other comprehensive income (loss) as a component of net period benefit cost (income), during the next fiscal year are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0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3"/>
            <w:vMerge w:val="restart"/>
          </w:tcPr>
          <w:p>
            <w:pPr>
              <w:jc w:val="right"/>
              <w:ind w:right="119"/>
              <w:spacing w:after="0"/>
              <w:rPr>
                <w:sz w:val="20"/>
                <w:szCs w:val="20"/>
                <w:color w:val="auto"/>
              </w:rPr>
            </w:pPr>
            <w:r>
              <w:rPr>
                <w:rFonts w:ascii="Arial" w:cs="Arial" w:eastAsia="Arial" w:hAnsi="Arial"/>
                <w:sz w:val="14"/>
                <w:szCs w:val="14"/>
                <w:b w:val="1"/>
                <w:bCs w:val="1"/>
                <w:color w:val="auto"/>
              </w:rPr>
              <w:t>Pensions</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4"/>
              </w:rPr>
              <w:t>Post-retirement</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2"/>
                <w:szCs w:val="22"/>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22"/>
                <w:szCs w:val="22"/>
                <w:color w:val="auto"/>
              </w:rPr>
            </w:pPr>
          </w:p>
        </w:tc>
        <w:tc>
          <w:tcPr>
            <w:tcW w:w="1080" w:type="dxa"/>
            <w:vAlign w:val="bottom"/>
          </w:tcPr>
          <w:p>
            <w:pPr>
              <w:jc w:val="right"/>
              <w:ind w:right="541"/>
              <w:spacing w:after="0"/>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losses (gains)</w:t>
            </w:r>
          </w:p>
        </w:tc>
        <w:tc>
          <w:tcPr>
            <w:tcW w:w="3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10.3</w:t>
            </w:r>
          </w:p>
        </w:tc>
        <w:tc>
          <w:tcPr>
            <w:tcW w:w="28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Prior service cost (credit)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0.4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Transition asset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assumptions—</w:t>
      </w:r>
      <w:r>
        <w:rPr>
          <w:rFonts w:ascii="Arial" w:cs="Arial" w:eastAsia="Arial" w:hAnsi="Arial"/>
          <w:sz w:val="18"/>
          <w:szCs w:val="18"/>
          <w:color w:val="auto"/>
        </w:rPr>
        <w:t>The following weighted-average assumptions were used to determine the benefit obligations: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w w:val="96"/>
              </w:rPr>
              <w:t>Other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rPr>
              <w:t>Pensions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center"/>
              <w:ind w:left="688"/>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708"/>
              <w:spacing w:after="0"/>
              <w:rPr>
                <w:sz w:val="20"/>
                <w:szCs w:val="20"/>
                <w:color w:val="auto"/>
              </w:rPr>
            </w:pPr>
            <w:r>
              <w:rPr>
                <w:rFonts w:ascii="Arial" w:cs="Arial" w:eastAsia="Arial" w:hAnsi="Arial"/>
                <w:sz w:val="14"/>
                <w:szCs w:val="14"/>
                <w:b w:val="1"/>
                <w:bCs w:val="1"/>
                <w:color w:val="auto"/>
                <w:w w:val="90"/>
              </w:rPr>
              <w:t>Benefits</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w w:val="87"/>
              </w:rPr>
              <w:t>U.S.</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Int’l</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8"/>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Rate of compensation increase</w:t>
            </w:r>
          </w:p>
        </w:tc>
        <w:tc>
          <w:tcPr>
            <w:tcW w:w="460" w:type="dxa"/>
            <w:vAlign w:val="bottom"/>
          </w:tcPr>
          <w:p>
            <w:pPr>
              <w:jc w:val="right"/>
              <w:spacing w:after="0"/>
              <w:rPr>
                <w:sz w:val="20"/>
                <w:szCs w:val="20"/>
                <w:color w:val="auto"/>
              </w:rPr>
            </w:pPr>
            <w:r>
              <w:rPr>
                <w:rFonts w:ascii="Arial" w:cs="Arial" w:eastAsia="Arial" w:hAnsi="Arial"/>
                <w:sz w:val="16"/>
                <w:szCs w:val="16"/>
                <w:color w:val="auto"/>
                <w:w w:val="88"/>
              </w:rPr>
              <w:t>4.00%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determine net periodic benefit cost:</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Discount rate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Rate of compensation increase</w:t>
      </w:r>
    </w:p>
    <w:p>
      <w:pPr>
        <w:spacing w:after="0" w:line="109"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Expected rate of return on plan assets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Other</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jc w:val="center"/>
              <w:ind w:left="623"/>
              <w:spacing w:after="0"/>
              <w:rPr>
                <w:sz w:val="20"/>
                <w:szCs w:val="20"/>
                <w:color w:val="auto"/>
              </w:rPr>
            </w:pPr>
            <w:r>
              <w:rPr>
                <w:rFonts w:ascii="Arial" w:cs="Arial" w:eastAsia="Arial" w:hAnsi="Arial"/>
                <w:sz w:val="14"/>
                <w:szCs w:val="14"/>
                <w:b w:val="1"/>
                <w:bCs w:val="1"/>
                <w:color w:val="auto"/>
                <w:w w:val="86"/>
              </w:rPr>
              <w:t>Pensions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0"/>
              </w:rPr>
              <w:t>Benefits</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9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1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U.S.</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Int’l</w:t>
            </w:r>
          </w:p>
        </w:tc>
        <w:tc>
          <w:tcPr>
            <w:tcW w:w="1320" w:type="dxa"/>
            <w:vAlign w:val="bottom"/>
            <w:gridSpan w:val="3"/>
          </w:tcPr>
          <w:p>
            <w:pPr>
              <w:ind w:left="340"/>
              <w:spacing w:after="0"/>
              <w:rPr>
                <w:sz w:val="20"/>
                <w:szCs w:val="20"/>
                <w:color w:val="auto"/>
              </w:rPr>
            </w:pPr>
            <w:r>
              <w:rPr>
                <w:rFonts w:ascii="Arial" w:cs="Arial" w:eastAsia="Arial" w:hAnsi="Arial"/>
                <w:sz w:val="14"/>
                <w:szCs w:val="14"/>
                <w:b w:val="1"/>
                <w:bCs w:val="1"/>
                <w:color w:val="auto"/>
              </w:rPr>
              <w:t>U.S.</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Int’l</w:t>
            </w:r>
          </w:p>
        </w:tc>
        <w:tc>
          <w:tcPr>
            <w:tcW w:w="1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U.S.</w:t>
            </w: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4.70%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70"/>
        </w:trPr>
        <w:tc>
          <w:tcPr>
            <w:tcW w:w="94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94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-612775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-269875</wp:posOffset>
            </wp:positionV>
            <wp:extent cx="724662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2040" w:space="120"/>
            <w:col w:w="9260"/>
          </w:cols>
          <w:pgMar w:left="240" w:top="692" w:right="239" w:bottom="1440" w:gutter="0" w:footer="0" w:header="0"/>
          <w:type w:val="continuous"/>
        </w:sectPr>
      </w:pPr>
    </w:p>
    <w:p>
      <w:pPr>
        <w:ind w:right="400"/>
        <w:spacing w:after="0" w:line="277" w:lineRule="auto"/>
        <w:rPr>
          <w:sz w:val="20"/>
          <w:szCs w:val="20"/>
          <w:color w:val="auto"/>
        </w:rPr>
      </w:pPr>
      <w:r>
        <w:rPr>
          <w:rFonts w:ascii="Arial" w:cs="Arial" w:eastAsia="Arial" w:hAnsi="Arial"/>
          <w:sz w:val="18"/>
          <w:szCs w:val="18"/>
          <w:color w:val="auto"/>
        </w:rPr>
        <w:t>Our estimate of expected rate of return on plan assets is primarily based on the historical performance of plan assets, current market conditions, our asset allocation and long-term growth expectations.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type w:val="continuous"/>
        </w:sectPr>
      </w:pPr>
    </w:p>
    <w:bookmarkStart w:id="37" w:name="page38"/>
    <w:bookmarkEnd w:id="37"/>
    <w:p>
      <w:pPr>
        <w:spacing w:after="0" w:line="276" w:lineRule="auto"/>
        <w:rPr>
          <w:sz w:val="20"/>
          <w:szCs w:val="20"/>
          <w:color w:val="auto"/>
        </w:rPr>
      </w:pPr>
      <w:r>
        <w:rPr>
          <w:rFonts w:ascii="Arial" w:cs="Arial" w:eastAsia="Arial" w:hAnsi="Arial"/>
          <w:sz w:val="17"/>
          <w:szCs w:val="17"/>
          <w:i w:val="1"/>
          <w:iCs w:val="1"/>
          <w:color w:val="auto"/>
        </w:rPr>
        <w:t>Plan assets</w:t>
      </w:r>
      <w:r>
        <w:rPr>
          <w:rFonts w:ascii="Arial" w:cs="Arial" w:eastAsia="Arial" w:hAnsi="Arial"/>
          <w:sz w:val="17"/>
          <w:szCs w:val="17"/>
          <w:color w:val="auto"/>
        </w:rPr>
        <w:t>—Our pension investment strategy emphasizes maximizing returns consistent with balancing risk. Excluding our international plans with</w:t>
      </w:r>
      <w:r>
        <w:rPr>
          <w:rFonts w:ascii="Arial" w:cs="Arial" w:eastAsia="Arial" w:hAnsi="Arial"/>
          <w:sz w:val="17"/>
          <w:szCs w:val="17"/>
          <w:i w:val="1"/>
          <w:iCs w:val="1"/>
          <w:color w:val="auto"/>
        </w:rPr>
        <w:t xml:space="preserve"> </w:t>
      </w:r>
      <w:r>
        <w:rPr>
          <w:rFonts w:ascii="Arial" w:cs="Arial" w:eastAsia="Arial" w:hAnsi="Arial"/>
          <w:sz w:val="17"/>
          <w:szCs w:val="17"/>
          <w:color w:val="auto"/>
        </w:rPr>
        <w:t>insurance-based investments, 91% of our total pension plan assets represent the U.S. qualified plan, the U.K. plan and the Canadian plan. These plans are primarily invested in equity securities to maximize the long-term returns of the plans. The investment managers of these assets, including the hedge funds and limited partnerships, use Graham and Dodd fundamental investment analysis to select securities that have a margin of safety between the price of the security and the estimated value of the security. This value-oriented approach tends to mitigate the risk of a large equity allocation.</w:t>
      </w:r>
    </w:p>
    <w:p>
      <w:pPr>
        <w:spacing w:after="0" w:line="11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is a description of the valuation methodologies used for the pension plan assets. There have been no changes in the methodologies used at December 31, 2016 and 2015.</w:t>
      </w:r>
    </w:p>
    <w:p>
      <w:pPr>
        <w:spacing w:after="0" w:line="62" w:lineRule="exact"/>
        <w:rPr>
          <w:sz w:val="20"/>
          <w:szCs w:val="20"/>
          <w:color w:val="auto"/>
        </w:rPr>
      </w:pPr>
    </w:p>
    <w:p>
      <w:pPr>
        <w:ind w:left="660" w:hanging="40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is valued at cost, which approximates fair value.</w:t>
      </w:r>
    </w:p>
    <w:p>
      <w:pPr>
        <w:spacing w:after="0" w:line="117" w:lineRule="exact"/>
        <w:rPr>
          <w:rFonts w:ascii="Arial" w:cs="Arial" w:eastAsia="Arial" w:hAnsi="Arial"/>
          <w:sz w:val="18"/>
          <w:szCs w:val="18"/>
          <w:color w:val="auto"/>
        </w:rPr>
      </w:pPr>
    </w:p>
    <w:p>
      <w:pPr>
        <w:ind w:left="660" w:right="100" w:hanging="40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Equity securities are comprised of common stock and preferred stock. The fair values of equity securities are valued at the closing price reported on the active market on which the securities are traded.</w:t>
      </w:r>
    </w:p>
    <w:p>
      <w:pPr>
        <w:spacing w:after="0" w:line="62"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values of registered investment companies and common/collective trusts are valued based on quoted market prices, which represent the net asset value (“NAV”) of shares held. Registered investment companies primarily include investments in emerging market bonds. Common/collective trusts primarily includes money market instruments with short maturities.</w:t>
      </w:r>
    </w:p>
    <w:p>
      <w:pPr>
        <w:spacing w:after="0" w:line="73" w:lineRule="exact"/>
        <w:rPr>
          <w:rFonts w:ascii="Arial" w:cs="Arial" w:eastAsia="Arial" w:hAnsi="Arial"/>
          <w:sz w:val="18"/>
          <w:szCs w:val="18"/>
          <w:color w:val="auto"/>
        </w:rPr>
      </w:pPr>
    </w:p>
    <w:p>
      <w:pPr>
        <w:ind w:left="660" w:right="60" w:hanging="40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Insurance contracts are valued at book value, which approximates fair value, and is calculated using the prior-year balance plus or minus investment returns and changes in cash flows.</w:t>
      </w:r>
    </w:p>
    <w:p>
      <w:pPr>
        <w:spacing w:after="0" w:line="62" w:lineRule="exact"/>
        <w:rPr>
          <w:rFonts w:ascii="Arial" w:cs="Arial" w:eastAsia="Arial" w:hAnsi="Arial"/>
          <w:sz w:val="18"/>
          <w:szCs w:val="18"/>
          <w:color w:val="auto"/>
        </w:rPr>
      </w:pPr>
    </w:p>
    <w:p>
      <w:pPr>
        <w:ind w:left="660" w:right="140" w:hanging="40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values of hedge funds are valued using the NAV as determined by the administrator or custodian of the fund. The funds primarily invest in U.S. and international equities, debt securities and other hedge funds.</w:t>
      </w:r>
    </w:p>
    <w:p>
      <w:pPr>
        <w:spacing w:after="0" w:line="62" w:lineRule="exact"/>
        <w:rPr>
          <w:rFonts w:ascii="Arial" w:cs="Arial" w:eastAsia="Arial" w:hAnsi="Arial"/>
          <w:sz w:val="18"/>
          <w:szCs w:val="18"/>
          <w:color w:val="auto"/>
        </w:rPr>
      </w:pPr>
    </w:p>
    <w:p>
      <w:pPr>
        <w:ind w:left="660" w:right="480" w:hanging="40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values of limited partnerships are valued using the NAV as determined by the administrator or custodian of the fund. The partnerships primarily invest in U.S. and international equities and debt securities.</w:t>
      </w:r>
    </w:p>
    <w:p>
      <w:pPr>
        <w:spacing w:after="0" w:line="62" w:lineRule="exact"/>
        <w:rPr>
          <w:rFonts w:ascii="Arial" w:cs="Arial" w:eastAsia="Arial" w:hAnsi="Arial"/>
          <w:sz w:val="18"/>
          <w:szCs w:val="18"/>
          <w:color w:val="auto"/>
        </w:rPr>
      </w:pPr>
    </w:p>
    <w:p>
      <w:pPr>
        <w:ind w:left="660" w:right="20" w:hanging="40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Real estate and other investments primarily consists of real estate investment trusts and other investments. These investments are measured at quoted market prices, which represent the NAV of the securities held in such funds at year end.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746" w:right="259" w:bottom="1440" w:gutter="0" w:footer="0" w:header="0"/>
        </w:sectPr>
      </w:pPr>
    </w:p>
    <w:bookmarkStart w:id="38" w:name="page39"/>
    <w:bookmarkEnd w:id="38"/>
    <w:p>
      <w:pPr>
        <w:ind w:right="360"/>
        <w:spacing w:after="0" w:line="277" w:lineRule="auto"/>
        <w:rPr>
          <w:sz w:val="20"/>
          <w:szCs w:val="20"/>
          <w:color w:val="auto"/>
        </w:rPr>
      </w:pPr>
      <w:r>
        <w:rPr>
          <w:rFonts w:ascii="Arial" w:cs="Arial" w:eastAsia="Arial" w:hAnsi="Arial"/>
          <w:sz w:val="18"/>
          <w:szCs w:val="18"/>
          <w:color w:val="auto"/>
        </w:rPr>
        <w:t>Our pension plan assets measured at fair value on a recurring basis are as follows at December 31, 2016 and 2015. Refer to “Fair value measurements” in Note 1 to these consolidated financial statements for a description of the levels.</w:t>
      </w:r>
    </w:p>
    <w:p>
      <w:pPr>
        <w:sectPr>
          <w:pgSz w:w="11900" w:h="16838" w:orient="portrait"/>
          <w:cols w:equalWidth="0" w:num="1">
            <w:col w:w="11420"/>
          </w:cols>
          <w:pgMar w:left="240" w:top="584" w:right="239" w:bottom="1440" w:gutter="0" w:footer="0" w:header="0"/>
        </w:sect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December 31, 2016</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securities: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U.S. companies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International companies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Registered investment companies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Common/collective trusts </w:t>
      </w:r>
      <w:r>
        <w:rPr>
          <w:rFonts w:ascii="Arial" w:cs="Arial" w:eastAsia="Arial" w:hAnsi="Arial"/>
          <w:sz w:val="21"/>
          <w:szCs w:val="21"/>
          <w:color w:val="auto"/>
          <w:vertAlign w:val="superscript"/>
        </w:rPr>
        <w:t>(1)</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Insurance contracts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Hedge funds </w:t>
      </w:r>
      <w:r>
        <w:rPr>
          <w:rFonts w:ascii="Arial" w:cs="Arial" w:eastAsia="Arial" w:hAnsi="Arial"/>
          <w:sz w:val="21"/>
          <w:szCs w:val="21"/>
          <w:color w:val="auto"/>
          <w:vertAlign w:val="superscript"/>
        </w:rPr>
        <w:t>(1)</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Limited partnerships </w:t>
      </w:r>
      <w:r>
        <w:rPr>
          <w:rFonts w:ascii="Arial" w:cs="Arial" w:eastAsia="Arial" w:hAnsi="Arial"/>
          <w:sz w:val="21"/>
          <w:szCs w:val="21"/>
          <w:color w:val="auto"/>
          <w:vertAlign w:val="superscript"/>
        </w:rPr>
        <w:t>(1)</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Real estate and other investments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assets</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December 31, 2015</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securities: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U.S. companies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International companies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Registered investment companies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Common/collective trusts </w:t>
      </w:r>
      <w:r>
        <w:rPr>
          <w:rFonts w:ascii="Arial" w:cs="Arial" w:eastAsia="Arial" w:hAnsi="Arial"/>
          <w:sz w:val="21"/>
          <w:szCs w:val="21"/>
          <w:color w:val="auto"/>
          <w:vertAlign w:val="superscript"/>
        </w:rPr>
        <w:t>(1)</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Insurance contracts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Hedge funds </w:t>
      </w:r>
      <w:r>
        <w:rPr>
          <w:rFonts w:ascii="Arial" w:cs="Arial" w:eastAsia="Arial" w:hAnsi="Arial"/>
          <w:sz w:val="21"/>
          <w:szCs w:val="21"/>
          <w:color w:val="auto"/>
          <w:vertAlign w:val="superscript"/>
        </w:rPr>
        <w:t>(1)</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Limited partnerships </w:t>
      </w:r>
      <w:r>
        <w:rPr>
          <w:rFonts w:ascii="Arial" w:cs="Arial" w:eastAsia="Arial" w:hAnsi="Arial"/>
          <w:sz w:val="21"/>
          <w:szCs w:val="21"/>
          <w:color w:val="auto"/>
          <w:vertAlign w:val="superscript"/>
        </w:rPr>
        <w:t>(1)</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Real estate and other investments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assets</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_______________________</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U.S.</w:t>
            </w: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International</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331"/>
        </w:trPr>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21.2</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540"/>
        </w:trPr>
        <w:tc>
          <w:tcPr>
            <w:tcW w:w="20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132.4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270"/>
        </w:trPr>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270"/>
        </w:trPr>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270"/>
        </w:trPr>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270"/>
        </w:trPr>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33"/>
        </w:trPr>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540.0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209.2</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361.6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230.3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33"/>
        </w:trPr>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42"/>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29.7</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540"/>
        </w:trPr>
        <w:tc>
          <w:tcPr>
            <w:tcW w:w="20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270"/>
        </w:trPr>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270"/>
        </w:trPr>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270"/>
        </w:trPr>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270"/>
        </w:trPr>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20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33"/>
        </w:trPr>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463.1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231.4</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267.5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440"/>
              <w:spacing w:after="0"/>
              <w:rPr>
                <w:sz w:val="20"/>
                <w:szCs w:val="20"/>
                <w:color w:val="auto"/>
              </w:rPr>
            </w:pPr>
            <w:r>
              <w:rPr>
                <w:rFonts w:ascii="Arial" w:cs="Arial" w:eastAsia="Arial" w:hAnsi="Arial"/>
                <w:sz w:val="16"/>
                <w:szCs w:val="16"/>
                <w:color w:val="auto"/>
              </w:rPr>
              <w:t>—</w:t>
            </w:r>
          </w:p>
        </w:tc>
      </w:tr>
      <w:tr>
        <w:trPr>
          <w:trHeight w:val="33"/>
        </w:trPr>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-4029710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-3686810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-3343910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-3001010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-2658110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-2314575</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-1911985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-1568450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-1225550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-882650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-539750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-196850</wp:posOffset>
            </wp:positionV>
            <wp:extent cx="72466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2620" w:space="720"/>
            <w:col w:w="8080"/>
          </w:cols>
          <w:pgMar w:left="240" w:top="584" w:right="239" w:bottom="1440" w:gutter="0" w:footer="0" w:header="0"/>
          <w:type w:val="continuous"/>
        </w:sectPr>
      </w:pPr>
    </w:p>
    <w:p>
      <w:pPr>
        <w:ind w:left="500" w:hanging="492"/>
        <w:spacing w:after="0"/>
        <w:tabs>
          <w:tab w:leader="none" w:pos="50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221" w:lineRule="exact"/>
        <w:rPr>
          <w:rFonts w:ascii="Arial" w:cs="Arial" w:eastAsia="Arial" w:hAnsi="Arial"/>
          <w:sz w:val="18"/>
          <w:szCs w:val="18"/>
          <w:color w:val="auto"/>
          <w:vertAlign w:val="superscript"/>
        </w:rPr>
      </w:pPr>
    </w:p>
    <w:p>
      <w:pPr>
        <w:ind w:left="5620"/>
        <w:spacing w:after="0"/>
        <w:rPr>
          <w:rFonts w:ascii="Arial" w:cs="Arial" w:eastAsia="Arial" w:hAnsi="Arial"/>
          <w:sz w:val="18"/>
          <w:szCs w:val="18"/>
          <w:color w:val="auto"/>
          <w:vertAlign w:val="superscript"/>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type w:val="continuous"/>
        </w:sectPr>
      </w:pPr>
    </w:p>
    <w:bookmarkStart w:id="39" w:name="page40"/>
    <w:bookmarkEnd w:id="39"/>
    <w:p>
      <w:pPr>
        <w:ind w:right="100"/>
        <w:spacing w:after="0" w:line="259" w:lineRule="auto"/>
        <w:rPr>
          <w:sz w:val="20"/>
          <w:szCs w:val="20"/>
          <w:color w:val="auto"/>
        </w:rPr>
      </w:pPr>
      <w:r>
        <w:rPr>
          <w:rFonts w:ascii="Arial" w:cs="Arial" w:eastAsia="Arial" w:hAnsi="Arial"/>
          <w:sz w:val="18"/>
          <w:szCs w:val="18"/>
          <w:i w:val="1"/>
          <w:iCs w:val="1"/>
          <w:color w:val="auto"/>
        </w:rPr>
        <w:t>Contributions—</w:t>
      </w:r>
      <w:r>
        <w:rPr>
          <w:rFonts w:ascii="Arial" w:cs="Arial" w:eastAsia="Arial" w:hAnsi="Arial"/>
          <w:sz w:val="18"/>
          <w:szCs w:val="18"/>
          <w:color w:val="auto"/>
        </w:rPr>
        <w:t>We expect to contribute approximately $9.5 million to our international pension plans, representing primarily the U.K. and Norway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plans. We do not expect to make any contributions to our U.S. Qualified Pension Plan or our U.S. Non-Qualified Defined Benefit Pension Plan in 2017. All of the contributions are expected to be in the form of cash. In 2016 and 2015, we contributed $82.6 million and $24.3 million to the pension plans, respectively.</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Estimated future benefit payments—</w:t>
      </w:r>
      <w:r>
        <w:rPr>
          <w:rFonts w:ascii="Arial" w:cs="Arial" w:eastAsia="Arial" w:hAnsi="Arial"/>
          <w:sz w:val="18"/>
          <w:szCs w:val="18"/>
          <w:color w:val="auto"/>
        </w:rPr>
        <w:t>The following table summarizes expected benefit payments from our various pension and post-retirement benefit plans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2026. Actual benefit payments may differ from expected benefit payments.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Pensions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2"/>
                <w:szCs w:val="22"/>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22"/>
                <w:szCs w:val="22"/>
                <w:color w:val="auto"/>
              </w:rPr>
            </w:pPr>
          </w:p>
        </w:tc>
        <w:tc>
          <w:tcPr>
            <w:tcW w:w="1200" w:type="dxa"/>
            <w:vAlign w:val="bottom"/>
          </w:tcPr>
          <w:p>
            <w:pPr>
              <w:jc w:val="right"/>
              <w:ind w:right="233"/>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30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2022-2026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86.2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Savings plans—</w:t>
      </w:r>
      <w:r>
        <w:rPr>
          <w:rFonts w:ascii="Arial" w:cs="Arial" w:eastAsia="Arial" w:hAnsi="Arial"/>
          <w:sz w:val="18"/>
          <w:szCs w:val="18"/>
          <w:color w:val="auto"/>
        </w:rPr>
        <w:t>The FMC Technologies, Inc. Savings and Investment Plan (“Qualified Plan”), a qualified salary reduction plan under Section 401(k)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Revenue Code, is a defined contribution plan. Additionally, we have a non-qualified deferred compensation plan, the Non-Qualified Plan, which allows certain highly compensated employees the option to defer the receipt of a portion of their salary. We match a portion of the participants’ deferrals to both plans. In October 2009, the Board of Directors approved amendments to the U.S. Qualified Plan and Non-Qualified Plan (“Amended Plans”). Under the Amended Plans, we are required to make a nonelective contribution every pay period to all new nonunion employees hired on or after January 1, 2010, and current nonunion employees with less than five years of vesting service as of December 31, 2009. Nonelective contributions under the Amended Plans vest with three years of service with FMC Technologies.</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Participants in the Non-Qualified Plan earn a return based on hypothetical investments in the same options as our 401(k) plan, including FMC Technologies stock. Changes in the market value of these participant investments are reflected as an adjustment to the deferred compensation liability with an offset to other income (expense), net. As of December 31, 2016 and 2015, our liability for the Non-Qualified Plan was $27.9 million and $29.0 million, respectively, and was recorded in other non-current liabilities. We hedge the financial impact of changes in the participants’ hypothetical investments by purchasing the investments that the participants have chosen. With the exception of FMC Technologies stock, which is maintained at its cost basis, changes in the fair value of these investments are recognized as an offset to other income (expense), net. As of December 31, 2016 and 2015, we had investments for the Non-Qualified Plan totaling $21.8 million and $24.4 million, respectively, at fair market value and FMC Technologies stock held in trust of $6.5 million and $7.0 million, respectively, at its cost basis. Refer to Note 19 to these consolidated financial statements for fair value disclosure of the Non-Qualified Plan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We recognized expense of $24.2 million, $27.6 million and $28.4 million, for matching contributions to these plans in 2016, 2015 and 2014,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recognized expense of $17.6 million, $17.7 million and $18.9 million for nonelective contributions in 2016, 2015 and 2014, respectively.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17. STOCK-BASED COMPENSATION</w:t>
      </w:r>
    </w:p>
    <w:p>
      <w:pPr>
        <w:spacing w:after="0" w:line="17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Incentive compensation and stock plan—</w:t>
      </w:r>
      <w:r>
        <w:rPr>
          <w:rFonts w:ascii="Arial" w:cs="Arial" w:eastAsia="Arial" w:hAnsi="Arial"/>
          <w:sz w:val="17"/>
          <w:szCs w:val="17"/>
          <w:color w:val="auto"/>
        </w:rPr>
        <w:t>The Amended and Restated FMC Technologies, Inc. Incentive Compensation and Stock Plan (the “Plan”)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incentives and awards to officers, employees, directors and consultants of FMC Technologies or its affiliates. The Plan allows our Board of Directors to make various types of awards to non-employee directors and the Compensation Committee (the “Committee”) of the Board of Directors to make various types of awards to other eligible individuals. Awards include management incentive awards, stock options, stock appreciation rights, performance units, stock units, restricted stock or other awards authorized under the Plan. All awards are subject to the Plan’s provisions.</w:t>
      </w:r>
    </w:p>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Plan, 48.0 million shares of our common stock were authorized for awards. These shares are in addition to shares previously granted by FMC Corporation and converted into approximately 18.0 million shares of our common stock. As of December 31, 2016, 4.7 million shares were reserved to satisfy existing awards and 17.6 million shares were available for future awards.</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Management incentive awards may be awards of cash, common stock, restricted stock or a combination thereof. Grants of stock options may be incentive and/or nonqualified stock options. The exercise price for options is determined by the Committee but cannot be less than the fair market value of our common stock at the grant date. Restricted stock and restricted stock unit grants specify any applicable performance goals, the time and rate of vesting and such other provisions as determined by the Committee. Restricted stock unit grants generally vest after three to four years of service. Additionally, most awards immediately vest upon a change of control as defined in the Plan document.</w:t>
      </w:r>
    </w:p>
    <w:p>
      <w:pPr>
        <w:spacing w:after="0" w:line="13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the Plan, our Board of Directors has the authority to grant non-employee directors stock options, restricted stock and restricted stock units. Unless otherwise determined by our Board of Directors, awards to non-employee directors generally vest on the date of our annual stockholder meeting following the date of grant. Restricted stock units are settled when a director ceases services to the Board of Directors. However, a director may elect to settle restricted stock units either (i) in a calendar year no later than a year for which such restricted stock units are payable or (ii) in annual installments over a period of time with such installments commencing no later than a year for which such restricted stock units are payable. At December 31, 2016, outstanding awards to active and retired non-employee directors included 643 thousand stock units.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expense for awards under the plan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benefits related to stock-based compensation expense</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14.5</w:t>
            </w:r>
          </w:p>
        </w:tc>
      </w:tr>
    </w:tbl>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Stock-based compensation expense is recognized over the lesser of the stated vesting period (three or four years) or the period until the employee reaches age 62 (the retirement eligible age under the plan).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the portion of stock-based compensation expense related to outstanding awards to be recognized in future periods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December 31, 2016</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Stock-based compensation expense not yet recognized (in millions)</w:t>
            </w:r>
          </w:p>
        </w:tc>
        <w:tc>
          <w:tcPr>
            <w:tcW w:w="4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Weighted-average recognition period (in years)</w:t>
            </w:r>
          </w:p>
        </w:tc>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1.4</w:t>
            </w:r>
          </w:p>
        </w:tc>
      </w:tr>
      <w:tr>
        <w:trPr>
          <w:trHeight w:val="486"/>
        </w:trPr>
        <w:tc>
          <w:tcPr>
            <w:tcW w:w="5260" w:type="dxa"/>
            <w:vAlign w:val="bottom"/>
          </w:tcPr>
          <w:p>
            <w:pPr>
              <w:spacing w:after="0"/>
              <w:rPr>
                <w:sz w:val="24"/>
                <w:szCs w:val="24"/>
                <w:color w:val="auto"/>
              </w:rPr>
            </w:pPr>
          </w:p>
        </w:tc>
        <w:tc>
          <w:tcPr>
            <w:tcW w:w="4680" w:type="dxa"/>
            <w:vAlign w:val="bottom"/>
          </w:tcPr>
          <w:p>
            <w:pPr>
              <w:jc w:val="right"/>
              <w:ind w:right="405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41" w:name="page42"/>
    <w:bookmarkEnd w:id="41"/>
    <w:p>
      <w:pPr>
        <w:ind w:right="240"/>
        <w:spacing w:after="0" w:line="277" w:lineRule="auto"/>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A summary of the nonvested restricted stock units to employees as of December 31, 2016, and changes during the year is 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 in thousands)</w:t>
            </w: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1,822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Cancelled/forfeited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(156)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3,430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Under the Plan, for current-year performance-based awards, the payout would have been dependent upon our performance relative to a peer group of companies with respect to earnings growth and return on investment for the year ended December 31, 2016. However, as a result of the merger of FMC Technologies and Technip, current-year performance-based awards were deemed to vest at target. Thus, the payout of 387 thousand shares was approved by the Committee in January 2017. Compensation cost for 2016 was measured based on the actual outcome of the performance conditions.</w:t>
      </w:r>
    </w:p>
    <w:p>
      <w:pPr>
        <w:spacing w:after="0" w:line="10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Plan, our 2014, 2015 and 2016 market-based award payouts would have been dependent upon our performance relative to the same peer group of companies with respect to total shareholder return (“TSR”) for the three year periods ending December 31, 2016, 2017 and 2018, respectively. Under the Plan, the payout for the TSR metric is normally determined based on our performance relative to the peer group with a payout possible regardless of whether our TSR for the three year period is positive or negative. However, if our TSR for the three year period is not positive, the payout with respect to TSR is limited to the target previously established by the Compensation Committee of the Board of Directors regardless of our relative ranking to the peer group. Compensation cost for these awards is calculated using the grant date fair market value, as estimated using a Monte Carlo simulation, and is not subject to change based on future events.</w:t>
      </w:r>
    </w:p>
    <w:p>
      <w:pPr>
        <w:spacing w:after="0" w:line="1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a result of the merger of FMC Technologies and Technip, market-based awards were deemed to vest at target. Thus, the following table summarizes the payouts for market-based awards as approved by the Committee in January 2017:</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(Number of market-based awards in thousands)</w:t>
            </w:r>
          </w:p>
        </w:tc>
        <w:tc>
          <w:tcPr>
            <w:tcW w:w="9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Actual Payout</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Market-based awards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2015 Market-based awards</w:t>
            </w: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 Market-based awards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w:t>
            </w: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The following summarizes values for restricted stock unit activity to employees: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 restricted stock units granted</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24.22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Vest date fair value of restricted stock units vested (in millions)</w:t>
            </w: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39.1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On January 2, 2017, restricted stock units vested pursuant to normal vesting periods and approximately 0.5 million shares were issued to employees.</w:t>
      </w:r>
    </w:p>
    <w:p>
      <w:pPr>
        <w:spacing w:after="0" w:line="10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a result of the merger of FMC Technologies and Technip, all FMC Technologies restricted stock units outstanding immediately prior to the merger, except restricted stock units awarded subsequent to the May 2016 memorandum of understanding regarding our intention to enter into the business combination agreement with Technip, vested and was earned and payable pursuant to its terms. Performance-based and market-based restricted stock units for which the performance period had not ended were deemed to vest at target level. On January 12, 2017, eligible restricted stock units vested and approximately 2.7 million FMC Technologies shares were issued to employees and active and retired non-employee directors. FMC Technologies shares received upon vesting and settlement were converted to TechnipFMC shares in a manner consistent with all other FMC Technologies shares. Refer to Note 2 to these consolidated financial statements for additional disclosure related to the merger of FMC Technologies and Technip.</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NOTE 18. DERIVATIVE FINANCIAL INSTRUMENTS</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5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Foreign exchange rate forward contracts</w:t>
      </w:r>
      <w:r>
        <w:rPr>
          <w:rFonts w:ascii="Arial" w:cs="Arial" w:eastAsia="Arial" w:hAnsi="Arial"/>
          <w:sz w:val="18"/>
          <w:szCs w:val="18"/>
          <w:color w:val="auto"/>
        </w:rPr>
        <w:t xml:space="preserve"> – The purpose of these instruments is to hedge the risk of changes in future cash flows of anticipated purchase or sale commitments denominated in foreign currencies and recorded assets and liabilities in our consolidated balance sheets. At December 31, 2016, we held the following material net positions: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360" w:type="dxa"/>
            <w:vAlign w:val="bottom"/>
            <w:gridSpan w:val="2"/>
          </w:tcPr>
          <w:p>
            <w:pPr>
              <w:jc w:val="center"/>
              <w:ind w:left="673"/>
              <w:spacing w:after="0"/>
              <w:rPr>
                <w:sz w:val="20"/>
                <w:szCs w:val="20"/>
                <w:color w:val="auto"/>
              </w:rPr>
            </w:pPr>
            <w:r>
              <w:rPr>
                <w:rFonts w:ascii="Arial" w:cs="Arial" w:eastAsia="Arial" w:hAnsi="Arial"/>
                <w:sz w:val="14"/>
                <w:szCs w:val="14"/>
                <w:b w:val="1"/>
                <w:bCs w:val="1"/>
                <w:color w:val="auto"/>
                <w:w w:val="94"/>
              </w:rPr>
              <w:t>Net Notional Amount</w:t>
            </w:r>
          </w:p>
        </w:tc>
        <w:tc>
          <w:tcPr>
            <w:tcW w:w="720" w:type="dxa"/>
            <w:vAlign w:val="bottom"/>
          </w:tcPr>
          <w:p>
            <w:pPr>
              <w:spacing w:after="0"/>
              <w:rPr>
                <w:sz w:val="14"/>
                <w:szCs w:val="14"/>
                <w:color w:val="auto"/>
              </w:rPr>
            </w:pPr>
          </w:p>
        </w:tc>
      </w:tr>
      <w:tr>
        <w:trPr>
          <w:trHeight w:val="192"/>
        </w:trPr>
        <w:tc>
          <w:tcPr>
            <w:tcW w:w="8340" w:type="dxa"/>
            <w:vAlign w:val="bottom"/>
          </w:tcPr>
          <w:p>
            <w:pPr>
              <w:spacing w:after="0"/>
              <w:rPr>
                <w:sz w:val="16"/>
                <w:szCs w:val="16"/>
                <w:color w:val="auto"/>
              </w:rPr>
            </w:pPr>
          </w:p>
        </w:tc>
        <w:tc>
          <w:tcPr>
            <w:tcW w:w="2360" w:type="dxa"/>
            <w:vAlign w:val="bottom"/>
            <w:tcBorders>
              <w:bottom w:val="single" w:sz="8" w:color="auto"/>
            </w:tcBorders>
            <w:gridSpan w:val="2"/>
          </w:tcPr>
          <w:p>
            <w:pPr>
              <w:jc w:val="center"/>
              <w:ind w:left="653"/>
              <w:spacing w:after="0"/>
              <w:rPr>
                <w:sz w:val="20"/>
                <w:szCs w:val="20"/>
                <w:color w:val="auto"/>
              </w:rPr>
            </w:pPr>
            <w:r>
              <w:rPr>
                <w:rFonts w:ascii="Arial" w:cs="Arial" w:eastAsia="Arial" w:hAnsi="Arial"/>
                <w:sz w:val="14"/>
                <w:szCs w:val="14"/>
                <w:b w:val="1"/>
                <w:bCs w:val="1"/>
                <w:color w:val="auto"/>
                <w:w w:val="92"/>
              </w:rPr>
              <w:t>Bought (Sold)</w:t>
            </w:r>
          </w:p>
        </w:tc>
        <w:tc>
          <w:tcPr>
            <w:tcW w:w="72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USD Equivalent</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6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49.8</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Brazilian real</w:t>
            </w:r>
          </w:p>
        </w:tc>
        <w:tc>
          <w:tcPr>
            <w:tcW w:w="1600" w:type="dxa"/>
            <w:vAlign w:val="bottom"/>
          </w:tcPr>
          <w:p>
            <w:pPr>
              <w:jc w:val="right"/>
              <w:ind w:right="133"/>
              <w:spacing w:after="0"/>
              <w:rPr>
                <w:sz w:val="20"/>
                <w:szCs w:val="20"/>
                <w:color w:val="auto"/>
              </w:rPr>
            </w:pPr>
            <w:r>
              <w:rPr>
                <w:rFonts w:ascii="Arial" w:cs="Arial" w:eastAsia="Arial" w:hAnsi="Arial"/>
                <w:sz w:val="18"/>
                <w:szCs w:val="18"/>
                <w:color w:val="auto"/>
              </w:rPr>
              <w:t>602.9</w:t>
            </w:r>
          </w:p>
        </w:tc>
        <w:tc>
          <w:tcPr>
            <w:tcW w:w="7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185.0</w:t>
            </w:r>
          </w:p>
        </w:tc>
      </w:tr>
      <w:tr>
        <w:trPr>
          <w:trHeight w:val="27"/>
        </w:trPr>
        <w:tc>
          <w:tcPr>
            <w:tcW w:w="8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80.3</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Canadian dollar</w:t>
            </w:r>
          </w:p>
        </w:tc>
        <w:tc>
          <w:tcPr>
            <w:tcW w:w="1600" w:type="dxa"/>
            <w:vAlign w:val="bottom"/>
          </w:tcPr>
          <w:p>
            <w:pPr>
              <w:jc w:val="right"/>
              <w:ind w:right="73"/>
              <w:spacing w:after="0"/>
              <w:rPr>
                <w:sz w:val="20"/>
                <w:szCs w:val="20"/>
                <w:color w:val="auto"/>
              </w:rPr>
            </w:pPr>
            <w:r>
              <w:rPr>
                <w:rFonts w:ascii="Arial" w:cs="Arial" w:eastAsia="Arial" w:hAnsi="Arial"/>
                <w:sz w:val="18"/>
                <w:szCs w:val="18"/>
                <w:color w:val="auto"/>
              </w:rPr>
              <w:t>(161.0)</w:t>
            </w:r>
          </w:p>
        </w:tc>
        <w:tc>
          <w:tcPr>
            <w:tcW w:w="7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(119.6)</w:t>
            </w:r>
          </w:p>
        </w:tc>
      </w:tr>
      <w:tr>
        <w:trPr>
          <w:trHeight w:val="27"/>
        </w:trPr>
        <w:tc>
          <w:tcPr>
            <w:tcW w:w="8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101.3</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Malaysian ringgit</w:t>
            </w:r>
          </w:p>
        </w:tc>
        <w:tc>
          <w:tcPr>
            <w:tcW w:w="1600" w:type="dxa"/>
            <w:vAlign w:val="bottom"/>
          </w:tcPr>
          <w:p>
            <w:pPr>
              <w:jc w:val="right"/>
              <w:ind w:right="133"/>
              <w:spacing w:after="0"/>
              <w:rPr>
                <w:sz w:val="20"/>
                <w:szCs w:val="20"/>
                <w:color w:val="auto"/>
              </w:rPr>
            </w:pPr>
            <w:r>
              <w:rPr>
                <w:rFonts w:ascii="Arial" w:cs="Arial" w:eastAsia="Arial" w:hAnsi="Arial"/>
                <w:sz w:val="18"/>
                <w:szCs w:val="18"/>
                <w:color w:val="auto"/>
              </w:rPr>
              <w:t>101.5</w:t>
            </w:r>
          </w:p>
        </w:tc>
        <w:tc>
          <w:tcPr>
            <w:tcW w:w="7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8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Nigerian naira</w:t>
            </w:r>
          </w:p>
        </w:tc>
        <w:tc>
          <w:tcPr>
            <w:tcW w:w="16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(5,408.8)</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Norwegian krone</w:t>
            </w:r>
          </w:p>
        </w:tc>
        <w:tc>
          <w:tcPr>
            <w:tcW w:w="1600" w:type="dxa"/>
            <w:vAlign w:val="bottom"/>
          </w:tcPr>
          <w:p>
            <w:pPr>
              <w:jc w:val="right"/>
              <w:ind w:right="133"/>
              <w:spacing w:after="0"/>
              <w:rPr>
                <w:sz w:val="20"/>
                <w:szCs w:val="20"/>
                <w:color w:val="auto"/>
              </w:rPr>
            </w:pPr>
            <w:r>
              <w:rPr>
                <w:rFonts w:ascii="Arial" w:cs="Arial" w:eastAsia="Arial" w:hAnsi="Arial"/>
                <w:sz w:val="18"/>
                <w:szCs w:val="18"/>
                <w:color w:val="auto"/>
              </w:rPr>
              <w:t>5,277.8</w:t>
            </w:r>
          </w:p>
        </w:tc>
        <w:tc>
          <w:tcPr>
            <w:tcW w:w="7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612.1</w:t>
            </w:r>
          </w:p>
        </w:tc>
      </w:tr>
      <w:tr>
        <w:trPr>
          <w:trHeight w:val="27"/>
        </w:trPr>
        <w:tc>
          <w:tcPr>
            <w:tcW w:w="8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Singapore dollar</w:t>
            </w:r>
          </w:p>
        </w:tc>
        <w:tc>
          <w:tcPr>
            <w:tcW w:w="16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145.8</w:t>
            </w:r>
          </w:p>
        </w:tc>
        <w:tc>
          <w:tcPr>
            <w:tcW w:w="7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dollar</w:t>
            </w:r>
          </w:p>
        </w:tc>
        <w:tc>
          <w:tcPr>
            <w:tcW w:w="1600" w:type="dxa"/>
            <w:vAlign w:val="bottom"/>
          </w:tcPr>
          <w:p>
            <w:pPr>
              <w:jc w:val="right"/>
              <w:ind w:right="73"/>
              <w:spacing w:after="0"/>
              <w:rPr>
                <w:sz w:val="20"/>
                <w:szCs w:val="20"/>
                <w:color w:val="auto"/>
              </w:rPr>
            </w:pPr>
            <w:r>
              <w:rPr>
                <w:rFonts w:ascii="Arial" w:cs="Arial" w:eastAsia="Arial" w:hAnsi="Arial"/>
                <w:sz w:val="18"/>
                <w:szCs w:val="18"/>
                <w:color w:val="auto"/>
              </w:rPr>
              <w:t>(475.1)</w:t>
            </w:r>
          </w:p>
        </w:tc>
        <w:tc>
          <w:tcPr>
            <w:tcW w:w="7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(475.1)</w:t>
            </w:r>
          </w:p>
        </w:tc>
      </w:tr>
    </w:tbl>
    <w:p>
      <w:pPr>
        <w:spacing w:after="0" w:line="1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Foreign exchange rate instruments embedded in purchase and sale contracts</w:t>
      </w:r>
      <w:r>
        <w:rPr>
          <w:rFonts w:ascii="Arial" w:cs="Arial" w:eastAsia="Arial" w:hAnsi="Arial"/>
          <w:sz w:val="18"/>
          <w:szCs w:val="18"/>
          <w:color w:val="auto"/>
        </w:rPr>
        <w:t xml:space="preserve"> – The purpose of these instruments is to match offsetting currency payments and receipts for particular projects or comply with government restrictions on the currency used to purchase goods in certain countries. At December 31, 2016, our portfolio of these instruments included the following material net positions: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40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w w:val="94"/>
              </w:rPr>
              <w:t>Net Notional Amount</w:t>
            </w:r>
          </w:p>
        </w:tc>
        <w:tc>
          <w:tcPr>
            <w:tcW w:w="680" w:type="dxa"/>
            <w:vAlign w:val="bottom"/>
          </w:tcPr>
          <w:p>
            <w:pPr>
              <w:spacing w:after="0"/>
              <w:rPr>
                <w:sz w:val="14"/>
                <w:szCs w:val="14"/>
                <w:color w:val="auto"/>
              </w:rPr>
            </w:pPr>
          </w:p>
        </w:tc>
      </w:tr>
      <w:tr>
        <w:trPr>
          <w:trHeight w:val="192"/>
        </w:trPr>
        <w:tc>
          <w:tcPr>
            <w:tcW w:w="346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40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4"/>
                <w:szCs w:val="14"/>
                <w:b w:val="1"/>
                <w:bCs w:val="1"/>
                <w:color w:val="auto"/>
                <w:w w:val="92"/>
              </w:rPr>
              <w:t>Bought (Sold)</w:t>
            </w:r>
          </w:p>
        </w:tc>
        <w:tc>
          <w:tcPr>
            <w:tcW w:w="680" w:type="dxa"/>
            <w:vAlign w:val="bottom"/>
            <w:tcBorders>
              <w:bottom w:val="single" w:sz="8" w:color="auto"/>
            </w:tcBorders>
          </w:tcPr>
          <w:p>
            <w:pPr>
              <w:spacing w:after="0"/>
              <w:rPr>
                <w:sz w:val="16"/>
                <w:szCs w:val="16"/>
                <w:color w:val="auto"/>
              </w:rPr>
            </w:pPr>
          </w:p>
        </w:tc>
      </w:tr>
      <w:tr>
        <w:trPr>
          <w:trHeight w:val="264"/>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880" w:type="dxa"/>
            <w:vAlign w:val="bottom"/>
            <w:tcBorders>
              <w:bottom w:val="single" w:sz="8" w:color="CCEEFF"/>
            </w:tcBorders>
          </w:tcPr>
          <w:p>
            <w:pPr>
              <w:spacing w:after="0"/>
              <w:rPr>
                <w:sz w:val="22"/>
                <w:szCs w:val="22"/>
                <w:color w:val="auto"/>
              </w:rPr>
            </w:pPr>
          </w:p>
        </w:tc>
        <w:tc>
          <w:tcPr>
            <w:tcW w:w="16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USD Equivalent</w:t>
            </w: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Brazilian real</w:t>
            </w:r>
          </w:p>
        </w:tc>
        <w:tc>
          <w:tcPr>
            <w:tcW w:w="64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(58.9)</w:t>
            </w: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Euro</w:t>
            </w:r>
          </w:p>
        </w:tc>
        <w:tc>
          <w:tcPr>
            <w:tcW w:w="6480" w:type="dxa"/>
            <w:vAlign w:val="bottom"/>
            <w:gridSpan w:val="2"/>
          </w:tcPr>
          <w:p>
            <w:pPr>
              <w:jc w:val="right"/>
              <w:ind w:right="88"/>
              <w:spacing w:after="0"/>
              <w:rPr>
                <w:sz w:val="20"/>
                <w:szCs w:val="20"/>
                <w:color w:val="auto"/>
              </w:rPr>
            </w:pPr>
            <w:r>
              <w:rPr>
                <w:rFonts w:ascii="Arial" w:cs="Arial" w:eastAsia="Arial" w:hAnsi="Arial"/>
                <w:sz w:val="18"/>
                <w:szCs w:val="18"/>
                <w:color w:val="auto"/>
              </w:rPr>
              <w:t>(41.0)</w:t>
            </w:r>
          </w:p>
        </w:tc>
        <w:tc>
          <w:tcPr>
            <w:tcW w:w="8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7"/>
        </w:trPr>
        <w:tc>
          <w:tcPr>
            <w:tcW w:w="34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Norwegian krone</w:t>
            </w:r>
          </w:p>
        </w:tc>
        <w:tc>
          <w:tcPr>
            <w:tcW w:w="64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(120.9)</w:t>
            </w: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U.S. dollar</w:t>
            </w:r>
          </w:p>
        </w:tc>
        <w:tc>
          <w:tcPr>
            <w:tcW w:w="6480" w:type="dxa"/>
            <w:vAlign w:val="bottom"/>
            <w:gridSpan w:val="2"/>
          </w:tcPr>
          <w:p>
            <w:pPr>
              <w:jc w:val="right"/>
              <w:ind w:right="148"/>
              <w:spacing w:after="0"/>
              <w:rPr>
                <w:sz w:val="20"/>
                <w:szCs w:val="20"/>
                <w:color w:val="auto"/>
              </w:rPr>
            </w:pPr>
            <w:r>
              <w:rPr>
                <w:rFonts w:ascii="Arial" w:cs="Arial" w:eastAsia="Arial" w:hAnsi="Arial"/>
                <w:sz w:val="18"/>
                <w:szCs w:val="18"/>
                <w:color w:val="auto"/>
              </w:rPr>
              <w:t>68.2</w:t>
            </w:r>
          </w:p>
        </w:tc>
        <w:tc>
          <w:tcPr>
            <w:tcW w:w="8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68.2</w:t>
            </w:r>
          </w:p>
        </w:tc>
      </w:tr>
      <w:tr>
        <w:trPr>
          <w:trHeight w:val="486"/>
        </w:trPr>
        <w:tc>
          <w:tcPr>
            <w:tcW w:w="3460" w:type="dxa"/>
            <w:vAlign w:val="bottom"/>
          </w:tcPr>
          <w:p>
            <w:pPr>
              <w:spacing w:after="0"/>
              <w:rPr>
                <w:sz w:val="24"/>
                <w:szCs w:val="24"/>
                <w:color w:val="auto"/>
              </w:rPr>
            </w:pPr>
          </w:p>
        </w:tc>
        <w:tc>
          <w:tcPr>
            <w:tcW w:w="4880" w:type="dxa"/>
            <w:vAlign w:val="bottom"/>
          </w:tcPr>
          <w:p>
            <w:pPr>
              <w:jc w:val="right"/>
              <w:ind w:right="2450"/>
              <w:spacing w:after="0"/>
              <w:rPr>
                <w:sz w:val="20"/>
                <w:szCs w:val="20"/>
                <w:color w:val="auto"/>
              </w:rPr>
            </w:pPr>
            <w:r>
              <w:rPr>
                <w:rFonts w:ascii="Arial" w:cs="Arial" w:eastAsia="Arial" w:hAnsi="Arial"/>
                <w:sz w:val="18"/>
                <w:szCs w:val="18"/>
                <w:color w:val="auto"/>
              </w:rPr>
              <w:t>39</w:t>
            </w: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43" w:name="page44"/>
    <w:bookmarkEnd w:id="43"/>
    <w:p>
      <w:pPr>
        <w:ind w:right="80"/>
        <w:spacing w:after="0" w:line="259"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Refer to Note 19 to these consolidated financial statements for further 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December 31, 2015</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Liabilities</w:t>
            </w:r>
          </w:p>
        </w:tc>
        <w:tc>
          <w:tcPr>
            <w:tcW w:w="340" w:type="dxa"/>
            <w:vAlign w:val="bottom"/>
          </w:tcPr>
          <w:p>
            <w:pPr>
              <w:spacing w:after="0"/>
              <w:rPr>
                <w:sz w:val="22"/>
                <w:szCs w:val="22"/>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22"/>
                <w:szCs w:val="22"/>
                <w:color w:val="auto"/>
              </w:rPr>
            </w:pPr>
          </w:p>
        </w:tc>
        <w:tc>
          <w:tcPr>
            <w:tcW w:w="1200" w:type="dxa"/>
            <w:vAlign w:val="bottom"/>
          </w:tcPr>
          <w:p>
            <w:pPr>
              <w:jc w:val="right"/>
              <w:ind w:right="332"/>
              <w:spacing w:after="0"/>
              <w:rPr>
                <w:sz w:val="20"/>
                <w:szCs w:val="20"/>
                <w:color w:val="auto"/>
              </w:rPr>
            </w:pPr>
            <w:r>
              <w:rPr>
                <w:rFonts w:ascii="Arial" w:cs="Arial" w:eastAsia="Arial" w:hAnsi="Arial"/>
                <w:sz w:val="14"/>
                <w:szCs w:val="14"/>
                <w:b w:val="1"/>
                <w:bCs w:val="1"/>
                <w:color w:val="auto"/>
              </w:rPr>
              <w:t>Liabilities</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 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488.2</w:t>
            </w: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0.5</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Derivatives not designated as hedging instruments: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Current – Derivative financial instruments</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28.7</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Long-term – 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517.4</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We recognized losses of $2.9 million and $11.9 million and a gain of $0.9 million on cash flow hedges for the years ended December 31, 2016, 2015 and 2014, respectively, due to hedge ineffectiveness as it was probable that the original forecasted transaction would not occur. Cash flow hedges of forecasted transactions, net of tax, resulted in accumulated other comprehensive loss of $38.7 million and $87.1 million at December 31, 2016 and 2015, respectively. We expect to transfer an approximate $22.4 million loss from accumulated OCI to earnings during the next 12 months when the anticipated transactions actually occur. All anticipated transactions currently being hedged are expected to occur by the second half of 2019.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4" w:name="page45"/>
    <w:bookmarkEnd w:id="44"/>
    <w:p>
      <w:pPr>
        <w:ind w:right="120"/>
        <w:spacing w:after="0" w:line="277" w:lineRule="auto"/>
        <w:rPr>
          <w:sz w:val="20"/>
          <w:szCs w:val="20"/>
          <w:color w:val="auto"/>
        </w:rPr>
      </w:pPr>
      <w:r>
        <w:rPr>
          <w:rFonts w:ascii="Arial" w:cs="Arial" w:eastAsia="Arial" w:hAnsi="Arial"/>
          <w:sz w:val="18"/>
          <w:szCs w:val="18"/>
          <w:color w:val="auto"/>
        </w:rPr>
        <w:t>The following tables present the location of gains (losses) on the consolidated statements of income related to derivative instruments designated as cash flow hedges.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gridSpan w:val="7"/>
          </w:tcPr>
          <w:p>
            <w:pPr>
              <w:jc w:val="center"/>
              <w:ind w:right="254"/>
              <w:spacing w:after="0"/>
              <w:rPr>
                <w:sz w:val="20"/>
                <w:szCs w:val="20"/>
                <w:color w:val="auto"/>
              </w:rPr>
            </w:pPr>
            <w:r>
              <w:rPr>
                <w:rFonts w:ascii="Arial" w:cs="Arial" w:eastAsia="Arial" w:hAnsi="Arial"/>
                <w:sz w:val="14"/>
                <w:szCs w:val="14"/>
                <w:b w:val="1"/>
                <w:bCs w:val="1"/>
                <w:color w:val="auto"/>
                <w:w w:val="93"/>
              </w:rPr>
              <w:t>Gain (Loss) Recognized in OCI (Effective Portion)</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88"/>
        </w:trPr>
        <w:tc>
          <w:tcPr>
            <w:tcW w:w="67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Location of Gain (Loss) Reclassified from Accumulated OCI into Income</w:t>
            </w:r>
          </w:p>
        </w:tc>
        <w:tc>
          <w:tcPr>
            <w:tcW w:w="380" w:type="dxa"/>
            <w:vAlign w:val="bottom"/>
          </w:tcPr>
          <w:p>
            <w:pPr>
              <w:spacing w:after="0"/>
              <w:rPr>
                <w:sz w:val="24"/>
                <w:szCs w:val="24"/>
                <w:color w:val="auto"/>
              </w:rPr>
            </w:pPr>
          </w:p>
        </w:tc>
        <w:tc>
          <w:tcPr>
            <w:tcW w:w="3380" w:type="dxa"/>
            <w:vAlign w:val="bottom"/>
            <w:gridSpan w:val="6"/>
          </w:tcPr>
          <w:p>
            <w:pPr>
              <w:jc w:val="center"/>
              <w:ind w:left="478"/>
              <w:spacing w:after="0"/>
              <w:rPr>
                <w:sz w:val="20"/>
                <w:szCs w:val="20"/>
                <w:color w:val="auto"/>
              </w:rPr>
            </w:pPr>
            <w:r>
              <w:rPr>
                <w:rFonts w:ascii="Arial" w:cs="Arial" w:eastAsia="Arial" w:hAnsi="Arial"/>
                <w:sz w:val="14"/>
                <w:szCs w:val="14"/>
                <w:b w:val="1"/>
                <w:bCs w:val="1"/>
                <w:color w:val="auto"/>
                <w:w w:val="92"/>
              </w:rPr>
              <w:t>Gain (Loss) Reclassified From Accumulated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74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3380" w:type="dxa"/>
            <w:vAlign w:val="bottom"/>
            <w:gridSpan w:val="6"/>
          </w:tcPr>
          <w:p>
            <w:pPr>
              <w:jc w:val="center"/>
              <w:ind w:left="498"/>
              <w:spacing w:after="0" w:line="158" w:lineRule="exact"/>
              <w:rPr>
                <w:sz w:val="20"/>
                <w:szCs w:val="20"/>
                <w:color w:val="auto"/>
              </w:rPr>
            </w:pPr>
            <w:r>
              <w:rPr>
                <w:rFonts w:ascii="Arial" w:cs="Arial" w:eastAsia="Arial" w:hAnsi="Arial"/>
                <w:sz w:val="14"/>
                <w:szCs w:val="14"/>
                <w:b w:val="1"/>
                <w:bCs w:val="1"/>
                <w:color w:val="auto"/>
                <w:w w:val="94"/>
              </w:rPr>
              <w:t>OCI into Income (Effective Portion)</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4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Location of Gain (Loss) Recognized in Income</w:t>
            </w:r>
          </w:p>
        </w:tc>
        <w:tc>
          <w:tcPr>
            <w:tcW w:w="380" w:type="dxa"/>
            <w:vAlign w:val="bottom"/>
          </w:tcPr>
          <w:p>
            <w:pPr>
              <w:spacing w:after="0"/>
              <w:rPr>
                <w:sz w:val="23"/>
                <w:szCs w:val="23"/>
                <w:color w:val="auto"/>
              </w:rPr>
            </w:pPr>
          </w:p>
        </w:tc>
        <w:tc>
          <w:tcPr>
            <w:tcW w:w="4300" w:type="dxa"/>
            <w:vAlign w:val="bottom"/>
            <w:gridSpan w:val="7"/>
          </w:tcPr>
          <w:p>
            <w:pPr>
              <w:jc w:val="center"/>
              <w:ind w:right="254"/>
              <w:spacing w:after="0"/>
              <w:rPr>
                <w:sz w:val="20"/>
                <w:szCs w:val="20"/>
                <w:color w:val="auto"/>
              </w:rPr>
            </w:pPr>
            <w:r>
              <w:rPr>
                <w:rFonts w:ascii="Arial" w:cs="Arial" w:eastAsia="Arial" w:hAnsi="Arial"/>
                <w:sz w:val="14"/>
                <w:szCs w:val="14"/>
                <w:b w:val="1"/>
                <w:bCs w:val="1"/>
                <w:color w:val="auto"/>
                <w:w w:val="92"/>
              </w:rPr>
              <w:t>Gain (Loss) Recognized in Income (Ineffective Portion</w:t>
            </w:r>
          </w:p>
        </w:tc>
        <w:tc>
          <w:tcPr>
            <w:tcW w:w="0" w:type="dxa"/>
            <w:vAlign w:val="bottom"/>
          </w:tcPr>
          <w:p>
            <w:pPr>
              <w:spacing w:after="0"/>
              <w:rPr>
                <w:sz w:val="1"/>
                <w:szCs w:val="1"/>
                <w:color w:val="auto"/>
              </w:rPr>
            </w:pPr>
          </w:p>
        </w:tc>
      </w:tr>
      <w:tr>
        <w:trPr>
          <w:trHeight w:val="158"/>
        </w:trPr>
        <w:tc>
          <w:tcPr>
            <w:tcW w:w="6740" w:type="dxa"/>
            <w:vAlign w:val="bottom"/>
            <w:gridSpan w:val="4"/>
            <w:vMerge w:val="continue"/>
          </w:tcPr>
          <w:p>
            <w:pPr>
              <w:spacing w:after="0"/>
              <w:rPr>
                <w:sz w:val="13"/>
                <w:szCs w:val="13"/>
                <w:color w:val="auto"/>
              </w:rPr>
            </w:pPr>
          </w:p>
        </w:tc>
        <w:tc>
          <w:tcPr>
            <w:tcW w:w="380" w:type="dxa"/>
            <w:vAlign w:val="bottom"/>
          </w:tcPr>
          <w:p>
            <w:pPr>
              <w:spacing w:after="0"/>
              <w:rPr>
                <w:sz w:val="13"/>
                <w:szCs w:val="13"/>
                <w:color w:val="auto"/>
              </w:rPr>
            </w:pPr>
          </w:p>
        </w:tc>
        <w:tc>
          <w:tcPr>
            <w:tcW w:w="4300" w:type="dxa"/>
            <w:vAlign w:val="bottom"/>
            <w:gridSpan w:val="7"/>
          </w:tcPr>
          <w:p>
            <w:pPr>
              <w:jc w:val="center"/>
              <w:ind w:right="254"/>
              <w:spacing w:after="0" w:line="158" w:lineRule="exact"/>
              <w:rPr>
                <w:sz w:val="20"/>
                <w:szCs w:val="20"/>
                <w:color w:val="auto"/>
              </w:rPr>
            </w:pPr>
            <w:r>
              <w:rPr>
                <w:rFonts w:ascii="Arial" w:cs="Arial" w:eastAsia="Arial" w:hAnsi="Arial"/>
                <w:sz w:val="14"/>
                <w:szCs w:val="14"/>
                <w:b w:val="1"/>
                <w:bCs w:val="1"/>
                <w:color w:val="auto"/>
                <w:w w:val="91"/>
              </w:rPr>
              <w:t>and Amount Excluded from Effectiveness Testing)</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4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13.6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Research and development expense</w:t>
            </w:r>
          </w:p>
        </w:tc>
        <w:tc>
          <w:tcPr>
            <w:tcW w:w="38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not designated as hedging instruments.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20" w:type="dxa"/>
            <w:vAlign w:val="bottom"/>
            <w:gridSpan w:val="6"/>
          </w:tcPr>
          <w:p>
            <w:pPr>
              <w:jc w:val="center"/>
              <w:ind w:left="558"/>
              <w:spacing w:after="0"/>
              <w:rPr>
                <w:sz w:val="20"/>
                <w:szCs w:val="20"/>
                <w:color w:val="auto"/>
              </w:rPr>
            </w:pPr>
            <w:r>
              <w:rPr>
                <w:rFonts w:ascii="Arial" w:cs="Arial" w:eastAsia="Arial" w:hAnsi="Arial"/>
                <w:sz w:val="14"/>
                <w:szCs w:val="14"/>
                <w:b w:val="1"/>
                <w:bCs w:val="1"/>
                <w:color w:val="auto"/>
                <w:w w:val="91"/>
              </w:rPr>
              <w:t>Gain (Loss) Recognized in Income on</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Location of Gain (Loss) Recognized in Income</w:t>
            </w:r>
          </w:p>
        </w:tc>
        <w:tc>
          <w:tcPr>
            <w:tcW w:w="2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20" w:type="dxa"/>
            <w:vAlign w:val="bottom"/>
            <w:gridSpan w:val="6"/>
          </w:tcPr>
          <w:p>
            <w:pPr>
              <w:jc w:val="center"/>
              <w:ind w:left="558"/>
              <w:spacing w:after="0" w:line="149" w:lineRule="exact"/>
              <w:rPr>
                <w:sz w:val="20"/>
                <w:szCs w:val="20"/>
                <w:color w:val="auto"/>
              </w:rPr>
            </w:pPr>
            <w:r>
              <w:rPr>
                <w:rFonts w:ascii="Arial" w:cs="Arial" w:eastAsia="Arial" w:hAnsi="Arial"/>
                <w:sz w:val="14"/>
                <w:szCs w:val="14"/>
                <w:b w:val="1"/>
                <w:bCs w:val="1"/>
                <w:color w:val="auto"/>
                <w:w w:val="93"/>
              </w:rPr>
              <w:t>Derivatives (Instruments Not Designated</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2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80" w:type="dxa"/>
            <w:vAlign w:val="bottom"/>
            <w:gridSpan w:val="4"/>
          </w:tcPr>
          <w:p>
            <w:pPr>
              <w:jc w:val="center"/>
              <w:spacing w:after="0" w:line="158" w:lineRule="exact"/>
              <w:rPr>
                <w:sz w:val="20"/>
                <w:szCs w:val="20"/>
                <w:color w:val="auto"/>
              </w:rPr>
            </w:pPr>
            <w:r>
              <w:rPr>
                <w:rFonts w:ascii="Arial" w:cs="Arial" w:eastAsia="Arial" w:hAnsi="Arial"/>
                <w:sz w:val="14"/>
                <w:szCs w:val="14"/>
                <w:b w:val="1"/>
                <w:bCs w:val="1"/>
                <w:color w:val="auto"/>
                <w:w w:val="92"/>
              </w:rPr>
              <w:t>as Hedging Instruments)</w:t>
            </w: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4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5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contracts:</w:t>
            </w:r>
          </w:p>
        </w:tc>
        <w:tc>
          <w:tcPr>
            <w:tcW w:w="2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Revenue</w:t>
            </w:r>
          </w:p>
        </w:tc>
        <w:tc>
          <w:tcPr>
            <w:tcW w:w="2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Other income, net</w:t>
            </w:r>
          </w:p>
        </w:tc>
        <w:tc>
          <w:tcPr>
            <w:tcW w:w="2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61.0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41</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5" w:name="page46"/>
    <w:bookmarkEnd w:id="45"/>
    <w:p>
      <w:pPr>
        <w:ind w:right="140"/>
        <w:spacing w:after="0" w:line="259" w:lineRule="auto"/>
        <w:rPr>
          <w:sz w:val="20"/>
          <w:szCs w:val="20"/>
          <w:color w:val="auto"/>
        </w:rPr>
      </w:pPr>
      <w:r>
        <w:rPr>
          <w:rFonts w:ascii="Arial" w:cs="Arial" w:eastAsia="Arial" w:hAnsi="Arial"/>
          <w:sz w:val="18"/>
          <w:szCs w:val="18"/>
          <w:u w:val="single" w:color="auto"/>
          <w:color w:val="auto"/>
        </w:rPr>
        <w:t>Balance Sheet Offsetting</w:t>
      </w:r>
      <w:r>
        <w:rPr>
          <w:rFonts w:ascii="Arial" w:cs="Arial" w:eastAsia="Arial" w:hAnsi="Arial"/>
          <w:sz w:val="18"/>
          <w:szCs w:val="18"/>
          <w:color w:val="auto"/>
        </w:rPr>
        <w:t>—We execute derivative contracts only with counterparties that consent to a master netting agreement which permits net settlement of the gross derivative assets against gross derivative liabilities. Each instrument is accounted for individually and assets and liabilities are not offset. As of December 31, 2016 and 2015, we had no collateralized derivative contracts. The following tables present both gross information and net information of recognized derivative instruments: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2015</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Gross Amounts Not</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Gross Amount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Offset Permitted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Offset Permitted</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Under Master</w:t>
            </w:r>
          </w:p>
        </w:tc>
        <w:tc>
          <w:tcPr>
            <w:tcW w:w="22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Under Master</w:t>
            </w:r>
          </w:p>
        </w:tc>
        <w:tc>
          <w:tcPr>
            <w:tcW w:w="240" w:type="dxa"/>
            <w:vAlign w:val="bottom"/>
          </w:tcPr>
          <w:p>
            <w:pPr>
              <w:spacing w:after="0"/>
              <w:rPr>
                <w:sz w:val="12"/>
                <w:szCs w:val="12"/>
                <w:color w:val="auto"/>
              </w:rPr>
            </w:pPr>
          </w:p>
        </w:tc>
        <w:tc>
          <w:tcPr>
            <w:tcW w:w="124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Netting Agreements</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Netting Agreements</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334.0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399"/>
        </w:trPr>
        <w:tc>
          <w:tcPr>
            <w:tcW w:w="2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1"/>
              </w:rPr>
              <w:t>December 31, 2015</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Gross Amounts Not</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Gross Amount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Offset Permitted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Gross Amount</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Offset Permitted</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Under Master</w:t>
            </w:r>
          </w:p>
        </w:tc>
        <w:tc>
          <w:tcPr>
            <w:tcW w:w="22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Net Amount</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Under Master</w:t>
            </w:r>
          </w:p>
        </w:tc>
        <w:tc>
          <w:tcPr>
            <w:tcW w:w="240" w:type="dxa"/>
            <w:vAlign w:val="bottom"/>
          </w:tcPr>
          <w:p>
            <w:pPr>
              <w:spacing w:after="0"/>
              <w:rPr>
                <w:sz w:val="12"/>
                <w:szCs w:val="12"/>
                <w:color w:val="auto"/>
              </w:rPr>
            </w:pPr>
          </w:p>
        </w:tc>
        <w:tc>
          <w:tcPr>
            <w:tcW w:w="124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Netting Agreements</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Recognized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Netting Agreements</w:t>
            </w: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77.8</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33.1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517.4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19.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Fixed income</w:t>
            </w:r>
          </w:p>
        </w:tc>
        <w:tc>
          <w:tcPr>
            <w:tcW w:w="2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Other investments</w:t>
            </w:r>
          </w:p>
        </w:tc>
        <w:tc>
          <w:tcPr>
            <w:tcW w:w="2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3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Stable value fund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r>
      <w:tr>
        <w:trPr>
          <w:trHeight w:val="67"/>
        </w:trPr>
        <w:tc>
          <w:tcPr>
            <w:tcW w:w="3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31"/>
        </w:trPr>
        <w:tc>
          <w:tcPr>
            <w:tcW w:w="3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517.4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517.4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37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-127635</wp:posOffset>
            </wp:positionV>
            <wp:extent cx="5137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59" w:lineRule="exact"/>
        <w:rPr>
          <w:sz w:val="20"/>
          <w:szCs w:val="20"/>
          <w:color w:val="auto"/>
        </w:rPr>
      </w:pPr>
    </w:p>
    <w:p>
      <w:pPr>
        <w:ind w:left="500" w:hanging="492"/>
        <w:spacing w:after="0"/>
        <w:tabs>
          <w:tab w:leader="none" w:pos="50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Certain investments that are measured at fair value using net asset value per share (or its equivalent) have not been classified in the fair value hierarchy.</w:t>
      </w:r>
    </w:p>
    <w:p>
      <w:pPr>
        <w:spacing w:after="0" w:line="8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Investments—</w:t>
      </w:r>
      <w:r>
        <w:rPr>
          <w:rFonts w:ascii="Arial" w:cs="Arial" w:eastAsia="Arial" w:hAnsi="Arial"/>
          <w:sz w:val="17"/>
          <w:szCs w:val="17"/>
          <w:color w:val="auto"/>
        </w:rPr>
        <w:t>The fair value measurement of our equity securities, fixed income and other investment assets is based on quoted prices that we have the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access in public markets. Our stable value fund and money market fund are valued at the net asset value of the shares held at the end of the year, which is based on the fair value of the underlying investments using information reported by the investment advisor at year-end. Trading securities included in the investments line item on the consolidated balance sheets totaled $25.6 million and $28.4 million as of December 31, 2016 and 2015. Refer to Note 16 to these consolidated financial statements for additional disclosure related to our non-qualified deferred compensation plan investments. Held-to-maturity investments included in the investments line item on the consolidated balance sheet are carried at amortized cost.</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We use the income approach as the valuation technique to measure the fair value of foreign currency derivative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have no credit-risk-related contingent features in our agreements with the financial institutions that would require us to post collateral for derivative positions in a liability position as of December 31, 2016 and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18 to these consolidated financial statements for additional disclosure related to derivative financial instruments.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on a non-recurring basis were as follows:</w:t>
      </w:r>
    </w:p>
    <w:p>
      <w:pPr>
        <w:spacing w:after="0" w:line="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Fair value of long-lived, non-financial assets—</w:t>
      </w:r>
      <w:r>
        <w:rPr>
          <w:rFonts w:ascii="Arial" w:cs="Arial" w:eastAsia="Arial" w:hAnsi="Arial"/>
          <w:sz w:val="16"/>
          <w:szCs w:val="16"/>
          <w:color w:val="auto"/>
        </w:rPr>
        <w:t>Long-lived, non-financial assets are measured at fair value on a non-recurring basis for the purposes of</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calculating impairment. The fair value measurements of our long-lived, non-financial assets measured on a non-recurring basis are determined by estimating the amount and timing of net future cash flows, which are Level 3 unobservable inputs, and discounting them using a risk-adjusted rate of interest. Significant increases or decreases in actual cash flows may result in valuation changes. During the years ended December 31, 2016 and 2015, we recorded asset impairment charges primarily related to our surface integrated services business. Refer to Note 5 for additional disclosure related to these asset impairments.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2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Other fair value disclosures: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Fair value of debt</w:t>
      </w:r>
      <w:r>
        <w:rPr>
          <w:rFonts w:ascii="Arial" w:cs="Arial" w:eastAsia="Arial" w:hAnsi="Arial"/>
          <w:sz w:val="18"/>
          <w:szCs w:val="18"/>
          <w:color w:val="auto"/>
        </w:rPr>
        <w:t>—The fair value, based on Level 1 quoted market rates, of our 2.00% Notes due 2017 and 3.45% Notes due 2022 (collectively,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was approximately $800.2 million and $761.9 million as of December 31, 2016 and 2015, respectively, as compared to the $800.0 million face value of the debt, net of issue discounts, recorded in the consolidated balance sheets.</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Other fair value disclosures—</w:t>
      </w:r>
      <w:r>
        <w:rPr>
          <w:rFonts w:ascii="Arial" w:cs="Arial" w:eastAsia="Arial" w:hAnsi="Arial"/>
          <w:sz w:val="18"/>
          <w:szCs w:val="18"/>
          <w:color w:val="auto"/>
        </w:rPr>
        <w:t>The carrying amounts of cash and cash equivalents, receivables, accounts payable, short-term debt, commercial paper, debt</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our term loan, revolving credit facility as well as amounts included in other current assets and other current liabilities that meet the definition of financial instruments, approximate fair value.</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Credit risk—</w:t>
      </w:r>
      <w:r>
        <w:rPr>
          <w:rFonts w:ascii="Arial" w:cs="Arial" w:eastAsia="Arial" w:hAnsi="Arial"/>
          <w:sz w:val="18"/>
          <w:szCs w:val="18"/>
          <w:color w:val="auto"/>
        </w:rPr>
        <w:t>By their nature, financial instruments involve risk including credit risk for non-performance by counterparties. Financial instruments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subject us to credit risk primarily consist of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receivables are established based on collectability assessments. We mitigate credit risk on derivative contracts by executing contracts only with counterparties that consent to a master netting agreement which permits the net settlement of the gross derivative assets against the gross derivative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WARRANTY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Warranty cost and accrual information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4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Expenses for new warranties</w:t>
            </w:r>
          </w:p>
        </w:tc>
        <w:tc>
          <w:tcPr>
            <w:tcW w:w="4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existing accruals</w:t>
            </w:r>
          </w:p>
        </w:tc>
        <w:tc>
          <w:tcPr>
            <w:tcW w:w="4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Claims paid</w:t>
            </w:r>
          </w:p>
        </w:tc>
        <w:tc>
          <w:tcPr>
            <w:tcW w:w="4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4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rPr>
              <w:t>44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21. BUSINESS SEGMENTS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report the results of operations in the following segments: Subsea Technologies, Surface Technologies and Energy Infrastructure. Management’s determination of our reporting segments was made on the basis of our strategic priorities within each segment and corresponds to the manner in which our chief operating decision maker reviews and evaluates operating performance to make decisions about resources to be allocated to the segment. In addition to our strategic priorities, segment reporting is also based on differences in the products and services we provide.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w:t>
      </w:r>
    </w:p>
    <w:p>
      <w:pPr>
        <w:spacing w:after="0" w:line="117" w:lineRule="exact"/>
        <w:rPr>
          <w:sz w:val="20"/>
          <w:szCs w:val="20"/>
          <w:color w:val="auto"/>
        </w:rPr>
      </w:pPr>
    </w:p>
    <w:p>
      <w:pPr>
        <w:ind w:left="660" w:right="140" w:hanging="409"/>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Subsea Technologies—designs and manufactures products and systems and provides services used by oil and gas companies involved in deepwater exploration and production of crude oil and natural gas. FTO Services and Forsys Subsea are included in the results of operations and capital employed of the Subsea Technologies segment. Refer to Note 8 for additional information.</w:t>
      </w:r>
    </w:p>
    <w:p>
      <w:pPr>
        <w:spacing w:after="0" w:line="73" w:lineRule="exact"/>
        <w:rPr>
          <w:rFonts w:ascii="Arial" w:cs="Arial" w:eastAsia="Arial" w:hAnsi="Arial"/>
          <w:sz w:val="18"/>
          <w:szCs w:val="18"/>
          <w:color w:val="auto"/>
        </w:rPr>
      </w:pPr>
    </w:p>
    <w:p>
      <w:pPr>
        <w:ind w:left="660" w:right="480" w:hanging="409"/>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Surface Technologies—designs and manufactures systems and provides services used by oil and gas companies involved in land and offshore exploration and production of crude oil and natural gas; designs, manufactures and supplies technologically advanced high pressure valves and fittings for oilfield service companies; and also provides flowback services for exploration companies in the oil and gas industry.</w:t>
      </w:r>
    </w:p>
    <w:p>
      <w:pPr>
        <w:spacing w:after="0" w:line="38" w:lineRule="exact"/>
        <w:rPr>
          <w:rFonts w:ascii="Arial" w:cs="Arial" w:eastAsia="Arial" w:hAnsi="Arial"/>
          <w:sz w:val="16"/>
          <w:szCs w:val="16"/>
          <w:color w:val="auto"/>
        </w:rPr>
      </w:pPr>
    </w:p>
    <w:p>
      <w:pPr>
        <w:ind w:left="660" w:right="180" w:hanging="409"/>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Energy Infrastructure—manufactures and supplies liquid and gas measurement and transportation equipment and systems to customers involved in the production, transportation and processing of crude oil, natural gas and petroleum-based refined products.</w:t>
      </w:r>
    </w:p>
    <w:p>
      <w:pPr>
        <w:spacing w:after="0" w:line="35"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Beginning in the first quarter of 2016, the Invalco product line, formally reported in the results of Surface Technologies, is now reported in Energy Infrastructure. In addition, beginning in the first quarter of 2016, the UCOS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group, formally reported in the results of Energy Infrastructure, is now reported in Subsea Technologies. Prior year information has not been restated due to the immateriality of these businesses.</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revenue by segment includes intersegment sales, which are made at prices approximating those that the selling entity is able to obtain on external sales. Segment operating profit is defined as total segment revenue less segment operating expenses. The following items have been excluded in computing segment operating profit: corporate staff expense, net interest income (expense) associated with corporate debt facilities, income taxes, and other revenue and other expense, net.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Segment revenue and segment operating profit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Subsea Technologies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3,314.0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4,509.0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5,266.4</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2,130.7</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Energy Infrastructure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557.4</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and intercompany eliminations</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97"/>
        </w:trPr>
        <w:tc>
          <w:tcPr>
            <w:tcW w:w="40" w:type="dxa"/>
            <w:vAlign w:val="bottom"/>
          </w:tcPr>
          <w:p>
            <w:pPr>
              <w:spacing w:after="0"/>
              <w:rPr>
                <w:sz w:val="24"/>
                <w:szCs w:val="24"/>
                <w:color w:val="auto"/>
              </w:rPr>
            </w:pPr>
          </w:p>
        </w:tc>
        <w:tc>
          <w:tcPr>
            <w:tcW w:w="6700" w:type="dxa"/>
            <w:vAlign w:val="bottom"/>
            <w:gridSpan w:val="3"/>
          </w:tcPr>
          <w:p>
            <w:pPr>
              <w:ind w:left="340"/>
              <w:spacing w:after="0"/>
              <w:rPr>
                <w:sz w:val="20"/>
                <w:szCs w:val="20"/>
                <w:color w:val="auto"/>
              </w:rPr>
            </w:pPr>
            <w:r>
              <w:rPr>
                <w:rFonts w:ascii="Arial" w:cs="Arial" w:eastAsia="Arial" w:hAnsi="Arial"/>
                <w:sz w:val="18"/>
                <w:szCs w:val="18"/>
                <w:color w:val="auto"/>
              </w:rPr>
              <w:t>Total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4,542.3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6,362.7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7,942.6</w:t>
            </w:r>
          </w:p>
        </w:tc>
      </w:tr>
      <w:tr>
        <w:trPr>
          <w:trHeight w:val="237"/>
        </w:trPr>
        <w:tc>
          <w:tcPr>
            <w:tcW w:w="6740" w:type="dxa"/>
            <w:vAlign w:val="bottom"/>
            <w:tcBorders>
              <w:top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03"/>
        </w:trPr>
        <w:tc>
          <w:tcPr>
            <w:tcW w:w="6740" w:type="dxa"/>
            <w:vAlign w:val="bottom"/>
            <w:gridSpan w:val="4"/>
          </w:tcPr>
          <w:p>
            <w:pPr>
              <w:ind w:left="40"/>
              <w:spacing w:after="0" w:line="202" w:lineRule="exact"/>
              <w:rPr>
                <w:sz w:val="20"/>
                <w:szCs w:val="20"/>
                <w:color w:val="auto"/>
              </w:rPr>
            </w:pPr>
            <w:r>
              <w:rPr>
                <w:rFonts w:ascii="Arial" w:cs="Arial" w:eastAsia="Arial" w:hAnsi="Arial"/>
                <w:sz w:val="17"/>
                <w:szCs w:val="17"/>
                <w:color w:val="auto"/>
              </w:rPr>
              <w:t xml:space="preserve">Segment operating profit: </w:t>
            </w:r>
            <w:r>
              <w:rPr>
                <w:rFonts w:ascii="Arial" w:cs="Arial" w:eastAsia="Arial" w:hAnsi="Arial"/>
                <w:sz w:val="23"/>
                <w:szCs w:val="23"/>
                <w:color w:val="auto"/>
                <w:vertAlign w:val="superscript"/>
              </w:rPr>
              <w:t>(5)</w:t>
            </w: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Subsea Technologies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748.2</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Surface Technologies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393.0</w:t>
            </w:r>
          </w:p>
        </w:tc>
      </w:tr>
      <w:tr>
        <w:trPr>
          <w:trHeight w:val="27"/>
        </w:trPr>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Energy Infrastructure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w:t>
            </w:r>
          </w:p>
        </w:tc>
      </w:tr>
      <w:tr>
        <w:trPr>
          <w:trHeight w:val="243"/>
        </w:trPr>
        <w:tc>
          <w:tcPr>
            <w:tcW w:w="6740" w:type="dxa"/>
            <w:vAlign w:val="bottom"/>
            <w:gridSpan w:val="4"/>
          </w:tcPr>
          <w:p>
            <w:pPr>
              <w:ind w:left="40"/>
              <w:spacing w:after="0"/>
              <w:rPr>
                <w:sz w:val="20"/>
                <w:szCs w:val="20"/>
                <w:color w:val="auto"/>
              </w:rPr>
            </w:pPr>
            <w:r>
              <w:rPr>
                <w:rFonts w:ascii="Arial" w:cs="Arial" w:eastAsia="Arial" w:hAnsi="Arial"/>
                <w:sz w:val="18"/>
                <w:szCs w:val="18"/>
                <w:color w:val="auto"/>
              </w:rPr>
              <w:t>Intercompany eliminations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segment operating profit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1,193.4</w:t>
            </w:r>
          </w:p>
        </w:tc>
      </w:tr>
      <w:tr>
        <w:trPr>
          <w:trHeight w:val="196"/>
        </w:trPr>
        <w:tc>
          <w:tcPr>
            <w:tcW w:w="67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Corporate items:</w:t>
            </w:r>
          </w:p>
        </w:tc>
        <w:tc>
          <w:tcPr>
            <w:tcW w:w="3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gridSpan w:val="4"/>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Corporate expense </w:t>
            </w:r>
            <w:r>
              <w:rPr>
                <w:rFonts w:ascii="Arial" w:cs="Arial" w:eastAsia="Arial" w:hAnsi="Arial"/>
                <w:sz w:val="25"/>
                <w:szCs w:val="25"/>
                <w:color w:val="auto"/>
                <w:vertAlign w:val="superscript"/>
              </w:rPr>
              <w:t>(2)</w:t>
            </w:r>
          </w:p>
        </w:tc>
        <w:tc>
          <w:tcPr>
            <w:tcW w:w="3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70"/>
        </w:trPr>
        <w:tc>
          <w:tcPr>
            <w:tcW w:w="67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 xml:space="preserve">Other revenue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and other expense, net </w:t>
            </w:r>
            <w:r>
              <w:rPr>
                <w:rFonts w:ascii="Arial" w:cs="Arial" w:eastAsia="Arial" w:hAnsi="Arial"/>
                <w:sz w:val="25"/>
                <w:szCs w:val="25"/>
                <w:color w:val="auto"/>
                <w:vertAlign w:val="superscript"/>
              </w:rPr>
              <w:t>(3)</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0"/>
        </w:trPr>
        <w:tc>
          <w:tcPr>
            <w:tcW w:w="67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37"/>
        </w:trPr>
        <w:tc>
          <w:tcPr>
            <w:tcW w:w="40" w:type="dxa"/>
            <w:vAlign w:val="bottom"/>
          </w:tcPr>
          <w:p>
            <w:pPr>
              <w:spacing w:after="0"/>
              <w:rPr>
                <w:sz w:val="20"/>
                <w:szCs w:val="20"/>
                <w:color w:val="auto"/>
              </w:rPr>
            </w:pPr>
          </w:p>
        </w:tc>
        <w:tc>
          <w:tcPr>
            <w:tcW w:w="6700" w:type="dxa"/>
            <w:vAlign w:val="bottom"/>
            <w:gridSpan w:val="3"/>
          </w:tcPr>
          <w:p>
            <w:pPr>
              <w:ind w:left="340"/>
              <w:spacing w:after="0"/>
              <w:rPr>
                <w:sz w:val="20"/>
                <w:szCs w:val="20"/>
                <w:color w:val="auto"/>
              </w:rPr>
            </w:pPr>
            <w:r>
              <w:rPr>
                <w:rFonts w:ascii="Arial" w:cs="Arial" w:eastAsia="Arial" w:hAnsi="Arial"/>
                <w:sz w:val="18"/>
                <w:szCs w:val="18"/>
                <w:color w:val="auto"/>
              </w:rPr>
              <w:t>Total corporate items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w:t>
            </w:r>
          </w:p>
        </w:tc>
      </w:tr>
      <w:tr>
        <w:trPr>
          <w:trHeight w:val="27"/>
        </w:trPr>
        <w:tc>
          <w:tcPr>
            <w:tcW w:w="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gridSpan w:val="4"/>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Income before income taxes attributable to FMC Technologies, Inc. </w:t>
            </w:r>
            <w:r>
              <w:rPr>
                <w:rFonts w:ascii="Arial" w:cs="Arial" w:eastAsia="Arial" w:hAnsi="Arial"/>
                <w:sz w:val="25"/>
                <w:szCs w:val="25"/>
                <w:color w:val="auto"/>
                <w:vertAlign w:val="superscript"/>
              </w:rPr>
              <w:t>(4)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1,060.9</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5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Other revenue comprises certain unrealized gains and losses on derivative instruments related to unexecuted sales contracts</w:t>
      </w:r>
    </w:p>
    <w:p>
      <w:pPr>
        <w:spacing w:after="0" w:line="104" w:lineRule="exact"/>
        <w:rPr>
          <w:rFonts w:ascii="Arial" w:cs="Arial" w:eastAsia="Arial" w:hAnsi="Arial"/>
          <w:sz w:val="25"/>
          <w:szCs w:val="25"/>
          <w:color w:val="auto"/>
          <w:vertAlign w:val="superscript"/>
        </w:rPr>
      </w:pPr>
    </w:p>
    <w:p>
      <w:pPr>
        <w:ind w:left="660" w:hanging="652"/>
        <w:spacing w:after="0" w:line="183"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Corporate expense primarily includes corporate staff expenses.</w:t>
      </w:r>
    </w:p>
    <w:p>
      <w:pPr>
        <w:spacing w:after="0" w:line="118" w:lineRule="exact"/>
        <w:rPr>
          <w:rFonts w:ascii="Arial" w:cs="Arial" w:eastAsia="Arial" w:hAnsi="Arial"/>
          <w:sz w:val="25"/>
          <w:szCs w:val="25"/>
          <w:color w:val="auto"/>
          <w:vertAlign w:val="superscript"/>
        </w:rPr>
      </w:pPr>
    </w:p>
    <w:p>
      <w:pPr>
        <w:ind w:left="660" w:right="320" w:hanging="652"/>
        <w:spacing w:after="0" w:line="215"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Other expense, net, generally includes stock-based compensation, other employee benefits, LIFO adjustments, certain foreign exchange gains and losses, and the impact of unusual or strategic transactions not representative of segment operations.</w:t>
      </w:r>
    </w:p>
    <w:p>
      <w:pPr>
        <w:spacing w:after="0" w:line="36" w:lineRule="exact"/>
        <w:rPr>
          <w:rFonts w:ascii="Arial" w:cs="Arial" w:eastAsia="Arial" w:hAnsi="Arial"/>
          <w:sz w:val="25"/>
          <w:szCs w:val="25"/>
          <w:color w:val="auto"/>
          <w:vertAlign w:val="superscript"/>
        </w:rPr>
      </w:pPr>
    </w:p>
    <w:p>
      <w:pPr>
        <w:ind w:left="660" w:hanging="652"/>
        <w:spacing w:after="0"/>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Excludes amounts attributable to noncontrolling interests.</w:t>
      </w:r>
    </w:p>
    <w:p>
      <w:pPr>
        <w:spacing w:after="0" w:line="104" w:lineRule="exact"/>
        <w:rPr>
          <w:rFonts w:ascii="Arial" w:cs="Arial" w:eastAsia="Arial" w:hAnsi="Arial"/>
          <w:sz w:val="25"/>
          <w:szCs w:val="25"/>
          <w:color w:val="auto"/>
          <w:vertAlign w:val="superscript"/>
        </w:rPr>
      </w:pPr>
    </w:p>
    <w:p>
      <w:pPr>
        <w:ind w:left="660" w:hanging="652"/>
        <w:spacing w:after="0" w:line="183"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Includes restructuring and impairment expenses. Refer to Note 5 for additional information.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i w:val="1"/>
          <w:iCs w:val="1"/>
          <w:color w:val="auto"/>
        </w:rPr>
        <w:t>Segment operating capital employed and segment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Segment operating capital employed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Subsea Technologies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2,065.6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2,025.7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Surface Technologies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Energy Infrastructure</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Intercompany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segment operating capital employed</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3,219.1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Segment liabilities included in total segment operating capital employed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1,406.1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1,806.1</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5"/>
                <w:szCs w:val="25"/>
                <w:color w:val="auto"/>
                <w:vertAlign w:val="superscript"/>
              </w:rPr>
              <w:t>(3)</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1,339.0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1,394.2</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5,748.6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6,419.4</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assets: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 Technologies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Surface Technologies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1,131.9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Infrastructure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Intercompany eliminations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5,025.2</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Corporate </w:t>
            </w:r>
            <w:r>
              <w:rPr>
                <w:rFonts w:ascii="Arial" w:cs="Arial" w:eastAsia="Arial" w:hAnsi="Arial"/>
                <w:sz w:val="25"/>
                <w:szCs w:val="25"/>
                <w:color w:val="auto"/>
                <w:vertAlign w:val="superscript"/>
              </w:rPr>
              <w:t>(3)</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1,339.0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1,394.2</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5,748.6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6,419.4</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60" w:right="20" w:hanging="652"/>
        <w:spacing w:after="0" w:line="232" w:lineRule="auto"/>
        <w:tabs>
          <w:tab w:leader="none" w:pos="66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FMC Technologies’ management views segment operating capital employed, which consists of assets, net of its liabilities, as the primary measure of segment capital. Segment operating capital employed excludes debt, certain investments, pension liabilities, income taxes and LIFO and valuation adjustments.</w:t>
      </w:r>
    </w:p>
    <w:p>
      <w:pPr>
        <w:spacing w:after="0" w:line="117" w:lineRule="exact"/>
        <w:rPr>
          <w:rFonts w:ascii="Arial" w:cs="Arial" w:eastAsia="Arial" w:hAnsi="Arial"/>
          <w:sz w:val="23"/>
          <w:szCs w:val="23"/>
          <w:color w:val="auto"/>
          <w:vertAlign w:val="superscript"/>
        </w:rPr>
      </w:pPr>
    </w:p>
    <w:p>
      <w:pPr>
        <w:ind w:left="660" w:right="540" w:hanging="652"/>
        <w:spacing w:after="0" w:line="215"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Segment liabilities included in total segment operating capital employed consist of trade and other accounts payable, advance payments and progress billings, accrued payroll and other liabilities.</w:t>
      </w:r>
    </w:p>
    <w:p>
      <w:pPr>
        <w:spacing w:after="0" w:line="117" w:lineRule="exact"/>
        <w:rPr>
          <w:rFonts w:ascii="Arial" w:cs="Arial" w:eastAsia="Arial" w:hAnsi="Arial"/>
          <w:sz w:val="25"/>
          <w:szCs w:val="25"/>
          <w:color w:val="auto"/>
          <w:vertAlign w:val="superscript"/>
        </w:rPr>
      </w:pPr>
    </w:p>
    <w:p>
      <w:pPr>
        <w:ind w:left="660" w:right="160" w:hanging="652"/>
        <w:spacing w:after="0" w:line="215"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Corporate includes cash, LIFO adjustments, deferred income tax balances, property, plant and equipment not associated with a specific segment, pension assets and the fair value of derivative financial instruments.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i w:val="1"/>
          <w:iCs w:val="1"/>
          <w:color w:val="auto"/>
        </w:rPr>
        <w:t>Geographic segment information</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Geographic segment sales were identified based on the location where our products and services were delivered. Geographic segment long-lived assets represent property, plant and equipment, net.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12"/>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center"/>
              <w:ind w:right="491"/>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1,148.8</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1,721.5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w w:val="89"/>
              </w:rPr>
              <w:t>2,245.3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Nigeria</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530.7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Brazil</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88"/>
              </w:rPr>
              <w:t>345.8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516.9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Norway</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497.5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1,023.3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Angola</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88"/>
              </w:rPr>
              <w:t>315.8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1,703.7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2,808.7</w:t>
            </w:r>
          </w:p>
        </w:tc>
        <w:tc>
          <w:tcPr>
            <w:tcW w:w="0" w:type="dxa"/>
            <w:vAlign w:val="bottom"/>
          </w:tcPr>
          <w:p>
            <w:pPr>
              <w:spacing w:after="0"/>
              <w:rPr>
                <w:sz w:val="1"/>
                <w:szCs w:val="1"/>
                <w:color w:val="auto"/>
              </w:rPr>
            </w:pPr>
          </w:p>
        </w:tc>
      </w:tr>
      <w:tr>
        <w:trPr>
          <w:trHeight w:val="257"/>
        </w:trPr>
        <w:tc>
          <w:tcPr>
            <w:tcW w:w="334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4,542.3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6,362.7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7,942.6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418.8</w:t>
            </w:r>
          </w:p>
        </w:tc>
        <w:tc>
          <w:tcPr>
            <w:tcW w:w="680" w:type="dxa"/>
            <w:vAlign w:val="bottom"/>
            <w:gridSpan w:val="3"/>
          </w:tcPr>
          <w:p>
            <w:pPr>
              <w:jc w:val="right"/>
              <w:ind w:right="27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Norway</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Malaysia</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114.1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5"/>
              </w:rPr>
              <w:t>70.8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countries</w:t>
            </w: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57"/>
        </w:trPr>
        <w:tc>
          <w:tcPr>
            <w:tcW w:w="3340" w:type="dxa"/>
            <w:vAlign w:val="bottom"/>
          </w:tcPr>
          <w:p>
            <w:pPr>
              <w:ind w:left="380"/>
              <w:spacing w:after="0"/>
              <w:rPr>
                <w:sz w:val="20"/>
                <w:szCs w:val="20"/>
                <w:color w:val="auto"/>
              </w:rPr>
            </w:pPr>
            <w:r>
              <w:rPr>
                <w:rFonts w:ascii="Arial" w:cs="Arial" w:eastAsia="Arial" w:hAnsi="Arial"/>
                <w:sz w:val="18"/>
                <w:szCs w:val="18"/>
                <w:color w:val="auto"/>
              </w:rPr>
              <w:t>Total long-lived assets</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rPr>
              <w:t>1,262.7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1,371.5</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i w:val="1"/>
                <w:iCs w:val="1"/>
                <w:color w:val="auto"/>
              </w:rPr>
              <w:t>Other business segment information</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6"/>
            <w:vMerge w:val="restart"/>
          </w:tcPr>
          <w:p>
            <w:pPr>
              <w:jc w:val="center"/>
              <w:ind w:left="376"/>
              <w:spacing w:after="0"/>
              <w:rPr>
                <w:sz w:val="20"/>
                <w:szCs w:val="20"/>
                <w:color w:val="auto"/>
              </w:rPr>
            </w:pPr>
            <w:r>
              <w:rPr>
                <w:rFonts w:ascii="Arial" w:cs="Arial" w:eastAsia="Arial" w:hAnsi="Arial"/>
                <w:sz w:val="14"/>
                <w:szCs w:val="14"/>
                <w:b w:val="1"/>
                <w:bCs w:val="1"/>
                <w:color w:val="auto"/>
                <w:w w:val="94"/>
              </w:rPr>
              <w:t>Capital Expenditures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7"/>
          </w:tcPr>
          <w:p>
            <w:pPr>
              <w:jc w:val="center"/>
              <w:ind w:right="130"/>
              <w:spacing w:after="0"/>
              <w:rPr>
                <w:sz w:val="20"/>
                <w:szCs w:val="20"/>
                <w:color w:val="auto"/>
              </w:rPr>
            </w:pPr>
            <w:r>
              <w:rPr>
                <w:rFonts w:ascii="Arial" w:cs="Arial" w:eastAsia="Arial" w:hAnsi="Arial"/>
                <w:sz w:val="14"/>
                <w:szCs w:val="14"/>
                <w:b w:val="1"/>
                <w:bCs w:val="1"/>
                <w:color w:val="auto"/>
                <w:w w:val="93"/>
              </w:rPr>
              <w:t>Depreciation and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gridSpan w:val="7"/>
          </w:tcPr>
          <w:p>
            <w:pPr>
              <w:jc w:val="center"/>
              <w:ind w:right="30"/>
              <w:spacing w:after="0"/>
              <w:rPr>
                <w:sz w:val="20"/>
                <w:szCs w:val="20"/>
                <w:color w:val="auto"/>
              </w:rPr>
            </w:pPr>
            <w:r>
              <w:rPr>
                <w:rFonts w:ascii="Arial" w:cs="Arial" w:eastAsia="Arial" w:hAnsi="Arial"/>
                <w:sz w:val="14"/>
                <w:szCs w:val="14"/>
                <w:b w:val="1"/>
                <w:bCs w:val="1"/>
                <w:color w:val="auto"/>
                <w:w w:val="89"/>
              </w:rPr>
              <w:t>Research and</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6"/>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5"/>
          </w:tcPr>
          <w:p>
            <w:pPr>
              <w:jc w:val="center"/>
              <w:ind w:right="25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9"/>
          </w:tcPr>
          <w:p>
            <w:pPr>
              <w:jc w:val="center"/>
              <w:ind w:right="211"/>
              <w:spacing w:after="0" w:line="149" w:lineRule="exact"/>
              <w:rPr>
                <w:sz w:val="20"/>
                <w:szCs w:val="20"/>
                <w:color w:val="auto"/>
              </w:rPr>
            </w:pPr>
            <w:r>
              <w:rPr>
                <w:rFonts w:ascii="Arial" w:cs="Arial" w:eastAsia="Arial" w:hAnsi="Arial"/>
                <w:sz w:val="14"/>
                <w:szCs w:val="14"/>
                <w:b w:val="1"/>
                <w:bCs w:val="1"/>
                <w:color w:val="auto"/>
                <w:w w:val="89"/>
              </w:rPr>
              <w:t>Development Expense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Pr>
          <w:p>
            <w:pPr>
              <w:spacing w:after="0"/>
              <w:rPr>
                <w:sz w:val="16"/>
                <w:szCs w:val="16"/>
                <w:color w:val="auto"/>
              </w:rPr>
            </w:pPr>
          </w:p>
        </w:tc>
        <w:tc>
          <w:tcPr>
            <w:tcW w:w="2320" w:type="dxa"/>
            <w:vAlign w:val="bottom"/>
            <w:gridSpan w:val="1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9"/>
          </w:tcPr>
          <w:p>
            <w:pPr>
              <w:jc w:val="center"/>
              <w:ind w:right="211"/>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3"/>
          </w:tcPr>
          <w:p>
            <w:pPr>
              <w:jc w:val="right"/>
              <w:ind w:right="17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Subsea Technologies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153.7</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4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138.0</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110.7</w:t>
            </w:r>
          </w:p>
        </w:tc>
        <w:tc>
          <w:tcPr>
            <w:tcW w:w="24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Surface Technologies</w:t>
            </w:r>
          </w:p>
        </w:tc>
        <w:tc>
          <w:tcPr>
            <w:tcW w:w="180" w:type="dxa"/>
            <w:vAlign w:val="bottom"/>
          </w:tcPr>
          <w:p>
            <w:pPr>
              <w:spacing w:after="0"/>
              <w:rPr>
                <w:sz w:val="21"/>
                <w:szCs w:val="21"/>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59.2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3"/>
          </w:tcPr>
          <w:p>
            <w:pPr>
              <w:jc w:val="right"/>
              <w:ind w:right="37"/>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 Infrastructure</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37"/>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21"/>
                <w:szCs w:val="21"/>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236.8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232.5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3"/>
          </w:tcPr>
          <w:p>
            <w:pPr>
              <w:jc w:val="right"/>
              <w:ind w:right="37"/>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7"/>
              </w:rPr>
              <w:t>135.3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22. QUARTERLY INFORMATION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3"/>
              </w:rPr>
              <w:t>2016</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2015</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millions, except per share</w:t>
            </w:r>
          </w:p>
        </w:tc>
        <w:tc>
          <w:tcPr>
            <w:tcW w:w="200" w:type="dxa"/>
            <w:vAlign w:val="bottom"/>
          </w:tcPr>
          <w:p>
            <w:pPr>
              <w:spacing w:after="0"/>
              <w:rPr>
                <w:sz w:val="12"/>
                <w:szCs w:val="12"/>
                <w:color w:val="auto"/>
              </w:rPr>
            </w:pPr>
          </w:p>
        </w:tc>
        <w:tc>
          <w:tcPr>
            <w:tcW w:w="8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4th Qtr.</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3rd Qtr.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2nd Qtr.</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1st Qtr.</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4th Qtr.</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3rd Qtr.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2nd Qtr.</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1st Qtr.</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data)</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1,695.2</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827.8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906.8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1,141.3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1,297.0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1,293.0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Income (loss) from continuing</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2"/>
              </w:rPr>
              <w:t>Income (loss) from discontinued</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income (loss) attributable to</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FMC Technologies, Inc.</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w w:val="95"/>
              </w:rPr>
              <w:t>Basic earnings (loss)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0.36</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Diluted earnings (loss) per share $</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0.01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0.46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0.63</w:t>
            </w:r>
          </w:p>
        </w:tc>
      </w:tr>
      <w:tr>
        <w:trPr>
          <w:trHeight w:val="486"/>
        </w:trPr>
        <w:tc>
          <w:tcPr>
            <w:tcW w:w="5080" w:type="dxa"/>
            <w:vAlign w:val="bottom"/>
            <w:gridSpan w:val="5"/>
          </w:tcPr>
          <w:p>
            <w:pPr>
              <w:spacing w:after="0"/>
              <w:rPr>
                <w:sz w:val="20"/>
                <w:szCs w:val="20"/>
                <w:color w:val="auto"/>
              </w:rPr>
            </w:pPr>
            <w:r>
              <w:rPr>
                <w:rFonts w:ascii="Arial" w:cs="Arial" w:eastAsia="Arial" w:hAnsi="Arial"/>
                <w:sz w:val="18"/>
                <w:szCs w:val="18"/>
                <w:b w:val="1"/>
                <w:bCs w:val="1"/>
                <w:color w:val="auto"/>
              </w:rPr>
              <w:t>NOTE 23. SUPPLEMENTAL CASH FLOW INFORMATION</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9"/>
        </w:trPr>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2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6"/>
              </w:rPr>
              <w:t>2014</w:t>
            </w:r>
          </w:p>
        </w:tc>
      </w:tr>
      <w:tr>
        <w:trPr>
          <w:trHeight w:val="236"/>
        </w:trPr>
        <w:tc>
          <w:tcPr>
            <w:tcW w:w="3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0"/>
              </w:rPr>
              <w:t>Cash paid for interest (net of interest capitalized)</w:t>
            </w:r>
          </w:p>
        </w:tc>
        <w:tc>
          <w:tcPr>
            <w:tcW w:w="4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4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w w:val="94"/>
              </w:rPr>
              <w:t>Cash paid for income taxes (net of refunds received)</w:t>
            </w: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jc w:val="right"/>
              <w:ind w:right="29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21"/>
                <w:szCs w:val="21"/>
                <w:color w:val="auto"/>
              </w:rPr>
            </w:pPr>
          </w:p>
        </w:tc>
        <w:tc>
          <w:tcPr>
            <w:tcW w:w="1040" w:type="dxa"/>
            <w:vAlign w:val="bottom"/>
            <w:gridSpan w:val="2"/>
          </w:tcPr>
          <w:p>
            <w:pPr>
              <w:jc w:val="right"/>
              <w:ind w:right="72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w w:val="84"/>
              </w:rPr>
              <w:t>239.1</w:t>
            </w:r>
          </w:p>
        </w:tc>
        <w:tc>
          <w:tcPr>
            <w:tcW w:w="4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w:t>
            </w:r>
          </w:p>
        </w:tc>
        <w:tc>
          <w:tcPr>
            <w:tcW w:w="22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370.0</w:t>
            </w:r>
          </w:p>
        </w:tc>
      </w:tr>
      <w:tr>
        <w:trPr>
          <w:trHeight w:val="486"/>
        </w:trPr>
        <w:tc>
          <w:tcPr>
            <w:tcW w:w="2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NOTE 24. VALUATION AND QUALIFYING ACCOUNTS</w:t>
      </w:r>
    </w:p>
    <w:p>
      <w:pPr>
        <w:spacing w:after="0" w:line="200" w:lineRule="exact"/>
        <w:rPr>
          <w:sz w:val="20"/>
          <w:szCs w:val="20"/>
          <w:color w:val="auto"/>
        </w:rPr>
      </w:pP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5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Balance at</w:t>
            </w:r>
          </w:p>
        </w:tc>
        <w:tc>
          <w:tcPr>
            <w:tcW w:w="1140" w:type="dxa"/>
            <w:vAlign w:val="bottom"/>
          </w:tcPr>
          <w:p>
            <w:pPr>
              <w:jc w:val="center"/>
              <w:ind w:left="128"/>
              <w:spacing w:after="0" w:line="153" w:lineRule="exact"/>
              <w:rPr>
                <w:sz w:val="20"/>
                <w:szCs w:val="20"/>
                <w:color w:val="auto"/>
              </w:rPr>
            </w:pPr>
            <w:r>
              <w:rPr>
                <w:rFonts w:ascii="Arial" w:cs="Arial" w:eastAsia="Arial" w:hAnsi="Arial"/>
                <w:sz w:val="14"/>
                <w:szCs w:val="14"/>
                <w:b w:val="1"/>
                <w:bCs w:val="1"/>
                <w:color w:val="auto"/>
                <w:w w:val="94"/>
              </w:rPr>
              <w:t>Charged to</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Charged to</w:t>
            </w:r>
          </w:p>
        </w:tc>
        <w:tc>
          <w:tcPr>
            <w:tcW w:w="120" w:type="dxa"/>
            <w:vAlign w:val="bottom"/>
          </w:tcPr>
          <w:p>
            <w:pPr>
              <w:spacing w:after="0"/>
              <w:rPr>
                <w:sz w:val="13"/>
                <w:szCs w:val="13"/>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Deductions</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1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87"/>
              </w:rPr>
              <w:t>Costs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740" w:type="dxa"/>
            <w:vAlign w:val="bottom"/>
            <w:gridSpan w:val="2"/>
            <w:vMerge w:val="continue"/>
          </w:tcPr>
          <w:p>
            <w:pPr>
              <w:spacing w:after="0"/>
              <w:rPr>
                <w:sz w:val="13"/>
                <w:szCs w:val="13"/>
                <w:color w:val="auto"/>
              </w:rPr>
            </w:pPr>
          </w:p>
        </w:tc>
        <w:tc>
          <w:tcPr>
            <w:tcW w:w="15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Period</w:t>
            </w:r>
          </w:p>
        </w:tc>
        <w:tc>
          <w:tcPr>
            <w:tcW w:w="1140" w:type="dxa"/>
            <w:vAlign w:val="bottom"/>
          </w:tcPr>
          <w:p>
            <w:pPr>
              <w:jc w:val="center"/>
              <w:ind w:left="148"/>
              <w:spacing w:after="0" w:line="158" w:lineRule="exact"/>
              <w:rPr>
                <w:sz w:val="20"/>
                <w:szCs w:val="20"/>
                <w:color w:val="auto"/>
              </w:rPr>
            </w:pPr>
            <w:r>
              <w:rPr>
                <w:rFonts w:ascii="Arial" w:cs="Arial" w:eastAsia="Arial" w:hAnsi="Arial"/>
                <w:sz w:val="14"/>
                <w:szCs w:val="14"/>
                <w:b w:val="1"/>
                <w:bCs w:val="1"/>
                <w:color w:val="auto"/>
                <w:w w:val="89"/>
              </w:rPr>
              <w:t>and Expenses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 xml:space="preserve">Accounts </w:t>
            </w:r>
            <w:r>
              <w:rPr>
                <w:rFonts w:ascii="Arial" w:cs="Arial" w:eastAsia="Arial" w:hAnsi="Arial"/>
                <w:sz w:val="8"/>
                <w:szCs w:val="8"/>
                <w:b w:val="1"/>
                <w:bCs w:val="1"/>
                <w:color w:val="auto"/>
                <w:w w:val="90"/>
              </w:rPr>
              <w:t>(a)</w:t>
            </w:r>
          </w:p>
        </w:tc>
        <w:tc>
          <w:tcPr>
            <w:tcW w:w="120" w:type="dxa"/>
            <w:vAlign w:val="bottom"/>
          </w:tcPr>
          <w:p>
            <w:pPr>
              <w:spacing w:after="0"/>
              <w:rPr>
                <w:sz w:val="13"/>
                <w:szCs w:val="13"/>
                <w:color w:val="auto"/>
              </w:rPr>
            </w:pPr>
          </w:p>
        </w:tc>
        <w:tc>
          <w:tcPr>
            <w:tcW w:w="17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 xml:space="preserve">and Adjustments </w:t>
            </w:r>
            <w:r>
              <w:rPr>
                <w:rFonts w:ascii="Arial" w:cs="Arial" w:eastAsia="Arial" w:hAnsi="Arial"/>
                <w:sz w:val="8"/>
                <w:szCs w:val="8"/>
                <w:b w:val="1"/>
                <w:bCs w:val="1"/>
                <w:color w:val="auto"/>
                <w:w w:val="92"/>
              </w:rPr>
              <w:t>(b)</w:t>
            </w: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End of Period</w:t>
            </w: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ind w:left="40"/>
        <w:spacing w:after="0"/>
        <w:rPr>
          <w:sz w:val="20"/>
          <w:szCs w:val="20"/>
          <w:color w:val="auto"/>
        </w:rPr>
      </w:pPr>
      <w:r>
        <w:rPr>
          <w:rFonts w:ascii="Arial" w:cs="Arial" w:eastAsia="Arial" w:hAnsi="Arial"/>
          <w:sz w:val="18"/>
          <w:szCs w:val="18"/>
          <w:color w:val="auto"/>
        </w:rPr>
        <w:t>Year Ended December 31, 2014:</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380"/>
              <w:spacing w:after="0"/>
              <w:rPr>
                <w:sz w:val="20"/>
                <w:szCs w:val="20"/>
                <w:color w:val="auto"/>
              </w:rPr>
            </w:pPr>
            <w:r>
              <w:rPr>
                <w:rFonts w:ascii="Arial" w:cs="Arial" w:eastAsia="Arial" w:hAnsi="Arial"/>
                <w:sz w:val="18"/>
                <w:szCs w:val="18"/>
                <w:color w:val="auto"/>
              </w:rPr>
              <w:t>Inventory valuation reserve</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380"/>
              <w:spacing w:after="0"/>
              <w:rPr>
                <w:sz w:val="20"/>
                <w:szCs w:val="20"/>
                <w:color w:val="auto"/>
              </w:rPr>
            </w:pPr>
            <w:r>
              <w:rPr>
                <w:rFonts w:ascii="Arial" w:cs="Arial" w:eastAsia="Arial" w:hAnsi="Arial"/>
                <w:sz w:val="18"/>
                <w:szCs w:val="18"/>
                <w:color w:val="auto"/>
                <w:w w:val="94"/>
              </w:rPr>
              <w:t>Valuation allowance for deferred tax assets</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64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380"/>
              <w:spacing w:after="0"/>
              <w:rPr>
                <w:sz w:val="20"/>
                <w:szCs w:val="20"/>
                <w:color w:val="auto"/>
              </w:rPr>
            </w:pPr>
            <w:r>
              <w:rPr>
                <w:rFonts w:ascii="Arial" w:cs="Arial" w:eastAsia="Arial" w:hAnsi="Arial"/>
                <w:sz w:val="18"/>
                <w:szCs w:val="18"/>
                <w:color w:val="auto"/>
              </w:rPr>
              <w:t>Inventory valuation reserve</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380"/>
              <w:spacing w:after="0"/>
              <w:rPr>
                <w:sz w:val="20"/>
                <w:szCs w:val="20"/>
                <w:color w:val="auto"/>
              </w:rPr>
            </w:pPr>
            <w:r>
              <w:rPr>
                <w:rFonts w:ascii="Arial" w:cs="Arial" w:eastAsia="Arial" w:hAnsi="Arial"/>
                <w:sz w:val="18"/>
                <w:szCs w:val="18"/>
                <w:color w:val="auto"/>
                <w:w w:val="94"/>
              </w:rPr>
              <w:t>Valuation allowance for deferred tax assets</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64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380"/>
              <w:spacing w:after="0"/>
              <w:rPr>
                <w:sz w:val="20"/>
                <w:szCs w:val="20"/>
                <w:color w:val="auto"/>
              </w:rPr>
            </w:pPr>
            <w:r>
              <w:rPr>
                <w:rFonts w:ascii="Arial" w:cs="Arial" w:eastAsia="Arial" w:hAnsi="Arial"/>
                <w:sz w:val="18"/>
                <w:szCs w:val="18"/>
                <w:color w:val="auto"/>
              </w:rPr>
              <w:t>Inventory valuation reserve</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153.3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640" w:type="dxa"/>
            <w:vAlign w:val="bottom"/>
          </w:tcPr>
          <w:p>
            <w:pPr>
              <w:ind w:left="380"/>
              <w:spacing w:after="0"/>
              <w:rPr>
                <w:sz w:val="20"/>
                <w:szCs w:val="20"/>
                <w:color w:val="auto"/>
              </w:rPr>
            </w:pPr>
            <w:r>
              <w:rPr>
                <w:rFonts w:ascii="Arial" w:cs="Arial" w:eastAsia="Arial" w:hAnsi="Arial"/>
                <w:sz w:val="18"/>
                <w:szCs w:val="18"/>
                <w:color w:val="auto"/>
                <w:w w:val="94"/>
              </w:rPr>
              <w:t>Valuation allowance for deferred tax assets</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______________________________</w:t>
            </w: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-1851660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-1508760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-1165860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47.6</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28.1</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70"/>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39.9</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540"/>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10.1</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94.1</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31.4</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153.3</w:t>
            </w:r>
          </w:p>
        </w:tc>
      </w:tr>
      <w:tr>
        <w:trPr>
          <w:trHeight w:val="270"/>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27.7</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540"/>
        </w:trPr>
        <w:tc>
          <w:tcPr>
            <w:tcW w:w="44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7.4</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0"/>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79.0</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81.4</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148.2</w:t>
            </w:r>
          </w:p>
        </w:tc>
      </w:tr>
      <w:tr>
        <w:trPr>
          <w:trHeight w:val="270"/>
        </w:trPr>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36.1</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7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90.8</w:t>
            </w:r>
          </w:p>
        </w:tc>
      </w:tr>
    </w:tbl>
    <w:p>
      <w:pPr>
        <w:spacing w:after="0" w:line="308" w:lineRule="exact"/>
        <w:rPr>
          <w:sz w:val="20"/>
          <w:szCs w:val="20"/>
          <w:color w:val="auto"/>
        </w:rPr>
      </w:pPr>
    </w:p>
    <w:p>
      <w:pPr>
        <w:sectPr>
          <w:pgSz w:w="11900" w:h="16838" w:orient="portrait"/>
          <w:cols w:equalWidth="0" w:num="2">
            <w:col w:w="5520" w:space="720"/>
            <w:col w:w="5180"/>
          </w:cols>
          <w:pgMar w:left="240" w:top="580" w:right="239" w:bottom="1440" w:gutter="0" w:footer="0" w:header="0"/>
          <w:type w:val="continuous"/>
        </w:sectPr>
      </w:pPr>
    </w:p>
    <w:p>
      <w:pPr>
        <w:ind w:left="660" w:hanging="652"/>
        <w:spacing w:after="0"/>
        <w:tabs>
          <w:tab w:leader="none" w:pos="66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“Additions charged to other accounts” includes translation adjustments and allowances acquired through business combinations.</w:t>
      </w:r>
    </w:p>
    <w:p>
      <w:pPr>
        <w:spacing w:after="0" w:line="104" w:lineRule="exact"/>
        <w:rPr>
          <w:rFonts w:ascii="Arial" w:cs="Arial" w:eastAsia="Arial" w:hAnsi="Arial"/>
          <w:sz w:val="22"/>
          <w:szCs w:val="22"/>
          <w:color w:val="auto"/>
          <w:vertAlign w:val="superscript"/>
        </w:rPr>
      </w:pPr>
    </w:p>
    <w:p>
      <w:pPr>
        <w:ind w:left="660" w:hanging="652"/>
        <w:spacing w:after="0" w:line="199" w:lineRule="auto"/>
        <w:tabs>
          <w:tab w:leader="none" w:pos="660" w:val="left"/>
        </w:tabs>
        <w:numPr>
          <w:ilvl w:val="0"/>
          <w:numId w:val="12"/>
        </w:numPr>
        <w:rPr>
          <w:rFonts w:ascii="Arial" w:cs="Arial" w:eastAsia="Arial" w:hAnsi="Arial"/>
          <w:sz w:val="23"/>
          <w:szCs w:val="23"/>
          <w:color w:val="auto"/>
          <w:vertAlign w:val="superscript"/>
        </w:rPr>
      </w:pPr>
      <w:r>
        <w:rPr>
          <w:rFonts w:ascii="Arial" w:cs="Arial" w:eastAsia="Arial" w:hAnsi="Arial"/>
          <w:sz w:val="15"/>
          <w:szCs w:val="15"/>
          <w:color w:val="auto"/>
        </w:rPr>
        <w:t>“Deductions and adjustments” includes write-offs, net of recoveries, and reductions in the allowances credited to expense.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NOTE 25. SUBSEQUENT EVENTS</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We have evaluated all events subsequent to the balance sheet date of December 31, 2016, through February 22, 2017, which is the date these consolidated financial statements were issued, and have determined that except as set forth below, there are no subsequent events that require disclosure.</w:t>
      </w:r>
    </w:p>
    <w:p>
      <w:pPr>
        <w:spacing w:after="0" w:line="1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January 12, 2017, FMC Technologies, Inc. and Technip Eurocash SNC (the “Borrowers”) entered into a $2.5 billion five-year senior unsecured revolving credit facility agreement (“facility agreement”) with JPMorgan Chase Bank, National Association, as agent and an arranger, SG Americas Securities LLC as an arranger, and the lenders party thereto. The agreement provides that we would act as initial guarantor and TechnipFMC would accede as an additional borrower and an additional guarantor following the consummation of the business combination between FMC Technologies and Technip.</w:t>
      </w:r>
    </w:p>
    <w:p>
      <w:pPr>
        <w:spacing w:after="0" w:line="4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The facility expires in January 2022.</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17" w:lineRule="exact"/>
        <w:rPr>
          <w:sz w:val="20"/>
          <w:szCs w:val="20"/>
          <w:color w:val="auto"/>
        </w:rPr>
      </w:pPr>
    </w:p>
    <w:p>
      <w:pPr>
        <w:ind w:left="660" w:right="2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17"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previously existing $2.0 billion five-year revolving credit agreement was terminated upon availability of the facility agreement.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0"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4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The following unaudited pro forma condensed combined financial information, which we refer to as the pro forma financial statements, give effect to the Mergers, as defined in "Description of the Mergers" in the Notes to the Unaudited Pro Forma Condensed Combined Financial Information, accounted for under the acquisition method of accounting in accordance with Accounting Standards Codification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with Technip identified as the accounting acquirer. ASC 805 provides that in identifying the acquiring entity, all pertinent facts and circumstances must be considered, including, but not limited to, the relative voting rights of the stockholders of the constituent companies in the combined company, significant minority voting interest, the composition of the board of directors and senior management of the combined company, the terms of the exchange of equity securities in the business combination, including the payment of any premium, and the relative size of each company. After careful consideration of all of the company-specific facts, the merger-related facts and the business combination agreement, FMC Technologies, Inc ("FMCTI") and Technip S.A. ("Technip") determined that the factors were neutral to or supportive of the conclusion that Technip is the accounting acquirer. The factors that most notably supported this determination were (i) the relative voting interest of Technip and FMCTI in the combined company whereby the Technip stockholders obtained a majority voting interest of approximately 51%, (ii) the minority voting interest and (iii) the relative size of FMCTI’s and Technip’s revenue, total assets, workforce and global footprint.</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unaudited pro forma condensed combined statement of income has been prepared to give effect to the Mergers as if they had been completed on January 1, 2016. The unaudited pro forma condensed combined balance sheet has been prepared to give effect to the Mergers as if they had been completed on December 31, 2016.</w:t>
      </w:r>
    </w:p>
    <w:p>
      <w:pPr>
        <w:spacing w:after="0" w:line="1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pro forma financial statements are based on the historical audited consolidated financial position and results of operations of Technip and FMCTI as of and for the year ended December 31, 2016.</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U.S. GAAP requires that, for each business combination, one of the combining entities be identified as the acquirer, and the existence of a controlling financial interest be used to identify the acquirer in a business combination. In a business combination effected primarily by exchanging equity interests, the acquirer usually is the entity that issues its equity interests. However, under certain circumstances, the acquirer for accounting purposes may not necessarily be the legal acquirer (i.e., the entity that issues its equity interest to effect the business combination). As discussed above, Technip was determined to be the acquirer for accounting purposes. As a result, the Mergers will be accounted for as an acquisition of FMCTI by Technip. Accordingly, FMCTI’s tangible and identifiable intangible assets acquired and liabilities assumed will be recorded at fair value at the date of completion of the Mergers, with the excess of the purchase consideration over the fair value of FMCTI’s net assets being recorded as goodwill. The Technip assets and liabilities together with Technip operations will continue to be recorded at their pre-combination historical carrying value for all periods presented (including pre-combination) in the consolidated financial statements of the combined company. After January 16, 2017, the date of the completion of the Mergers ("Merger Date"), the results of operations of both companies will be included in the consolidated financial statements of the combined company. Valuations of property, plant and equipment, and intangible and other assets acquired and liabilities assumed, along with assessments of favorable and unfavorable leases, are preliminary as management is still reviewing the existence, characteristics and assumptions related to FMCTI’s assets acquired and liabilities assumed. Estimates and assumptions are subject to change upon finalization of these preliminary valuations as of the Merger Date. The completion of the fair valuation analyses could result in significantly different depreciation and amortization expenses and balance sheet classifications.</w:t>
      </w:r>
    </w:p>
    <w:p>
      <w:pPr>
        <w:spacing w:after="0" w:line="11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pro forma financial statements were prepared in accordance with Article 11 of Securities and Exchange Commission ("SEC") Regulation S-X. The pro forma adjustments reflecting completion of the Mergers are based upon the acquisition method of accounting in accordance with U.S. GAAP, and upon the assumptions set forth in the notes to the pro forma financial statements.</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historical financial information of FMCTI are reported pursuant to U.S. GAAP and presented in U.S. dollars. The historical financial information of Technip are reported pursuant to IFRS as issued by the IASB and presented in Euro. The audited consolidated financial statements used in the preparation of the pro forma financial statements include adjustments and reclassifications to convert the balance sheet and statement of income of Technip from IFRS as issued by the IASB to U.S. GAAP and to translate the financial statements from Euro to U.S. dollars. Management will conduct further review of adjustments and reclassifications to convert Technip financial statements from IFRS to U.S. GAAP, and as a result, management may identify further differences that could have a material impact to the pro forma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The historical financial data has been adjusted to give pro forma effect to events that are (1) directly attributable to the Mergers, (2) factually supportable, and</w:t>
      </w:r>
    </w:p>
    <w:p>
      <w:pPr>
        <w:spacing w:after="0" w:line="46" w:lineRule="exact"/>
        <w:rPr>
          <w:sz w:val="20"/>
          <w:szCs w:val="20"/>
          <w:color w:val="auto"/>
        </w:rPr>
      </w:pPr>
    </w:p>
    <w:p>
      <w:pPr>
        <w:ind w:right="100" w:firstLine="8"/>
        <w:spacing w:after="0" w:line="252"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the statements of income, expected to have a continuing impact on the combined results. The pro forma financial statements do not reflect any revenue enhancements, anticipated synergies or dis-synergies, operating efficiencies or cost savings that may be achieved. The fair value adjustments applied to the assets acquired and liabilities assumed reflected in the pro forma financial data is preliminary and is based on management’s estimates of the fair value and useful lives of the assets acquired and liabilities assumed. The pro forma financial statements do not include any fair value adjustments associated with the tangible fixed assets of FMCTI as management has preliminarily concluded that the historical carrying value of the assets approximates the current fair market value. Accordingly, the actual financial position and results of operations may differ from these pro forma amounts as additional information becomes available and as additional analyses are performed. The final valuations may result in material changes to the preliminary estimated purchase price allocation.</w:t>
      </w:r>
    </w:p>
    <w:p>
      <w:pPr>
        <w:spacing w:after="0" w:line="20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pro forma adjustments are subject to modification depending on changes in the final fair value determination for assets acquired and liabilities assumed and as additional information becomes available and additional analyses are performed. The final allocation of the total purchase accounting will be determined after completion of thorough analyses to determine the fair value of FMCTI’s tangible and identifiable intangible assets acquired and liabilities assumed as of the Merger Date. Increases or decreases in the fair values of the net assets as compared with the information shown in the pro forma financial statements may change the amount of the total purchase consideration allocated to goodwill, if any, and other assets and liabilities and may impact the combined company statements of income due to adjustments in amortization of the adjusted assets or liabilities. Any changes to FMCTI’s equity, including results of operations from December 31, 2016 through the Merger Date, will also change the purchase accounting, which may include the recording of a lower or higher amount of goodwill. The final adjustments may be materially different from the pro forma financial statements presented herein.</w:t>
      </w:r>
    </w:p>
    <w:p>
      <w:pPr>
        <w:spacing w:after="0" w:line="1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pro forma financial statements are not intended to represent or be indicative of the consolidated results of operations or financial position that would have been reported had the Mergers been completed as of the dates presented, and should not be taken as representative of the future consolidated results of operations or financial position of the combined company following the Mergers. The actual financial position and results of operations of the combined company following the Mergers may significantly differ from the pro forma financial statements reflected herein due to a variety of factors. The pro forma financial statements are based upon available information and certain assumptions that management believes are reasonable.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14" w:right="259" w:bottom="1440" w:gutter="0" w:footer="0" w:header="0"/>
        </w:sectPr>
      </w:pPr>
    </w:p>
    <w:bookmarkStart w:id="57" w:name="page58"/>
    <w:bookmarkEnd w:id="57"/>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DECEMBER 31, 2016</w:t>
      </w:r>
    </w:p>
    <w:p>
      <w:pPr>
        <w:sectPr>
          <w:pgSz w:w="11900" w:h="16900" w:orient="portrait"/>
          <w:cols w:equalWidth="0" w:num="1">
            <w:col w:w="11400"/>
          </w:cols>
          <w:pgMar w:left="240" w:top="580" w:right="259" w:bottom="0" w:gutter="0" w:footer="0" w:header="0"/>
        </w:sect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Historical</w:t>
            </w:r>
          </w:p>
        </w:tc>
        <w:tc>
          <w:tcPr>
            <w:tcW w:w="18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Historical</w:t>
            </w:r>
          </w:p>
        </w:tc>
        <w:tc>
          <w:tcPr>
            <w:tcW w:w="120" w:type="dxa"/>
            <w:vAlign w:val="bottom"/>
          </w:tcPr>
          <w:p>
            <w:pPr>
              <w:spacing w:after="0"/>
              <w:rPr>
                <w:sz w:val="13"/>
                <w:szCs w:val="13"/>
                <w:color w:val="auto"/>
              </w:rPr>
            </w:pPr>
          </w:p>
        </w:tc>
        <w:tc>
          <w:tcPr>
            <w:tcW w:w="880" w:type="dxa"/>
            <w:vAlign w:val="bottom"/>
          </w:tcPr>
          <w:p>
            <w:pPr>
              <w:jc w:val="center"/>
              <w:ind w:right="37"/>
              <w:spacing w:after="0"/>
              <w:rPr>
                <w:sz w:val="20"/>
                <w:szCs w:val="20"/>
                <w:color w:val="auto"/>
              </w:rPr>
            </w:pPr>
            <w:r>
              <w:rPr>
                <w:rFonts w:ascii="Arial" w:cs="Arial" w:eastAsia="Arial" w:hAnsi="Arial"/>
                <w:sz w:val="13"/>
                <w:szCs w:val="13"/>
                <w:b w:val="1"/>
                <w:bCs w:val="1"/>
                <w:color w:val="auto"/>
                <w:w w:val="85"/>
              </w:rPr>
              <w:t>Purchase</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Technip</w:t>
            </w:r>
          </w:p>
        </w:tc>
        <w:tc>
          <w:tcPr>
            <w:tcW w:w="18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rPr>
              <w:t>FMCTI</w:t>
            </w:r>
          </w:p>
        </w:tc>
        <w:tc>
          <w:tcPr>
            <w:tcW w:w="120" w:type="dxa"/>
            <w:vAlign w:val="bottom"/>
          </w:tcPr>
          <w:p>
            <w:pPr>
              <w:spacing w:after="0"/>
              <w:rPr>
                <w:sz w:val="11"/>
                <w:szCs w:val="11"/>
                <w:color w:val="auto"/>
              </w:rPr>
            </w:pPr>
          </w:p>
        </w:tc>
        <w:tc>
          <w:tcPr>
            <w:tcW w:w="8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Accounting</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(Note 4a)</w:t>
            </w:r>
          </w:p>
        </w:tc>
        <w:tc>
          <w:tcPr>
            <w:tcW w:w="18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(Note 4b)</w:t>
            </w:r>
          </w:p>
        </w:tc>
        <w:tc>
          <w:tcPr>
            <w:tcW w:w="120" w:type="dxa"/>
            <w:vAlign w:val="bottom"/>
          </w:tcPr>
          <w:p>
            <w:pPr>
              <w:spacing w:after="0"/>
              <w:rPr>
                <w:sz w:val="15"/>
                <w:szCs w:val="15"/>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Adjustments</w:t>
            </w:r>
          </w:p>
        </w:tc>
        <w:tc>
          <w:tcPr>
            <w:tcW w:w="120" w:type="dxa"/>
            <w:vAlign w:val="bottom"/>
          </w:tcPr>
          <w:p>
            <w:pPr>
              <w:spacing w:after="0"/>
              <w:rPr>
                <w:sz w:val="15"/>
                <w:szCs w:val="15"/>
                <w:color w:val="auto"/>
              </w:rPr>
            </w:pPr>
          </w:p>
        </w:tc>
        <w:tc>
          <w:tcPr>
            <w:tcW w:w="1120" w:type="dxa"/>
            <w:vAlign w:val="bottom"/>
            <w:gridSpan w:val="2"/>
          </w:tcPr>
          <w:p>
            <w:pPr>
              <w:ind w:left="360"/>
              <w:spacing w:after="0"/>
              <w:rPr>
                <w:sz w:val="20"/>
                <w:szCs w:val="20"/>
                <w:color w:val="auto"/>
              </w:rPr>
            </w:pPr>
            <w:r>
              <w:rPr>
                <w:rFonts w:ascii="Arial" w:cs="Arial" w:eastAsia="Arial" w:hAnsi="Arial"/>
                <w:sz w:val="13"/>
                <w:szCs w:val="13"/>
                <w:b w:val="1"/>
                <w:bCs w:val="1"/>
                <w:color w:val="auto"/>
              </w:rPr>
              <w:t>Notes</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Adjustments</w:t>
            </w:r>
          </w:p>
        </w:tc>
        <w:tc>
          <w:tcPr>
            <w:tcW w:w="0" w:type="dxa"/>
            <w:vAlign w:val="bottom"/>
          </w:tcPr>
          <w:p>
            <w:pPr>
              <w:spacing w:after="0"/>
              <w:rPr>
                <w:sz w:val="1"/>
                <w:szCs w:val="1"/>
                <w:color w:val="auto"/>
              </w:rPr>
            </w:pPr>
          </w:p>
        </w:tc>
      </w:tr>
      <w:tr>
        <w:trPr>
          <w:trHeight w:val="254"/>
        </w:trPr>
        <w:tc>
          <w:tcPr>
            <w:tcW w:w="4000" w:type="dxa"/>
            <w:vAlign w:val="bottom"/>
          </w:tcPr>
          <w:p>
            <w:pPr>
              <w:ind w:left="40"/>
              <w:spacing w:after="0"/>
              <w:rPr>
                <w:sz w:val="20"/>
                <w:szCs w:val="20"/>
                <w:color w:val="auto"/>
              </w:rPr>
            </w:pPr>
            <w:r>
              <w:rPr>
                <w:rFonts w:ascii="Arial" w:cs="Arial" w:eastAsia="Arial" w:hAnsi="Arial"/>
                <w:sz w:val="13"/>
                <w:szCs w:val="13"/>
                <w:b w:val="1"/>
                <w:bCs w:val="1"/>
                <w:color w:val="auto"/>
              </w:rPr>
              <w:t>(In millions of U.S. dollars)</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40"/>
              <w:spacing w:after="0"/>
              <w:rPr>
                <w:sz w:val="20"/>
                <w:szCs w:val="20"/>
                <w:color w:val="auto"/>
              </w:rPr>
            </w:pPr>
            <w:r>
              <w:rPr>
                <w:rFonts w:ascii="Arial" w:cs="Arial" w:eastAsia="Arial" w:hAnsi="Arial"/>
                <w:sz w:val="13"/>
                <w:szCs w:val="13"/>
                <w:b w:val="1"/>
                <w:bCs w:val="1"/>
                <w:color w:val="auto"/>
              </w:rPr>
              <w:t>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Cash and cash equivalents</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6,269.4</w:t>
            </w:r>
          </w:p>
        </w:tc>
        <w:tc>
          <w:tcPr>
            <w:tcW w:w="120" w:type="dxa"/>
            <w:vAlign w:val="bottom"/>
          </w:tcPr>
          <w:p>
            <w:pPr>
              <w:spacing w:after="0"/>
              <w:rPr>
                <w:sz w:val="23"/>
                <w:szCs w:val="23"/>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1,015.9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Trade receivables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2,024.5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709.4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(33.9)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w w:val="89"/>
              </w:rPr>
              <w:t>Costs and estimated earnings in excess of billings on uncompleted contracts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485.7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612.2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Inventories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334.7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594.1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Financial instruments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238.0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44.5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Prepaid expenses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000" w:type="dxa"/>
            <w:vAlign w:val="bottom"/>
          </w:tcPr>
          <w:p>
            <w:pPr>
              <w:ind w:left="40"/>
              <w:spacing w:after="0"/>
              <w:rPr>
                <w:sz w:val="20"/>
                <w:szCs w:val="20"/>
                <w:color w:val="auto"/>
              </w:rPr>
            </w:pPr>
            <w:r>
              <w:rPr>
                <w:rFonts w:ascii="Arial" w:cs="Arial" w:eastAsia="Arial" w:hAnsi="Arial"/>
                <w:sz w:val="13"/>
                <w:szCs w:val="13"/>
                <w:color w:val="auto"/>
              </w:rPr>
              <w:t>Income taxes receivable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265.0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135.4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current assets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1,510.7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172.6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4000" w:type="dxa"/>
            <w:vAlign w:val="bottom"/>
            <w:shd w:val="clear" w:color="auto" w:fill="CCEEFF"/>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80"/>
              <w:spacing w:after="0"/>
              <w:rPr>
                <w:sz w:val="20"/>
                <w:szCs w:val="20"/>
                <w:color w:val="auto"/>
              </w:rPr>
            </w:pPr>
            <w:r>
              <w:rPr>
                <w:rFonts w:ascii="Arial" w:cs="Arial" w:eastAsia="Arial" w:hAnsi="Arial"/>
                <w:sz w:val="13"/>
                <w:szCs w:val="13"/>
                <w:color w:val="auto"/>
              </w:rPr>
              <w:t>Total current assets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11,128.0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3,320.8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Investments in equity affiliates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177.8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Investments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14.1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85.9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Other financial assets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236.0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Property, plant and equipment, net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2,620.1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1,262.7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00" w:type="dxa"/>
            <w:vAlign w:val="bottom"/>
          </w:tcPr>
          <w:p>
            <w:pPr>
              <w:ind w:left="40"/>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3,718.4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517.9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4,835.1</w:t>
            </w:r>
          </w:p>
        </w:tc>
        <w:tc>
          <w:tcPr>
            <w:tcW w:w="120" w:type="dxa"/>
            <w:vAlign w:val="bottom"/>
          </w:tcPr>
          <w:p>
            <w:pPr>
              <w:spacing w:after="0"/>
              <w:rPr>
                <w:sz w:val="23"/>
                <w:szCs w:val="2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3,4(f), 4(g)</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4000" w:type="dxa"/>
            <w:vAlign w:val="bottom"/>
          </w:tcPr>
          <w:p>
            <w:pPr>
              <w:ind w:left="40"/>
              <w:spacing w:after="0"/>
              <w:rPr>
                <w:sz w:val="20"/>
                <w:szCs w:val="20"/>
                <w:color w:val="auto"/>
              </w:rPr>
            </w:pPr>
            <w:r>
              <w:rPr>
                <w:rFonts w:ascii="Arial" w:cs="Arial" w:eastAsia="Arial" w:hAnsi="Arial"/>
                <w:sz w:val="13"/>
                <w:szCs w:val="13"/>
                <w:color w:val="auto"/>
              </w:rPr>
              <w:t>Intangible assets, net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255.4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274.0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1,211.8</w:t>
            </w:r>
          </w:p>
        </w:tc>
        <w:tc>
          <w:tcPr>
            <w:tcW w:w="120" w:type="dxa"/>
            <w:vAlign w:val="bottom"/>
          </w:tcPr>
          <w:p>
            <w:pPr>
              <w:spacing w:after="0"/>
              <w:rPr>
                <w:sz w:val="23"/>
                <w:szCs w:val="2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4(c)</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Deferred income taxes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599.5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204.9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Financial instruments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0"/>
        </w:trPr>
        <w:tc>
          <w:tcPr>
            <w:tcW w:w="4000" w:type="dxa"/>
            <w:vAlign w:val="bottom"/>
          </w:tcPr>
          <w:p>
            <w:pPr>
              <w:ind w:left="40"/>
              <w:spacing w:after="0"/>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000" w:type="dxa"/>
            <w:vAlign w:val="bottom"/>
          </w:tcPr>
          <w:p>
            <w:pPr>
              <w:ind w:left="40"/>
              <w:spacing w:after="0"/>
              <w:rPr>
                <w:sz w:val="20"/>
                <w:szCs w:val="20"/>
                <w:color w:val="auto"/>
              </w:rPr>
            </w:pPr>
            <w:r>
              <w:rPr>
                <w:rFonts w:ascii="Arial" w:cs="Arial" w:eastAsia="Arial" w:hAnsi="Arial"/>
                <w:sz w:val="13"/>
                <w:szCs w:val="13"/>
                <w:b w:val="1"/>
                <w:bCs w:val="1"/>
                <w:color w:val="auto"/>
              </w:rPr>
              <w:t>Total assets</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18,749.3</w:t>
            </w:r>
          </w:p>
        </w:tc>
        <w:tc>
          <w:tcPr>
            <w:tcW w:w="12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5,748.6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6,046.9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Liabilities and equity</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000" w:type="dxa"/>
            <w:vAlign w:val="bottom"/>
          </w:tcPr>
          <w:p>
            <w:pPr>
              <w:ind w:left="40"/>
              <w:spacing w:after="0"/>
              <w:rPr>
                <w:sz w:val="20"/>
                <w:szCs w:val="20"/>
                <w:color w:val="auto"/>
              </w:rPr>
            </w:pPr>
            <w:r>
              <w:rPr>
                <w:rFonts w:ascii="Arial" w:cs="Arial" w:eastAsia="Arial" w:hAnsi="Arial"/>
                <w:sz w:val="13"/>
                <w:szCs w:val="13"/>
                <w:color w:val="auto"/>
              </w:rPr>
              <w:t>Short-term debt and current portion of long-term debt</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894.4</w:t>
            </w:r>
          </w:p>
        </w:tc>
        <w:tc>
          <w:tcPr>
            <w:tcW w:w="12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317.3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Accounts payable, trade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3,883.3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351.6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40.5</w:t>
            </w:r>
          </w:p>
        </w:tc>
        <w:tc>
          <w:tcPr>
            <w:tcW w:w="1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4(g)</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4000" w:type="dxa"/>
            <w:vAlign w:val="bottom"/>
            <w:shd w:val="clear" w:color="auto" w:fill="CCEEFF"/>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4000" w:type="dxa"/>
            <w:vAlign w:val="bottom"/>
          </w:tcPr>
          <w:p>
            <w:pPr>
              <w:ind w:left="40"/>
              <w:spacing w:after="0"/>
              <w:rPr>
                <w:sz w:val="20"/>
                <w:szCs w:val="20"/>
                <w:color w:val="auto"/>
              </w:rPr>
            </w:pPr>
            <w:r>
              <w:rPr>
                <w:rFonts w:ascii="Arial" w:cs="Arial" w:eastAsia="Arial" w:hAnsi="Arial"/>
                <w:sz w:val="13"/>
                <w:szCs w:val="13"/>
                <w:color w:val="auto"/>
              </w:rPr>
              <w:t>Advance payments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411.1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384.2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w w:val="89"/>
              </w:rPr>
              <w:t>Billings in excess of costs and estimated earnings on uncompleted contracts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3,364.5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108.0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Accrued payroll</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171.7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(171.7)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Financial instruments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586.7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4000" w:type="dxa"/>
            <w:vAlign w:val="bottom"/>
          </w:tcPr>
          <w:p>
            <w:pPr>
              <w:ind w:left="40"/>
              <w:spacing w:after="0"/>
              <w:rPr>
                <w:sz w:val="20"/>
                <w:szCs w:val="20"/>
                <w:color w:val="auto"/>
              </w:rPr>
            </w:pPr>
            <w:r>
              <w:rPr>
                <w:rFonts w:ascii="Arial" w:cs="Arial" w:eastAsia="Arial" w:hAnsi="Arial"/>
                <w:sz w:val="13"/>
                <w:szCs w:val="13"/>
                <w:color w:val="auto"/>
              </w:rPr>
              <w:t>Income taxes payable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317.5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104.0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current liabilities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2,099.3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290.9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171.7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000" w:type="dxa"/>
            <w:vAlign w:val="bottom"/>
            <w:shd w:val="clear" w:color="auto" w:fill="CCEEFF"/>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4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0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80"/>
              <w:spacing w:after="0"/>
              <w:rPr>
                <w:sz w:val="20"/>
                <w:szCs w:val="20"/>
                <w:color w:val="auto"/>
              </w:rPr>
            </w:pPr>
            <w:r>
              <w:rPr>
                <w:rFonts w:ascii="Arial" w:cs="Arial" w:eastAsia="Arial" w:hAnsi="Arial"/>
                <w:sz w:val="13"/>
                <w:szCs w:val="13"/>
                <w:color w:val="auto"/>
              </w:rPr>
              <w:t>Total current liabilities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11,556.8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1,791.3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40.5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Long-term debt, less current portion</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1,658.5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908.1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w w:val="95"/>
              </w:rPr>
              <w:t>Accrued pension and other post-retirement benefits, less current portion</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202.2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198.8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Financial instruments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Deferred income taxes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153.8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128.6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447.2</w:t>
            </w:r>
          </w:p>
        </w:tc>
        <w:tc>
          <w:tcPr>
            <w:tcW w:w="120" w:type="dxa"/>
            <w:vAlign w:val="bottom"/>
          </w:tcPr>
          <w:p>
            <w:pPr>
              <w:spacing w:after="0"/>
              <w:rPr>
                <w:sz w:val="23"/>
                <w:szCs w:val="2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4(d)</w:t>
            </w: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Other liabilities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117.2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Commitments and contingent liabilities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Stockholders’ equity:</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40"/>
              <w:spacing w:after="0"/>
              <w:rPr>
                <w:sz w:val="20"/>
                <w:szCs w:val="20"/>
                <w:color w:val="auto"/>
              </w:rPr>
            </w:pPr>
            <w:r>
              <w:rPr>
                <w:rFonts w:ascii="Arial" w:cs="Arial" w:eastAsia="Arial" w:hAnsi="Arial"/>
                <w:sz w:val="13"/>
                <w:szCs w:val="13"/>
                <w:color w:val="auto"/>
              </w:rPr>
              <w:t>Share capital / common stock</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95.8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4(e)</w:t>
            </w:r>
          </w:p>
        </w:tc>
        <w:tc>
          <w:tcPr>
            <w:tcW w:w="120" w:type="dxa"/>
            <w:vAlign w:val="bottom"/>
          </w:tcPr>
          <w:p>
            <w:pPr>
              <w:spacing w:after="0"/>
              <w:rPr>
                <w:sz w:val="16"/>
                <w:szCs w:val="16"/>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(95.8)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466.6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4000" w:type="dxa"/>
            <w:vAlign w:val="bottom"/>
          </w:tcPr>
          <w:p>
            <w:pPr>
              <w:ind w:left="40"/>
              <w:spacing w:after="0"/>
              <w:rPr>
                <w:sz w:val="20"/>
                <w:szCs w:val="20"/>
                <w:color w:val="auto"/>
              </w:rPr>
            </w:pPr>
            <w:r>
              <w:rPr>
                <w:rFonts w:ascii="Arial" w:cs="Arial" w:eastAsia="Arial" w:hAnsi="Arial"/>
                <w:sz w:val="13"/>
                <w:szCs w:val="13"/>
                <w:color w:val="auto"/>
              </w:rPr>
              <w:t>Common stock held in employee benefit trust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4(e)</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3"/>
                <w:szCs w:val="13"/>
                <w:color w:val="auto"/>
              </w:rPr>
              <w:t>Treasury stock</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(1,636.6)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1,636.6</w:t>
            </w:r>
          </w:p>
        </w:tc>
        <w:tc>
          <w:tcPr>
            <w:tcW w:w="120" w:type="dxa"/>
            <w:vAlign w:val="bottom"/>
          </w:tcPr>
          <w:p>
            <w:pPr>
              <w:spacing w:after="0"/>
              <w:rPr>
                <w:sz w:val="23"/>
                <w:szCs w:val="2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4(e)</w:t>
            </w:r>
          </w:p>
        </w:tc>
        <w:tc>
          <w:tcPr>
            <w:tcW w:w="12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-7519035</wp:posOffset>
            </wp:positionV>
            <wp:extent cx="723773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773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-7209790</wp:posOffset>
            </wp:positionV>
            <wp:extent cx="723773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-6866890</wp:posOffset>
            </wp:positionV>
            <wp:extent cx="723773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-6523990</wp:posOffset>
            </wp:positionV>
            <wp:extent cx="723773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-6181090</wp:posOffset>
            </wp:positionV>
            <wp:extent cx="7237730" cy="342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773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-5666105</wp:posOffset>
            </wp:positionV>
            <wp:extent cx="723773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-5323205</wp:posOffset>
            </wp:positionV>
            <wp:extent cx="723773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-4980305</wp:posOffset>
            </wp:positionV>
            <wp:extent cx="723773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-4637405</wp:posOffset>
            </wp:positionV>
            <wp:extent cx="723773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-4294505</wp:posOffset>
            </wp:positionV>
            <wp:extent cx="723773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-3950970</wp:posOffset>
            </wp:positionV>
            <wp:extent cx="723773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3773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-3590925</wp:posOffset>
            </wp:positionV>
            <wp:extent cx="7237730" cy="3429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773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-3076575</wp:posOffset>
            </wp:positionV>
            <wp:extent cx="723773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-2733675</wp:posOffset>
            </wp:positionV>
            <wp:extent cx="723773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-2390140</wp:posOffset>
            </wp:positionV>
            <wp:extent cx="723773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-1875790</wp:posOffset>
            </wp:positionV>
            <wp:extent cx="723773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-1532890</wp:posOffset>
            </wp:positionV>
            <wp:extent cx="723773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-1189990</wp:posOffset>
            </wp:positionV>
            <wp:extent cx="723773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-847090</wp:posOffset>
            </wp:positionV>
            <wp:extent cx="723773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3773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Condensed</w:t>
            </w:r>
          </w:p>
        </w:tc>
        <w:tc>
          <w:tcPr>
            <w:tcW w:w="0" w:type="dxa"/>
            <w:vAlign w:val="bottom"/>
          </w:tcPr>
          <w:p>
            <w:pPr>
              <w:spacing w:after="0"/>
              <w:rPr>
                <w:sz w:val="1"/>
                <w:szCs w:val="1"/>
                <w:color w:val="auto"/>
              </w:rPr>
            </w:pPr>
          </w:p>
        </w:tc>
      </w:tr>
      <w:tr>
        <w:trPr>
          <w:trHeight w:val="174"/>
        </w:trPr>
        <w:tc>
          <w:tcPr>
            <w:tcW w:w="4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4"/>
              </w:rPr>
              <w:t>Notes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740"/>
        </w:trPr>
        <w:tc>
          <w:tcPr>
            <w:tcW w:w="5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4(i)</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7,301.2</w:t>
            </w:r>
          </w:p>
        </w:tc>
        <w:tc>
          <w:tcPr>
            <w:tcW w:w="0" w:type="dxa"/>
            <w:vAlign w:val="bottom"/>
          </w:tcPr>
          <w:p>
            <w:pPr>
              <w:spacing w:after="0"/>
              <w:rPr>
                <w:sz w:val="1"/>
                <w:szCs w:val="1"/>
                <w:color w:val="auto"/>
              </w:rPr>
            </w:pPr>
          </w:p>
        </w:tc>
      </w:tr>
      <w:tr>
        <w:trPr>
          <w:trHeight w:val="270"/>
        </w:trPr>
        <w:tc>
          <w:tcPr>
            <w:tcW w:w="5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4(i)</w:t>
            </w: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2,700.0</w:t>
            </w:r>
          </w:p>
        </w:tc>
        <w:tc>
          <w:tcPr>
            <w:tcW w:w="0" w:type="dxa"/>
            <w:vAlign w:val="bottom"/>
          </w:tcPr>
          <w:p>
            <w:pPr>
              <w:spacing w:after="0"/>
              <w:rPr>
                <w:sz w:val="1"/>
                <w:szCs w:val="1"/>
                <w:color w:val="auto"/>
              </w:rPr>
            </w:pPr>
          </w:p>
        </w:tc>
      </w:tr>
      <w:tr>
        <w:trPr>
          <w:trHeight w:val="270"/>
        </w:trPr>
        <w:tc>
          <w:tcPr>
            <w:tcW w:w="5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4(i)</w:t>
            </w: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1,116.4</w:t>
            </w:r>
          </w:p>
        </w:tc>
        <w:tc>
          <w:tcPr>
            <w:tcW w:w="0" w:type="dxa"/>
            <w:vAlign w:val="bottom"/>
          </w:tcPr>
          <w:p>
            <w:pPr>
              <w:spacing w:after="0"/>
              <w:rPr>
                <w:sz w:val="1"/>
                <w:szCs w:val="1"/>
                <w:color w:val="auto"/>
              </w:rPr>
            </w:pPr>
          </w:p>
        </w:tc>
      </w:tr>
      <w:tr>
        <w:trPr>
          <w:trHeight w:val="270"/>
        </w:trPr>
        <w:tc>
          <w:tcPr>
            <w:tcW w:w="5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4(i)</w:t>
            </w: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929.0</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282.5</w:t>
            </w:r>
          </w:p>
        </w:tc>
        <w:tc>
          <w:tcPr>
            <w:tcW w:w="0" w:type="dxa"/>
            <w:vAlign w:val="bottom"/>
          </w:tcPr>
          <w:p>
            <w:pPr>
              <w:spacing w:after="0"/>
              <w:rPr>
                <w:sz w:val="1"/>
                <w:szCs w:val="1"/>
                <w:color w:val="auto"/>
              </w:rPr>
            </w:pPr>
          </w:p>
        </w:tc>
      </w:tr>
      <w:tr>
        <w:trPr>
          <w:trHeight w:val="270"/>
        </w:trPr>
        <w:tc>
          <w:tcPr>
            <w:tcW w:w="56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4(h)</w:t>
            </w: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400.4</w:t>
            </w:r>
          </w:p>
        </w:tc>
        <w:tc>
          <w:tcPr>
            <w:tcW w:w="0" w:type="dxa"/>
            <w:vAlign w:val="bottom"/>
          </w:tcPr>
          <w:p>
            <w:pPr>
              <w:spacing w:after="0"/>
              <w:rPr>
                <w:sz w:val="1"/>
                <w:szCs w:val="1"/>
                <w:color w:val="auto"/>
              </w:rPr>
            </w:pPr>
          </w:p>
        </w:tc>
      </w:tr>
      <w:tr>
        <w:trPr>
          <w:trHeight w:val="189"/>
        </w:trPr>
        <w:tc>
          <w:tcPr>
            <w:tcW w:w="56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6"/>
              </w:rPr>
              <w:t>4(h)</w:t>
            </w:r>
          </w:p>
        </w:tc>
        <w:tc>
          <w:tcPr>
            <w:tcW w:w="140" w:type="dxa"/>
            <w:vAlign w:val="bottom"/>
          </w:tcPr>
          <w:p>
            <w:pPr>
              <w:spacing w:after="0"/>
              <w:rPr>
                <w:sz w:val="16"/>
                <w:szCs w:val="16"/>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1,726.4</w:t>
            </w:r>
          </w:p>
        </w:tc>
        <w:tc>
          <w:tcPr>
            <w:tcW w:w="0" w:type="dxa"/>
            <w:vAlign w:val="bottom"/>
          </w:tcPr>
          <w:p>
            <w:pPr>
              <w:spacing w:after="0"/>
              <w:rPr>
                <w:sz w:val="1"/>
                <w:szCs w:val="1"/>
                <w:color w:val="auto"/>
              </w:rPr>
            </w:pPr>
          </w:p>
        </w:tc>
      </w:tr>
      <w:tr>
        <w:trPr>
          <w:trHeight w:val="81"/>
        </w:trPr>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5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4(i)</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14,455.9</w:t>
            </w:r>
          </w:p>
        </w:tc>
        <w:tc>
          <w:tcPr>
            <w:tcW w:w="0" w:type="dxa"/>
            <w:vAlign w:val="bottom"/>
          </w:tcPr>
          <w:p>
            <w:pPr>
              <w:spacing w:after="0"/>
              <w:rPr>
                <w:sz w:val="1"/>
                <w:szCs w:val="1"/>
                <w:color w:val="auto"/>
              </w:rPr>
            </w:pPr>
          </w:p>
        </w:tc>
      </w:tr>
      <w:tr>
        <w:trPr>
          <w:trHeight w:val="270"/>
        </w:trPr>
        <w:tc>
          <w:tcPr>
            <w:tcW w:w="5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4(i)</w:t>
            </w: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199.5</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70"/>
        </w:trPr>
        <w:tc>
          <w:tcPr>
            <w:tcW w:w="5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4(i)</w:t>
            </w: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207.2</w:t>
            </w:r>
          </w:p>
        </w:tc>
        <w:tc>
          <w:tcPr>
            <w:tcW w:w="0" w:type="dxa"/>
            <w:vAlign w:val="bottom"/>
          </w:tcPr>
          <w:p>
            <w:pPr>
              <w:spacing w:after="0"/>
              <w:rPr>
                <w:sz w:val="1"/>
                <w:szCs w:val="1"/>
                <w:color w:val="auto"/>
              </w:rPr>
            </w:pPr>
          </w:p>
        </w:tc>
      </w:tr>
      <w:tr>
        <w:trPr>
          <w:trHeight w:val="270"/>
        </w:trPr>
        <w:tc>
          <w:tcPr>
            <w:tcW w:w="5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4(i)</w:t>
            </w: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3,883.0</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9,071.4</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1,741.2</w:t>
            </w:r>
          </w:p>
        </w:tc>
        <w:tc>
          <w:tcPr>
            <w:tcW w:w="0" w:type="dxa"/>
            <w:vAlign w:val="bottom"/>
          </w:tcPr>
          <w:p>
            <w:pPr>
              <w:spacing w:after="0"/>
              <w:rPr>
                <w:sz w:val="1"/>
                <w:szCs w:val="1"/>
                <w:color w:val="auto"/>
              </w:rPr>
            </w:pPr>
          </w:p>
        </w:tc>
      </w:tr>
      <w:tr>
        <w:trPr>
          <w:trHeight w:val="270"/>
        </w:trPr>
        <w:tc>
          <w:tcPr>
            <w:tcW w:w="56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4(i)</w:t>
            </w: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810.7</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80"/>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30,551.3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1,211.7</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4,266.9</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40"/>
        <w:spacing w:after="0"/>
        <w:rPr>
          <w:sz w:val="20"/>
          <w:szCs w:val="20"/>
          <w:color w:val="auto"/>
        </w:rPr>
      </w:pPr>
      <w:r>
        <w:rPr>
          <w:rFonts w:ascii="Arial" w:cs="Arial" w:eastAsia="Arial" w:hAnsi="Arial"/>
          <w:sz w:val="13"/>
          <w:szCs w:val="13"/>
          <w:color w:val="auto"/>
        </w:rPr>
        <w:t>4(i)</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40" w:type="dxa"/>
            <w:vAlign w:val="bottom"/>
          </w:tcPr>
          <w:p>
            <w:pPr>
              <w:spacing w:after="0"/>
              <w:rPr>
                <w:sz w:val="13"/>
                <w:szCs w:val="13"/>
                <w:color w:val="auto"/>
              </w:rPr>
            </w:pPr>
          </w:p>
        </w:tc>
        <w:tc>
          <w:tcPr>
            <w:tcW w:w="1120" w:type="dxa"/>
            <w:vAlign w:val="bottom"/>
            <w:gridSpan w:val="2"/>
          </w:tcPr>
          <w:p>
            <w:pPr>
              <w:jc w:val="right"/>
              <w:ind w:right="37"/>
              <w:spacing w:after="0"/>
              <w:rPr>
                <w:sz w:val="20"/>
                <w:szCs w:val="20"/>
                <w:color w:val="auto"/>
              </w:rPr>
            </w:pPr>
            <w:r>
              <w:rPr>
                <w:rFonts w:ascii="Arial" w:cs="Arial" w:eastAsia="Arial" w:hAnsi="Arial"/>
                <w:sz w:val="13"/>
                <w:szCs w:val="13"/>
                <w:color w:val="auto"/>
              </w:rPr>
              <w:t>795.3</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120" w:type="dxa"/>
            <w:vAlign w:val="bottom"/>
            <w:gridSpan w:val="2"/>
          </w:tcPr>
          <w:p>
            <w:pPr>
              <w:jc w:val="right"/>
              <w:ind w:right="37"/>
              <w:spacing w:after="0"/>
              <w:rPr>
                <w:sz w:val="20"/>
                <w:szCs w:val="20"/>
                <w:color w:val="auto"/>
              </w:rPr>
            </w:pPr>
            <w:r>
              <w:rPr>
                <w:rFonts w:ascii="Arial" w:cs="Arial" w:eastAsia="Arial" w:hAnsi="Arial"/>
                <w:sz w:val="13"/>
                <w:szCs w:val="13"/>
                <w:color w:val="auto"/>
              </w:rPr>
              <w:t>3,472.5</w:t>
            </w:r>
          </w:p>
        </w:tc>
        <w:tc>
          <w:tcPr>
            <w:tcW w:w="0" w:type="dxa"/>
            <w:vAlign w:val="bottom"/>
          </w:tcPr>
          <w:p>
            <w:pPr>
              <w:spacing w:after="0"/>
              <w:rPr>
                <w:sz w:val="1"/>
                <w:szCs w:val="1"/>
                <w:color w:val="auto"/>
              </w:rPr>
            </w:pPr>
          </w:p>
        </w:tc>
      </w:tr>
      <w:tr>
        <w:trPr>
          <w:trHeight w:val="270"/>
        </w:trPr>
        <w:tc>
          <w:tcPr>
            <w:tcW w:w="440" w:type="dxa"/>
            <w:vAlign w:val="bottom"/>
            <w:vMerge w:val="restart"/>
          </w:tcPr>
          <w:p>
            <w:pPr>
              <w:jc w:val="center"/>
              <w:spacing w:after="0"/>
              <w:rPr>
                <w:sz w:val="20"/>
                <w:szCs w:val="20"/>
                <w:color w:val="auto"/>
              </w:rPr>
            </w:pPr>
            <w:r>
              <w:rPr>
                <w:rFonts w:ascii="Arial" w:cs="Arial" w:eastAsia="Arial" w:hAnsi="Arial"/>
                <w:sz w:val="13"/>
                <w:szCs w:val="13"/>
                <w:color w:val="auto"/>
                <w:w w:val="86"/>
              </w:rPr>
              <w:t>4(h)</w:t>
            </w: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1120" w:type="dxa"/>
            <w:vAlign w:val="bottom"/>
            <w:gridSpan w:val="2"/>
          </w:tcPr>
          <w:p>
            <w:pPr>
              <w:jc w:val="right"/>
              <w:ind w:right="37"/>
              <w:spacing w:after="0"/>
              <w:rPr>
                <w:sz w:val="20"/>
                <w:szCs w:val="20"/>
                <w:color w:val="auto"/>
              </w:rPr>
            </w:pPr>
            <w:r>
              <w:rPr>
                <w:rFonts w:ascii="Arial" w:cs="Arial" w:eastAsia="Arial" w:hAnsi="Arial"/>
                <w:sz w:val="13"/>
                <w:szCs w:val="13"/>
                <w:color w:val="auto"/>
              </w:rPr>
              <w:t>650.3</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120" w:type="dxa"/>
            <w:vAlign w:val="bottom"/>
            <w:gridSpan w:val="2"/>
          </w:tcPr>
          <w:p>
            <w:pPr>
              <w:jc w:val="right"/>
              <w:ind w:right="37"/>
              <w:spacing w:after="0"/>
              <w:rPr>
                <w:sz w:val="20"/>
                <w:szCs w:val="20"/>
                <w:color w:val="auto"/>
              </w:rPr>
            </w:pPr>
            <w:r>
              <w:rPr>
                <w:rFonts w:ascii="Arial" w:cs="Arial" w:eastAsia="Arial" w:hAnsi="Arial"/>
                <w:sz w:val="13"/>
                <w:szCs w:val="13"/>
                <w:color w:val="auto"/>
              </w:rPr>
              <w:t>421.5</w:t>
            </w:r>
          </w:p>
        </w:tc>
        <w:tc>
          <w:tcPr>
            <w:tcW w:w="0" w:type="dxa"/>
            <w:vAlign w:val="bottom"/>
          </w:tcPr>
          <w:p>
            <w:pPr>
              <w:spacing w:after="0"/>
              <w:rPr>
                <w:sz w:val="1"/>
                <w:szCs w:val="1"/>
                <w:color w:val="auto"/>
              </w:rPr>
            </w:pPr>
          </w:p>
        </w:tc>
      </w:tr>
      <w:tr>
        <w:trPr>
          <w:trHeight w:val="270"/>
        </w:trPr>
        <w:tc>
          <w:tcPr>
            <w:tcW w:w="440" w:type="dxa"/>
            <w:vAlign w:val="bottom"/>
            <w:vMerge w:val="restart"/>
          </w:tcPr>
          <w:p>
            <w:pPr>
              <w:jc w:val="center"/>
              <w:spacing w:after="0"/>
              <w:rPr>
                <w:sz w:val="20"/>
                <w:szCs w:val="20"/>
                <w:color w:val="auto"/>
              </w:rPr>
            </w:pPr>
            <w:r>
              <w:rPr>
                <w:rFonts w:ascii="Arial" w:cs="Arial" w:eastAsia="Arial" w:hAnsi="Arial"/>
                <w:sz w:val="13"/>
                <w:szCs w:val="13"/>
                <w:color w:val="auto"/>
                <w:w w:val="86"/>
              </w:rPr>
              <w:t>4(h)</w:t>
            </w:r>
          </w:p>
        </w:tc>
        <w:tc>
          <w:tcPr>
            <w:tcW w:w="1120" w:type="dxa"/>
            <w:vAlign w:val="bottom"/>
            <w:gridSpan w:val="2"/>
          </w:tcPr>
          <w:p>
            <w:pPr>
              <w:jc w:val="right"/>
              <w:ind w:right="37"/>
              <w:spacing w:after="0"/>
              <w:rPr>
                <w:sz w:val="20"/>
                <w:szCs w:val="20"/>
                <w:color w:val="auto"/>
              </w:rPr>
            </w:pPr>
            <w:r>
              <w:rPr>
                <w:rFonts w:ascii="Arial" w:cs="Arial" w:eastAsia="Arial" w:hAnsi="Arial"/>
                <w:sz w:val="13"/>
                <w:szCs w:val="13"/>
                <w:color w:val="auto"/>
              </w:rPr>
              <w:t>2,576.5</w:t>
            </w: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44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3"/>
                <w:szCs w:val="13"/>
                <w:color w:val="auto"/>
                <w:w w:val="95"/>
              </w:rPr>
              <w:t>4(i)</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13,394.7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1120" w:type="dxa"/>
            <w:vAlign w:val="bottom"/>
            <w:gridSpan w:val="2"/>
          </w:tcPr>
          <w:p>
            <w:pPr>
              <w:jc w:val="right"/>
              <w:ind w:right="37"/>
              <w:spacing w:after="0"/>
              <w:rPr>
                <w:sz w:val="20"/>
                <w:szCs w:val="20"/>
                <w:color w:val="auto"/>
              </w:rPr>
            </w:pPr>
            <w:r>
              <w:rPr>
                <w:rFonts w:ascii="Arial" w:cs="Arial" w:eastAsia="Arial" w:hAnsi="Arial"/>
                <w:sz w:val="13"/>
                <w:szCs w:val="13"/>
                <w:color w:val="auto"/>
              </w:rPr>
              <w:t>2,566.6</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120" w:type="dxa"/>
            <w:vAlign w:val="bottom"/>
            <w:gridSpan w:val="2"/>
          </w:tcPr>
          <w:p>
            <w:pPr>
              <w:jc w:val="right"/>
              <w:ind w:right="37"/>
              <w:spacing w:after="0"/>
              <w:rPr>
                <w:sz w:val="20"/>
                <w:szCs w:val="20"/>
                <w:color w:val="auto"/>
              </w:rPr>
            </w:pPr>
            <w:r>
              <w:rPr>
                <w:rFonts w:ascii="Arial" w:cs="Arial" w:eastAsia="Arial" w:hAnsi="Arial"/>
                <w:sz w:val="13"/>
                <w:szCs w:val="13"/>
                <w:color w:val="auto"/>
              </w:rPr>
              <w:t>401.0</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120" w:type="dxa"/>
            <w:vAlign w:val="bottom"/>
            <w:gridSpan w:val="2"/>
          </w:tcPr>
          <w:p>
            <w:pPr>
              <w:jc w:val="right"/>
              <w:ind w:right="37"/>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270"/>
        </w:trPr>
        <w:tc>
          <w:tcPr>
            <w:tcW w:w="440" w:type="dxa"/>
            <w:vAlign w:val="bottom"/>
            <w:vMerge w:val="restart"/>
          </w:tcPr>
          <w:p>
            <w:pPr>
              <w:jc w:val="center"/>
              <w:spacing w:after="0"/>
              <w:rPr>
                <w:sz w:val="20"/>
                <w:szCs w:val="20"/>
                <w:color w:val="auto"/>
              </w:rPr>
            </w:pPr>
            <w:r>
              <w:rPr>
                <w:rFonts w:ascii="Arial" w:cs="Arial" w:eastAsia="Arial" w:hAnsi="Arial"/>
                <w:sz w:val="13"/>
                <w:szCs w:val="13"/>
                <w:color w:val="auto"/>
                <w:w w:val="95"/>
              </w:rPr>
              <w:t>4(i)</w:t>
            </w:r>
          </w:p>
        </w:tc>
        <w:tc>
          <w:tcPr>
            <w:tcW w:w="1120" w:type="dxa"/>
            <w:vAlign w:val="bottom"/>
            <w:gridSpan w:val="2"/>
          </w:tcPr>
          <w:p>
            <w:pPr>
              <w:jc w:val="right"/>
              <w:ind w:right="37"/>
              <w:spacing w:after="0"/>
              <w:rPr>
                <w:sz w:val="20"/>
                <w:szCs w:val="20"/>
                <w:color w:val="auto"/>
              </w:rPr>
            </w:pPr>
            <w:r>
              <w:rPr>
                <w:rFonts w:ascii="Arial" w:cs="Arial" w:eastAsia="Arial" w:hAnsi="Arial"/>
                <w:sz w:val="13"/>
                <w:szCs w:val="13"/>
                <w:color w:val="auto"/>
              </w:rPr>
              <w:t>730.0</w:t>
            </w:r>
          </w:p>
        </w:tc>
        <w:tc>
          <w:tcPr>
            <w:tcW w:w="0" w:type="dxa"/>
            <w:vAlign w:val="bottom"/>
          </w:tcPr>
          <w:p>
            <w:pPr>
              <w:spacing w:after="0"/>
              <w:rPr>
                <w:sz w:val="1"/>
                <w:szCs w:val="1"/>
                <w:color w:val="auto"/>
              </w:rPr>
            </w:pPr>
          </w:p>
        </w:tc>
      </w:tr>
      <w:tr>
        <w:trPr>
          <w:trHeight w:val="81"/>
        </w:trPr>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1120" w:type="dxa"/>
            <w:vAlign w:val="bottom"/>
            <w:gridSpan w:val="2"/>
          </w:tcPr>
          <w:p>
            <w:pPr>
              <w:jc w:val="right"/>
              <w:ind w:right="37"/>
              <w:spacing w:after="0"/>
              <w:rPr>
                <w:sz w:val="20"/>
                <w:szCs w:val="20"/>
                <w:color w:val="auto"/>
              </w:rPr>
            </w:pPr>
            <w:r>
              <w:rPr>
                <w:rFonts w:ascii="Arial" w:cs="Arial" w:eastAsia="Arial" w:hAnsi="Arial"/>
                <w:sz w:val="13"/>
                <w:szCs w:val="13"/>
                <w:color w:val="auto"/>
              </w:rPr>
              <w:t>198.3</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0"/>
        </w:trPr>
        <w:tc>
          <w:tcPr>
            <w:tcW w:w="440" w:type="dxa"/>
            <w:vAlign w:val="bottom"/>
            <w:vMerge w:val="restart"/>
          </w:tcPr>
          <w:p>
            <w:pPr>
              <w:jc w:val="center"/>
              <w:spacing w:after="0"/>
              <w:rPr>
                <w:sz w:val="20"/>
                <w:szCs w:val="20"/>
                <w:color w:val="auto"/>
              </w:rPr>
            </w:pPr>
            <w:r>
              <w:rPr>
                <w:rFonts w:ascii="Arial" w:cs="Arial" w:eastAsia="Arial" w:hAnsi="Arial"/>
                <w:sz w:val="13"/>
                <w:szCs w:val="13"/>
                <w:color w:val="auto"/>
                <w:w w:val="86"/>
              </w:rPr>
              <w:t>4(h)</w:t>
            </w:r>
          </w:p>
        </w:tc>
        <w:tc>
          <w:tcPr>
            <w:tcW w:w="1120" w:type="dxa"/>
            <w:vAlign w:val="bottom"/>
            <w:gridSpan w:val="2"/>
          </w:tcPr>
          <w:p>
            <w:pPr>
              <w:jc w:val="right"/>
              <w:ind w:right="37"/>
              <w:spacing w:after="0"/>
              <w:rPr>
                <w:sz w:val="20"/>
                <w:szCs w:val="20"/>
                <w:color w:val="auto"/>
              </w:rPr>
            </w:pPr>
            <w:r>
              <w:rPr>
                <w:rFonts w:ascii="Arial" w:cs="Arial" w:eastAsia="Arial" w:hAnsi="Arial"/>
                <w:sz w:val="13"/>
                <w:szCs w:val="13"/>
                <w:color w:val="auto"/>
              </w:rPr>
              <w:t>466.6</w:t>
            </w:r>
          </w:p>
        </w:tc>
        <w:tc>
          <w:tcPr>
            <w:tcW w:w="0" w:type="dxa"/>
            <w:vAlign w:val="bottom"/>
          </w:tcPr>
          <w:p>
            <w:pPr>
              <w:spacing w:after="0"/>
              <w:rPr>
                <w:sz w:val="1"/>
                <w:szCs w:val="1"/>
                <w:color w:val="auto"/>
              </w:rPr>
            </w:pPr>
          </w:p>
        </w:tc>
      </w:tr>
      <w:tr>
        <w:trPr>
          <w:trHeight w:val="81"/>
        </w:trPr>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40" w:type="dxa"/>
            <w:vAlign w:val="bottom"/>
          </w:tcPr>
          <w:p>
            <w:pPr>
              <w:jc w:val="center"/>
              <w:spacing w:after="0"/>
              <w:rPr>
                <w:sz w:val="20"/>
                <w:szCs w:val="20"/>
                <w:color w:val="auto"/>
              </w:rPr>
            </w:pPr>
            <w:r>
              <w:rPr>
                <w:rFonts w:ascii="Arial" w:cs="Arial" w:eastAsia="Arial" w:hAnsi="Arial"/>
                <w:sz w:val="13"/>
                <w:szCs w:val="13"/>
                <w:color w:val="auto"/>
                <w:w w:val="86"/>
              </w:rPr>
              <w:t>4(h)</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440" w:type="dxa"/>
            <w:vAlign w:val="bottom"/>
            <w:vMerge w:val="restart"/>
          </w:tcPr>
          <w:p>
            <w:pPr>
              <w:jc w:val="center"/>
              <w:spacing w:after="0"/>
              <w:rPr>
                <w:sz w:val="20"/>
                <w:szCs w:val="20"/>
                <w:color w:val="auto"/>
              </w:rPr>
            </w:pPr>
            <w:r>
              <w:rPr>
                <w:rFonts w:ascii="Arial" w:cs="Arial" w:eastAsia="Arial" w:hAnsi="Arial"/>
                <w:sz w:val="13"/>
                <w:szCs w:val="13"/>
                <w:color w:val="auto"/>
                <w:w w:val="86"/>
              </w:rPr>
              <w:t>4(h)</w:t>
            </w: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2">
            <w:col w:w="9840" w:space="0"/>
            <w:col w:w="1560"/>
          </w:cols>
          <w:pgMar w:left="240" w:top="580" w:right="259" w:bottom="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Capital in excess of par value of common stock</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2,252.2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773.0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(773.0)</w:t>
            </w: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4(e)</w:t>
            </w: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95.8</w:t>
            </w:r>
          </w:p>
        </w:tc>
        <w:tc>
          <w:tcPr>
            <w:tcW w:w="94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4(h)</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10,029.2</w:t>
            </w:r>
          </w:p>
        </w:tc>
        <w:tc>
          <w:tcPr>
            <w:tcW w:w="0" w:type="dxa"/>
            <w:vAlign w:val="bottom"/>
          </w:tcPr>
          <w:p>
            <w:pPr>
              <w:spacing w:after="0"/>
              <w:rPr>
                <w:sz w:val="1"/>
                <w:szCs w:val="1"/>
                <w:color w:val="auto"/>
              </w:rPr>
            </w:pPr>
          </w:p>
        </w:tc>
      </w:tr>
      <w:tr>
        <w:trPr>
          <w:trHeight w:val="70"/>
        </w:trPr>
        <w:tc>
          <w:tcPr>
            <w:tcW w:w="4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8,171.1</w:t>
            </w:r>
          </w:p>
        </w:tc>
        <w:tc>
          <w:tcPr>
            <w:tcW w:w="12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4(f)</w:t>
            </w: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(466.6)</w:t>
            </w:r>
          </w:p>
        </w:tc>
        <w:tc>
          <w:tcPr>
            <w:tcW w:w="940" w:type="dxa"/>
            <w:vAlign w:val="bottom"/>
            <w:gridSpan w:val="2"/>
            <w:vMerge w:val="restart"/>
            <w:shd w:val="clear" w:color="auto" w:fill="CCEEFF"/>
          </w:tcPr>
          <w:p>
            <w:pPr>
              <w:ind w:left="220"/>
              <w:spacing w:after="0"/>
              <w:rPr>
                <w:sz w:val="20"/>
                <w:szCs w:val="20"/>
                <w:color w:val="auto"/>
              </w:rPr>
            </w:pPr>
            <w:r>
              <w:rPr>
                <w:rFonts w:ascii="Arial" w:cs="Arial" w:eastAsia="Arial" w:hAnsi="Arial"/>
                <w:sz w:val="13"/>
                <w:szCs w:val="13"/>
                <w:color w:val="auto"/>
              </w:rPr>
              <w:t>4(h)</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940" w:type="dxa"/>
            <w:vAlign w:val="bottom"/>
            <w:gridSpan w:val="2"/>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4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(23.3)</w:t>
            </w: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4(h)</w:t>
            </w: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00" w:type="dxa"/>
            <w:vAlign w:val="bottom"/>
            <w:vMerge w:val="restart"/>
          </w:tcPr>
          <w:p>
            <w:pPr>
              <w:ind w:left="40"/>
              <w:spacing w:after="0"/>
              <w:rPr>
                <w:sz w:val="20"/>
                <w:szCs w:val="20"/>
                <w:color w:val="auto"/>
              </w:rPr>
            </w:pPr>
            <w:r>
              <w:rPr>
                <w:rFonts w:ascii="Arial" w:cs="Arial" w:eastAsia="Arial" w:hAnsi="Arial"/>
                <w:sz w:val="13"/>
                <w:szCs w:val="13"/>
                <w:color w:val="auto"/>
              </w:rPr>
              <w:t>Retained earnings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2,705.7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4,288.8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(4,288.8)</w:t>
            </w:r>
          </w:p>
        </w:tc>
        <w:tc>
          <w:tcPr>
            <w:tcW w:w="1240" w:type="dxa"/>
            <w:vAlign w:val="bottom"/>
            <w:vMerge w:val="restart"/>
          </w:tcPr>
          <w:p>
            <w:pPr>
              <w:jc w:val="center"/>
              <w:spacing w:after="0"/>
              <w:rPr>
                <w:sz w:val="20"/>
                <w:szCs w:val="20"/>
                <w:color w:val="auto"/>
              </w:rPr>
            </w:pPr>
            <w:r>
              <w:rPr>
                <w:rFonts w:ascii="Arial" w:cs="Arial" w:eastAsia="Arial" w:hAnsi="Arial"/>
                <w:sz w:val="13"/>
                <w:szCs w:val="13"/>
                <w:color w:val="auto"/>
                <w:w w:val="86"/>
              </w:rPr>
              <w:t>4(e)</w:t>
            </w:r>
          </w:p>
        </w:tc>
        <w:tc>
          <w:tcPr>
            <w:tcW w:w="340" w:type="dxa"/>
            <w:vAlign w:val="bottom"/>
          </w:tcPr>
          <w:p>
            <w:pPr>
              <w:spacing w:after="0"/>
              <w:rPr>
                <w:sz w:val="15"/>
                <w:szCs w:val="15"/>
                <w:color w:val="auto"/>
              </w:rPr>
            </w:pPr>
          </w:p>
        </w:tc>
        <w:tc>
          <w:tcPr>
            <w:tcW w:w="680" w:type="dxa"/>
            <w:vAlign w:val="bottom"/>
            <w:vMerge w:val="restart"/>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2,705.7</w:t>
            </w:r>
          </w:p>
        </w:tc>
        <w:tc>
          <w:tcPr>
            <w:tcW w:w="0" w:type="dxa"/>
            <w:vAlign w:val="bottom"/>
          </w:tcPr>
          <w:p>
            <w:pPr>
              <w:spacing w:after="0"/>
              <w:rPr>
                <w:sz w:val="1"/>
                <w:szCs w:val="1"/>
                <w:color w:val="auto"/>
              </w:rPr>
            </w:pPr>
          </w:p>
        </w:tc>
      </w:tr>
      <w:tr>
        <w:trPr>
          <w:trHeight w:val="81"/>
        </w:trPr>
        <w:tc>
          <w:tcPr>
            <w:tcW w:w="40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00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Accumulated other comprehensive loss</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42.1</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(809.7)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809.7</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6"/>
              </w:rPr>
              <w:t>4(e)</w:t>
            </w:r>
          </w:p>
        </w:tc>
        <w:tc>
          <w:tcPr>
            <w:tcW w:w="3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91"/>
        </w:trPr>
        <w:tc>
          <w:tcPr>
            <w:tcW w:w="40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vMerge w:val="continue"/>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000" w:type="dxa"/>
            <w:vAlign w:val="bottom"/>
          </w:tcPr>
          <w:p>
            <w:pPr>
              <w:ind w:left="280"/>
              <w:spacing w:after="0"/>
              <w:rPr>
                <w:sz w:val="20"/>
                <w:szCs w:val="20"/>
                <w:color w:val="auto"/>
              </w:rPr>
            </w:pPr>
            <w:r>
              <w:rPr>
                <w:rFonts w:ascii="Arial" w:cs="Arial" w:eastAsia="Arial" w:hAnsi="Arial"/>
                <w:sz w:val="13"/>
                <w:szCs w:val="13"/>
                <w:color w:val="auto"/>
              </w:rPr>
              <w:t>Total stockholders’ equity</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5,072.5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2,611.9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5,559.2</w:t>
            </w: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13,243.6</w:t>
            </w:r>
          </w:p>
        </w:tc>
        <w:tc>
          <w:tcPr>
            <w:tcW w:w="0" w:type="dxa"/>
            <w:vAlign w:val="bottom"/>
          </w:tcPr>
          <w:p>
            <w:pPr>
              <w:spacing w:after="0"/>
              <w:rPr>
                <w:sz w:val="1"/>
                <w:szCs w:val="1"/>
                <w:color w:val="auto"/>
              </w:rPr>
            </w:pPr>
          </w:p>
        </w:tc>
      </w:tr>
      <w:tr>
        <w:trPr>
          <w:trHeight w:val="181"/>
        </w:trPr>
        <w:tc>
          <w:tcPr>
            <w:tcW w:w="400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Noncontrolling interests</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14.6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6"/>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91"/>
        </w:trPr>
        <w:tc>
          <w:tcPr>
            <w:tcW w:w="40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680" w:type="dxa"/>
            <w:vAlign w:val="bottom"/>
            <w:tcBorders>
              <w:bottom w:val="single" w:sz="8" w:color="auto"/>
            </w:tcBorders>
            <w:vMerge w:val="continue"/>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Total equity</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5,060.8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2,626.5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5,559.2</w:t>
            </w:r>
          </w:p>
        </w:tc>
        <w:tc>
          <w:tcPr>
            <w:tcW w:w="1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13,246.5</w:t>
            </w:r>
          </w:p>
        </w:tc>
        <w:tc>
          <w:tcPr>
            <w:tcW w:w="0" w:type="dxa"/>
            <w:vAlign w:val="bottom"/>
          </w:tcPr>
          <w:p>
            <w:pPr>
              <w:spacing w:after="0"/>
              <w:rPr>
                <w:sz w:val="1"/>
                <w:szCs w:val="1"/>
                <w:color w:val="auto"/>
              </w:rPr>
            </w:pPr>
          </w:p>
        </w:tc>
      </w:tr>
      <w:tr>
        <w:trPr>
          <w:trHeight w:val="173"/>
        </w:trPr>
        <w:tc>
          <w:tcPr>
            <w:tcW w:w="40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liabilities and equity</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18,749.3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5,748.6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6,046.9</w:t>
            </w:r>
          </w:p>
        </w:tc>
        <w:tc>
          <w:tcPr>
            <w:tcW w:w="12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30,551.3</w:t>
            </w:r>
          </w:p>
        </w:tc>
        <w:tc>
          <w:tcPr>
            <w:tcW w:w="0" w:type="dxa"/>
            <w:vAlign w:val="bottom"/>
          </w:tcPr>
          <w:p>
            <w:pPr>
              <w:spacing w:after="0"/>
              <w:rPr>
                <w:sz w:val="1"/>
                <w:szCs w:val="1"/>
                <w:color w:val="auto"/>
              </w:rPr>
            </w:pPr>
          </w:p>
        </w:tc>
      </w:tr>
      <w:tr>
        <w:trPr>
          <w:trHeight w:val="59"/>
        </w:trPr>
        <w:tc>
          <w:tcPr>
            <w:tcW w:w="4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00"/>
          </w:cols>
          <w:pgMar w:left="240" w:top="580" w:right="259" w:bottom="0" w:gutter="0" w:footer="0" w:header="0"/>
          <w:type w:val="continuous"/>
        </w:sectPr>
      </w:pPr>
    </w:p>
    <w:bookmarkStart w:id="58" w:name="page59"/>
    <w:bookmarkEnd w:id="58"/>
    <w:p>
      <w:pPr>
        <w:jc w:val="center"/>
        <w:ind w:right="-2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3773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37730" cy="26035"/>
                    </a:xfrm>
                    <a:prstGeom prst="rect">
                      <a:avLst/>
                    </a:prstGeom>
                    <a:noFill/>
                  </pic:spPr>
                </pic:pic>
              </a:graphicData>
            </a:graphic>
          </wp:anchor>
        </w:drawing>
        <w:t>See accompanying Notes to Unaudited Pro Forma Condensed Combined Financial Information.</w:t>
      </w:r>
    </w:p>
    <w:p>
      <w:pPr>
        <w:sectPr>
          <w:pgSz w:w="11900" w:h="16838" w:orient="portrait"/>
          <w:cols w:equalWidth="0" w:num="1">
            <w:col w:w="9019"/>
          </w:cols>
          <w:pgMar w:left="1440" w:top="395"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395" w:right="1440" w:bottom="1440"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81"/>
              </w:rPr>
              <w:t>Purchase</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35"/>
        </w:trPr>
        <w:tc>
          <w:tcPr>
            <w:tcW w:w="5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Historical</w:t>
            </w: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Historical</w:t>
            </w:r>
          </w:p>
        </w:tc>
        <w:tc>
          <w:tcPr>
            <w:tcW w:w="120" w:type="dxa"/>
            <w:vAlign w:val="bottom"/>
          </w:tcPr>
          <w:p>
            <w:pPr>
              <w:spacing w:after="0"/>
              <w:rPr>
                <w:sz w:val="11"/>
                <w:szCs w:val="11"/>
                <w:color w:val="auto"/>
              </w:rPr>
            </w:pPr>
          </w:p>
        </w:tc>
        <w:tc>
          <w:tcPr>
            <w:tcW w:w="8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Accounting</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Pro Forma</w:t>
            </w:r>
          </w:p>
        </w:tc>
        <w:tc>
          <w:tcPr>
            <w:tcW w:w="660" w:type="dxa"/>
            <w:vAlign w:val="bottom"/>
          </w:tcPr>
          <w:p>
            <w:pPr>
              <w:spacing w:after="0"/>
              <w:rPr>
                <w:sz w:val="11"/>
                <w:szCs w:val="11"/>
                <w:color w:val="auto"/>
              </w:rPr>
            </w:pPr>
          </w:p>
        </w:tc>
      </w:tr>
      <w:tr>
        <w:trPr>
          <w:trHeight w:val="135"/>
        </w:trPr>
        <w:tc>
          <w:tcPr>
            <w:tcW w:w="5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4"/>
              </w:rPr>
              <w:t>Technip</w:t>
            </w: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FMCTI</w:t>
            </w:r>
          </w:p>
        </w:tc>
        <w:tc>
          <w:tcPr>
            <w:tcW w:w="120" w:type="dxa"/>
            <w:vAlign w:val="bottom"/>
          </w:tcPr>
          <w:p>
            <w:pPr>
              <w:spacing w:after="0"/>
              <w:rPr>
                <w:sz w:val="11"/>
                <w:szCs w:val="11"/>
                <w:color w:val="auto"/>
              </w:rPr>
            </w:pPr>
          </w:p>
        </w:tc>
        <w:tc>
          <w:tcPr>
            <w:tcW w:w="8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1"/>
              </w:rPr>
              <w:t>and Other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Condensed</w:t>
            </w:r>
          </w:p>
        </w:tc>
        <w:tc>
          <w:tcPr>
            <w:tcW w:w="660" w:type="dxa"/>
            <w:vAlign w:val="bottom"/>
          </w:tcPr>
          <w:p>
            <w:pPr>
              <w:spacing w:after="0"/>
              <w:rPr>
                <w:sz w:val="11"/>
                <w:szCs w:val="11"/>
                <w:color w:val="auto"/>
              </w:rPr>
            </w:pPr>
          </w:p>
        </w:tc>
      </w:tr>
      <w:tr>
        <w:trPr>
          <w:trHeight w:val="174"/>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(Note 5a)</w:t>
            </w: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Note (5b)</w:t>
            </w:r>
          </w:p>
        </w:tc>
        <w:tc>
          <w:tcPr>
            <w:tcW w:w="120" w:type="dxa"/>
            <w:vAlign w:val="bottom"/>
          </w:tcPr>
          <w:p>
            <w:pPr>
              <w:spacing w:after="0"/>
              <w:rPr>
                <w:sz w:val="15"/>
                <w:szCs w:val="15"/>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Adjustments</w:t>
            </w:r>
          </w:p>
        </w:tc>
        <w:tc>
          <w:tcPr>
            <w:tcW w:w="12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Notes</w:t>
            </w:r>
          </w:p>
        </w:tc>
        <w:tc>
          <w:tcPr>
            <w:tcW w:w="1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3"/>
                <w:szCs w:val="13"/>
                <w:b w:val="1"/>
                <w:bCs w:val="1"/>
                <w:color w:val="auto"/>
              </w:rPr>
              <w:t>Combined</w:t>
            </w:r>
          </w:p>
        </w:tc>
        <w:tc>
          <w:tcPr>
            <w:tcW w:w="660" w:type="dxa"/>
            <w:vAlign w:val="bottom"/>
          </w:tcPr>
          <w:p>
            <w:pPr>
              <w:jc w:val="center"/>
              <w:ind w:left="57"/>
              <w:spacing w:after="0"/>
              <w:rPr>
                <w:sz w:val="20"/>
                <w:szCs w:val="20"/>
                <w:color w:val="auto"/>
              </w:rPr>
            </w:pPr>
            <w:r>
              <w:rPr>
                <w:rFonts w:ascii="Arial" w:cs="Arial" w:eastAsia="Arial" w:hAnsi="Arial"/>
                <w:sz w:val="13"/>
                <w:szCs w:val="13"/>
                <w:b w:val="1"/>
                <w:bCs w:val="1"/>
                <w:color w:val="auto"/>
                <w:w w:val="82"/>
              </w:rPr>
              <w:t>Notes</w:t>
            </w:r>
          </w:p>
        </w:tc>
      </w:tr>
      <w:tr>
        <w:trPr>
          <w:trHeight w:val="262"/>
        </w:trPr>
        <w:tc>
          <w:tcPr>
            <w:tcW w:w="5600" w:type="dxa"/>
            <w:vAlign w:val="bottom"/>
          </w:tcPr>
          <w:p>
            <w:pPr>
              <w:ind w:left="40"/>
              <w:spacing w:after="0"/>
              <w:rPr>
                <w:sz w:val="20"/>
                <w:szCs w:val="20"/>
                <w:color w:val="auto"/>
              </w:rPr>
            </w:pPr>
            <w:r>
              <w:rPr>
                <w:rFonts w:ascii="Arial" w:cs="Arial" w:eastAsia="Arial" w:hAnsi="Arial"/>
                <w:sz w:val="13"/>
                <w:szCs w:val="13"/>
                <w:b w:val="1"/>
                <w:bCs w:val="1"/>
                <w:color w:val="auto"/>
              </w:rPr>
              <w:t>(In millions of U.S. dollars, except per share data)</w:t>
            </w:r>
          </w:p>
        </w:tc>
        <w:tc>
          <w:tcPr>
            <w:tcW w:w="2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r>
      <w:tr>
        <w:trPr>
          <w:trHeight w:val="262"/>
        </w:trPr>
        <w:tc>
          <w:tcPr>
            <w:tcW w:w="5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Revenue</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9,199.6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4,542.3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36.5</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rPr>
              <w:t>5(f)</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13,756.0</w:t>
            </w:r>
          </w:p>
        </w:tc>
        <w:tc>
          <w:tcPr>
            <w:tcW w:w="660" w:type="dxa"/>
            <w:vAlign w:val="bottom"/>
            <w:shd w:val="clear" w:color="auto" w:fill="CCEEFF"/>
          </w:tcPr>
          <w:p>
            <w:pPr>
              <w:spacing w:after="0"/>
              <w:rPr>
                <w:sz w:val="22"/>
                <w:szCs w:val="22"/>
                <w:color w:val="auto"/>
              </w:rPr>
            </w:pPr>
          </w:p>
        </w:tc>
      </w:tr>
      <w:tr>
        <w:trPr>
          <w:trHeight w:val="286"/>
        </w:trPr>
        <w:tc>
          <w:tcPr>
            <w:tcW w:w="5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86"/>
              </w:rPr>
              <w:t>5(h)</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2"/>
        </w:trPr>
        <w:tc>
          <w:tcPr>
            <w:tcW w:w="5600" w:type="dxa"/>
            <w:vAlign w:val="bottom"/>
          </w:tcPr>
          <w:p>
            <w:pPr>
              <w:ind w:left="40"/>
              <w:spacing w:after="0"/>
              <w:rPr>
                <w:sz w:val="20"/>
                <w:szCs w:val="20"/>
                <w:color w:val="auto"/>
              </w:rPr>
            </w:pPr>
            <w:r>
              <w:rPr>
                <w:rFonts w:ascii="Arial" w:cs="Arial" w:eastAsia="Arial" w:hAnsi="Arial"/>
                <w:sz w:val="13"/>
                <w:szCs w:val="13"/>
                <w:color w:val="auto"/>
              </w:rPr>
              <w:t>Costs and expenses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62"/>
        </w:trPr>
        <w:tc>
          <w:tcPr>
            <w:tcW w:w="5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Cost of revenue</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7,639.9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3,528.1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196.6</w:t>
            </w: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89"/>
              </w:rPr>
              <w:t>5(c)</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11,376.7</w:t>
            </w:r>
          </w:p>
        </w:tc>
        <w:tc>
          <w:tcPr>
            <w:tcW w:w="660" w:type="dxa"/>
            <w:vAlign w:val="bottom"/>
            <w:shd w:val="clear" w:color="auto" w:fill="CCEEFF"/>
          </w:tcPr>
          <w:p>
            <w:pPr>
              <w:spacing w:after="0"/>
              <w:rPr>
                <w:sz w:val="22"/>
                <w:szCs w:val="22"/>
                <w:color w:val="auto"/>
              </w:rPr>
            </w:pPr>
          </w:p>
        </w:tc>
      </w:tr>
      <w:tr>
        <w:trPr>
          <w:trHeight w:val="286"/>
        </w:trPr>
        <w:tc>
          <w:tcPr>
            <w:tcW w:w="5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86"/>
              </w:rPr>
              <w:t>5(h)</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2"/>
        </w:trPr>
        <w:tc>
          <w:tcPr>
            <w:tcW w:w="5600" w:type="dxa"/>
            <w:vAlign w:val="bottom"/>
          </w:tcPr>
          <w:p>
            <w:pPr>
              <w:ind w:left="180"/>
              <w:spacing w:after="0"/>
              <w:rPr>
                <w:sz w:val="20"/>
                <w:szCs w:val="20"/>
                <w:color w:val="auto"/>
              </w:rPr>
            </w:pPr>
            <w:r>
              <w:rPr>
                <w:rFonts w:ascii="Arial" w:cs="Arial" w:eastAsia="Arial" w:hAnsi="Arial"/>
                <w:sz w:val="13"/>
                <w:szCs w:val="13"/>
                <w:color w:val="auto"/>
              </w:rPr>
              <w:t>Selling, general and administrative expense</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572.6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581.7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5(h)</w:t>
            </w: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1,147.4</w:t>
            </w:r>
          </w:p>
        </w:tc>
        <w:tc>
          <w:tcPr>
            <w:tcW w:w="660" w:type="dxa"/>
            <w:vAlign w:val="bottom"/>
          </w:tcPr>
          <w:p>
            <w:pPr>
              <w:spacing w:after="0"/>
              <w:rPr>
                <w:sz w:val="22"/>
                <w:szCs w:val="22"/>
                <w:color w:val="auto"/>
              </w:rPr>
            </w:pPr>
          </w:p>
        </w:tc>
      </w:tr>
      <w:tr>
        <w:trPr>
          <w:trHeight w:val="278"/>
        </w:trPr>
        <w:tc>
          <w:tcPr>
            <w:tcW w:w="5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Research and development expense</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86"/>
              </w:rPr>
              <w:t>5(h)</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225.9</w:t>
            </w:r>
          </w:p>
        </w:tc>
        <w:tc>
          <w:tcPr>
            <w:tcW w:w="660" w:type="dxa"/>
            <w:vAlign w:val="bottom"/>
            <w:shd w:val="clear" w:color="auto" w:fill="CCEEFF"/>
          </w:tcPr>
          <w:p>
            <w:pPr>
              <w:spacing w:after="0"/>
              <w:rPr>
                <w:sz w:val="24"/>
                <w:szCs w:val="24"/>
                <w:color w:val="auto"/>
              </w:rPr>
            </w:pPr>
          </w:p>
        </w:tc>
      </w:tr>
      <w:tr>
        <w:trPr>
          <w:trHeight w:val="262"/>
        </w:trPr>
        <w:tc>
          <w:tcPr>
            <w:tcW w:w="5600" w:type="dxa"/>
            <w:vAlign w:val="bottom"/>
          </w:tcPr>
          <w:p>
            <w:pPr>
              <w:ind w:left="180"/>
              <w:spacing w:after="0"/>
              <w:rPr>
                <w:sz w:val="20"/>
                <w:szCs w:val="20"/>
                <w:color w:val="auto"/>
              </w:rPr>
            </w:pPr>
            <w:r>
              <w:rPr>
                <w:rFonts w:ascii="Arial" w:cs="Arial" w:eastAsia="Arial" w:hAnsi="Arial"/>
                <w:sz w:val="13"/>
                <w:szCs w:val="13"/>
                <w:color w:val="auto"/>
              </w:rPr>
              <w:t>Restructuring and impairment expense</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410.7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(157.5)</w:t>
            </w:r>
          </w:p>
        </w:tc>
        <w:tc>
          <w:tcPr>
            <w:tcW w:w="12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5(d)</w:t>
            </w: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346.1</w:t>
            </w:r>
          </w:p>
        </w:tc>
        <w:tc>
          <w:tcPr>
            <w:tcW w:w="660" w:type="dxa"/>
            <w:vAlign w:val="bottom"/>
          </w:tcPr>
          <w:p>
            <w:pPr>
              <w:spacing w:after="0"/>
              <w:rPr>
                <w:sz w:val="22"/>
                <w:szCs w:val="22"/>
                <w:color w:val="auto"/>
              </w:rPr>
            </w:pPr>
          </w:p>
        </w:tc>
      </w:tr>
      <w:tr>
        <w:trPr>
          <w:trHeight w:val="272"/>
        </w:trPr>
        <w:tc>
          <w:tcPr>
            <w:tcW w:w="5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Merger transaction and integration costs</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86"/>
              </w:rPr>
              <w:t>5(d)</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23"/>
                <w:szCs w:val="23"/>
                <w:color w:val="auto"/>
              </w:rPr>
            </w:pPr>
          </w:p>
        </w:tc>
      </w:tr>
      <w:tr>
        <w:trPr>
          <w:trHeight w:val="249"/>
        </w:trPr>
        <w:tc>
          <w:tcPr>
            <w:tcW w:w="5600" w:type="dxa"/>
            <w:vAlign w:val="bottom"/>
          </w:tcPr>
          <w:p>
            <w:pPr>
              <w:ind w:left="280"/>
              <w:spacing w:after="0"/>
              <w:rPr>
                <w:sz w:val="20"/>
                <w:szCs w:val="20"/>
                <w:color w:val="auto"/>
              </w:rPr>
            </w:pPr>
            <w:r>
              <w:rPr>
                <w:rFonts w:ascii="Arial" w:cs="Arial" w:eastAsia="Arial" w:hAnsi="Arial"/>
                <w:sz w:val="13"/>
                <w:szCs w:val="13"/>
                <w:color w:val="auto"/>
              </w:rPr>
              <w:t>Total costs and expenses</w:t>
            </w: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8,728.7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4,362.0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13,096.1</w:t>
            </w:r>
          </w:p>
        </w:tc>
        <w:tc>
          <w:tcPr>
            <w:tcW w:w="660" w:type="dxa"/>
            <w:vAlign w:val="bottom"/>
          </w:tcPr>
          <w:p>
            <w:pPr>
              <w:spacing w:after="0"/>
              <w:rPr>
                <w:sz w:val="21"/>
                <w:szCs w:val="21"/>
                <w:color w:val="auto"/>
              </w:rPr>
            </w:pPr>
          </w:p>
        </w:tc>
      </w:tr>
      <w:tr>
        <w:trPr>
          <w:trHeight w:val="278"/>
        </w:trPr>
        <w:tc>
          <w:tcPr>
            <w:tcW w:w="5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income (expense), net</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25.7</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rPr>
              <w:t>5(f)</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(14.9)</w:t>
            </w:r>
          </w:p>
        </w:tc>
        <w:tc>
          <w:tcPr>
            <w:tcW w:w="660" w:type="dxa"/>
            <w:vAlign w:val="bottom"/>
            <w:shd w:val="clear" w:color="auto" w:fill="CCEEFF"/>
          </w:tcPr>
          <w:p>
            <w:pPr>
              <w:spacing w:after="0"/>
              <w:rPr>
                <w:sz w:val="24"/>
                <w:szCs w:val="24"/>
                <w:color w:val="auto"/>
              </w:rPr>
            </w:pPr>
          </w:p>
        </w:tc>
      </w:tr>
      <w:tr>
        <w:trPr>
          <w:trHeight w:val="254"/>
        </w:trPr>
        <w:tc>
          <w:tcPr>
            <w:tcW w:w="5600" w:type="dxa"/>
            <w:vAlign w:val="bottom"/>
          </w:tcPr>
          <w:p>
            <w:pPr>
              <w:ind w:left="40"/>
              <w:spacing w:after="0"/>
              <w:rPr>
                <w:sz w:val="20"/>
                <w:szCs w:val="20"/>
                <w:color w:val="auto"/>
              </w:rPr>
            </w:pPr>
            <w:r>
              <w:rPr>
                <w:rFonts w:ascii="Arial" w:cs="Arial" w:eastAsia="Arial" w:hAnsi="Arial"/>
                <w:sz w:val="13"/>
                <w:szCs w:val="13"/>
                <w:color w:val="auto"/>
              </w:rPr>
              <w:t>Share of income/(loss) of equity affiliates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(36.5)</w:t>
            </w:r>
          </w:p>
        </w:tc>
        <w:tc>
          <w:tcPr>
            <w:tcW w:w="12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rPr>
              <w:t>5(f)</w:t>
            </w: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99.9</w:t>
            </w:r>
          </w:p>
        </w:tc>
        <w:tc>
          <w:tcPr>
            <w:tcW w:w="660" w:type="dxa"/>
            <w:vAlign w:val="bottom"/>
          </w:tcPr>
          <w:p>
            <w:pPr>
              <w:spacing w:after="0"/>
              <w:rPr>
                <w:sz w:val="22"/>
                <w:szCs w:val="22"/>
                <w:color w:val="auto"/>
              </w:rPr>
            </w:pPr>
          </w:p>
        </w:tc>
      </w:tr>
      <w:tr>
        <w:trPr>
          <w:trHeight w:val="280"/>
        </w:trPr>
        <w:tc>
          <w:tcPr>
            <w:tcW w:w="56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27.6</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gridSpan w:val="2"/>
          </w:tcPr>
          <w:p>
            <w:pPr>
              <w:jc w:val="center"/>
              <w:ind w:right="220"/>
              <w:spacing w:after="0"/>
              <w:rPr>
                <w:sz w:val="20"/>
                <w:szCs w:val="20"/>
                <w:color w:val="auto"/>
              </w:rPr>
            </w:pPr>
            <w:r>
              <w:rPr>
                <w:rFonts w:ascii="Arial" w:cs="Arial" w:eastAsia="Arial" w:hAnsi="Arial"/>
                <w:sz w:val="13"/>
                <w:szCs w:val="13"/>
                <w:color w:val="auto"/>
                <w:w w:val="86"/>
              </w:rPr>
              <w:t>5(h)</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financial income/(expense), net and income taxes</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156.6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744.9</w:t>
            </w:r>
          </w:p>
        </w:tc>
        <w:tc>
          <w:tcPr>
            <w:tcW w:w="660" w:type="dxa"/>
            <w:vAlign w:val="bottom"/>
            <w:shd w:val="clear" w:color="auto" w:fill="CCEEFF"/>
          </w:tcPr>
          <w:p>
            <w:pPr>
              <w:spacing w:after="0"/>
              <w:rPr>
                <w:sz w:val="22"/>
                <w:szCs w:val="22"/>
                <w:color w:val="auto"/>
              </w:rPr>
            </w:pPr>
          </w:p>
        </w:tc>
      </w:tr>
      <w:tr>
        <w:trPr>
          <w:trHeight w:val="254"/>
        </w:trPr>
        <w:tc>
          <w:tcPr>
            <w:tcW w:w="5600" w:type="dxa"/>
            <w:vAlign w:val="bottom"/>
          </w:tcPr>
          <w:p>
            <w:pPr>
              <w:ind w:left="40"/>
              <w:spacing w:after="0"/>
              <w:rPr>
                <w:sz w:val="20"/>
                <w:szCs w:val="20"/>
                <w:color w:val="auto"/>
              </w:rPr>
            </w:pPr>
            <w:r>
              <w:rPr>
                <w:rFonts w:ascii="Arial" w:cs="Arial" w:eastAsia="Arial" w:hAnsi="Arial"/>
                <w:sz w:val="13"/>
                <w:szCs w:val="13"/>
                <w:color w:val="auto"/>
              </w:rPr>
              <w:t>Financial income/(expenses), net</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(25.7)</w:t>
            </w:r>
          </w:p>
        </w:tc>
        <w:tc>
          <w:tcPr>
            <w:tcW w:w="12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rPr>
              <w:t>5(f)</w:t>
            </w:r>
          </w:p>
        </w:tc>
        <w:tc>
          <w:tcPr>
            <w:tcW w:w="12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(87.9)</w:t>
            </w:r>
          </w:p>
        </w:tc>
        <w:tc>
          <w:tcPr>
            <w:tcW w:w="660" w:type="dxa"/>
            <w:vAlign w:val="bottom"/>
          </w:tcPr>
          <w:p>
            <w:pPr>
              <w:spacing w:after="0"/>
              <w:rPr>
                <w:sz w:val="22"/>
                <w:szCs w:val="22"/>
                <w:color w:val="auto"/>
              </w:rPr>
            </w:pPr>
          </w:p>
        </w:tc>
      </w:tr>
      <w:tr>
        <w:trPr>
          <w:trHeight w:val="280"/>
        </w:trPr>
        <w:tc>
          <w:tcPr>
            <w:tcW w:w="56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gridSpan w:val="2"/>
          </w:tcPr>
          <w:p>
            <w:pPr>
              <w:jc w:val="center"/>
              <w:ind w:right="220"/>
              <w:spacing w:after="0"/>
              <w:rPr>
                <w:sz w:val="20"/>
                <w:szCs w:val="20"/>
                <w:color w:val="auto"/>
              </w:rPr>
            </w:pPr>
            <w:r>
              <w:rPr>
                <w:rFonts w:ascii="Arial" w:cs="Arial" w:eastAsia="Arial" w:hAnsi="Arial"/>
                <w:sz w:val="13"/>
                <w:szCs w:val="13"/>
                <w:color w:val="auto"/>
                <w:w w:val="86"/>
              </w:rPr>
              <w:t>5(h)</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657.0</w:t>
            </w:r>
          </w:p>
        </w:tc>
        <w:tc>
          <w:tcPr>
            <w:tcW w:w="660" w:type="dxa"/>
            <w:vAlign w:val="bottom"/>
            <w:shd w:val="clear" w:color="auto" w:fill="CCEEFF"/>
          </w:tcPr>
          <w:p>
            <w:pPr>
              <w:spacing w:after="0"/>
              <w:rPr>
                <w:sz w:val="22"/>
                <w:szCs w:val="22"/>
                <w:color w:val="auto"/>
              </w:rPr>
            </w:pPr>
          </w:p>
        </w:tc>
      </w:tr>
      <w:tr>
        <w:trPr>
          <w:trHeight w:val="254"/>
        </w:trPr>
        <w:tc>
          <w:tcPr>
            <w:tcW w:w="5600" w:type="dxa"/>
            <w:vAlign w:val="bottom"/>
          </w:tcPr>
          <w:p>
            <w:pPr>
              <w:ind w:left="40"/>
              <w:spacing w:after="0"/>
              <w:rPr>
                <w:sz w:val="20"/>
                <w:szCs w:val="20"/>
                <w:color w:val="auto"/>
              </w:rPr>
            </w:pPr>
            <w:r>
              <w:rPr>
                <w:rFonts w:ascii="Arial" w:cs="Arial" w:eastAsia="Arial" w:hAnsi="Arial"/>
                <w:sz w:val="13"/>
                <w:szCs w:val="13"/>
                <w:color w:val="auto"/>
              </w:rPr>
              <w:t>Provision for income taxes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133.9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(20.6)</w:t>
            </w:r>
          </w:p>
        </w:tc>
        <w:tc>
          <w:tcPr>
            <w:tcW w:w="120" w:type="dxa"/>
            <w:vAlign w:val="bottom"/>
          </w:tcPr>
          <w:p>
            <w:pPr>
              <w:spacing w:after="0"/>
              <w:rPr>
                <w:sz w:val="22"/>
                <w:szCs w:val="2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5(e)</w:t>
            </w: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189.0</w:t>
            </w:r>
          </w:p>
        </w:tc>
        <w:tc>
          <w:tcPr>
            <w:tcW w:w="660" w:type="dxa"/>
            <w:vAlign w:val="bottom"/>
          </w:tcPr>
          <w:p>
            <w:pPr>
              <w:spacing w:after="0"/>
              <w:rPr>
                <w:sz w:val="22"/>
                <w:szCs w:val="22"/>
                <w:color w:val="auto"/>
              </w:rPr>
            </w:pPr>
          </w:p>
        </w:tc>
      </w:tr>
      <w:tr>
        <w:trPr>
          <w:trHeight w:val="280"/>
        </w:trPr>
        <w:tc>
          <w:tcPr>
            <w:tcW w:w="56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gridSpan w:val="2"/>
          </w:tcPr>
          <w:p>
            <w:pPr>
              <w:jc w:val="center"/>
              <w:ind w:right="220"/>
              <w:spacing w:after="0"/>
              <w:rPr>
                <w:sz w:val="20"/>
                <w:szCs w:val="20"/>
                <w:color w:val="auto"/>
              </w:rPr>
            </w:pPr>
            <w:r>
              <w:rPr>
                <w:rFonts w:ascii="Arial" w:cs="Arial" w:eastAsia="Arial" w:hAnsi="Arial"/>
                <w:sz w:val="13"/>
                <w:szCs w:val="13"/>
                <w:color w:val="auto"/>
                <w:w w:val="86"/>
              </w:rPr>
              <w:t>5(h)</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from continuing operations</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468.0</w:t>
            </w:r>
          </w:p>
        </w:tc>
        <w:tc>
          <w:tcPr>
            <w:tcW w:w="660" w:type="dxa"/>
            <w:vAlign w:val="bottom"/>
            <w:shd w:val="clear" w:color="auto" w:fill="CCEEFF"/>
          </w:tcPr>
          <w:p>
            <w:pPr>
              <w:spacing w:after="0"/>
              <w:rPr>
                <w:sz w:val="22"/>
                <w:szCs w:val="22"/>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Loss from discontinued operations, net of income tax</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(10.1)</w:t>
            </w:r>
          </w:p>
        </w:tc>
        <w:tc>
          <w:tcPr>
            <w:tcW w:w="660" w:type="dxa"/>
            <w:vAlign w:val="bottom"/>
            <w:tcBorders>
              <w:bottom w:val="single" w:sz="8" w:color="CCEEFF"/>
            </w:tcBorders>
          </w:tcPr>
          <w:p>
            <w:pPr>
              <w:spacing w:after="0"/>
              <w:rPr>
                <w:sz w:val="22"/>
                <w:szCs w:val="22"/>
                <w:color w:val="auto"/>
              </w:rPr>
            </w:pPr>
          </w:p>
        </w:tc>
      </w:tr>
      <w:tr>
        <w:trPr>
          <w:trHeight w:val="242"/>
        </w:trPr>
        <w:tc>
          <w:tcPr>
            <w:tcW w:w="5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26.7</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457.9</w:t>
            </w:r>
          </w:p>
        </w:tc>
        <w:tc>
          <w:tcPr>
            <w:tcW w:w="660" w:type="dxa"/>
            <w:vAlign w:val="bottom"/>
            <w:shd w:val="clear" w:color="auto" w:fill="CCEEFF"/>
          </w:tcPr>
          <w:p>
            <w:pPr>
              <w:spacing w:after="0"/>
              <w:rPr>
                <w:sz w:val="21"/>
                <w:szCs w:val="2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r>
      <w:tr>
        <w:trPr>
          <w:trHeight w:val="473"/>
        </w:trPr>
        <w:tc>
          <w:tcPr>
            <w:tcW w:w="5600" w:type="dxa"/>
            <w:vAlign w:val="bottom"/>
          </w:tcPr>
          <w:p>
            <w:pPr>
              <w:ind w:left="40"/>
              <w:spacing w:after="0"/>
              <w:rPr>
                <w:sz w:val="20"/>
                <w:szCs w:val="20"/>
                <w:color w:val="auto"/>
              </w:rPr>
            </w:pPr>
            <w:r>
              <w:rPr>
                <w:rFonts w:ascii="Arial" w:cs="Arial" w:eastAsia="Arial" w:hAnsi="Arial"/>
                <w:sz w:val="13"/>
                <w:szCs w:val="13"/>
                <w:color w:val="auto"/>
              </w:rPr>
              <w:t>Net income/(loss) attributable to Technip / FMCTI, respectively</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428.7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38.4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26.7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493.8</w:t>
            </w:r>
          </w:p>
        </w:tc>
        <w:tc>
          <w:tcPr>
            <w:tcW w:w="660" w:type="dxa"/>
            <w:vAlign w:val="bottom"/>
          </w:tcPr>
          <w:p>
            <w:pPr>
              <w:spacing w:after="0"/>
              <w:rPr>
                <w:sz w:val="24"/>
                <w:szCs w:val="24"/>
                <w:color w:val="auto"/>
              </w:rPr>
            </w:pPr>
          </w:p>
        </w:tc>
      </w:tr>
      <w:tr>
        <w:trPr>
          <w:trHeight w:val="278"/>
        </w:trPr>
        <w:tc>
          <w:tcPr>
            <w:tcW w:w="5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income/(loss) attributable to noncontrolling interests</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(35.9)</w:t>
            </w:r>
          </w:p>
        </w:tc>
        <w:tc>
          <w:tcPr>
            <w:tcW w:w="660" w:type="dxa"/>
            <w:vAlign w:val="bottom"/>
            <w:shd w:val="clear" w:color="auto" w:fill="CCEEFF"/>
          </w:tcPr>
          <w:p>
            <w:pPr>
              <w:spacing w:after="0"/>
              <w:rPr>
                <w:sz w:val="24"/>
                <w:szCs w:val="24"/>
                <w:color w:val="auto"/>
              </w:rPr>
            </w:pPr>
          </w:p>
        </w:tc>
      </w:tr>
      <w:tr>
        <w:trPr>
          <w:trHeight w:val="262"/>
        </w:trPr>
        <w:tc>
          <w:tcPr>
            <w:tcW w:w="5600" w:type="dxa"/>
            <w:vAlign w:val="bottom"/>
          </w:tcPr>
          <w:p>
            <w:pPr>
              <w:ind w:left="40"/>
              <w:spacing w:after="0"/>
              <w:rPr>
                <w:sz w:val="20"/>
                <w:szCs w:val="20"/>
                <w:color w:val="auto"/>
              </w:rPr>
            </w:pPr>
            <w:r>
              <w:rPr>
                <w:rFonts w:ascii="Arial" w:cs="Arial" w:eastAsia="Arial" w:hAnsi="Arial"/>
                <w:sz w:val="13"/>
                <w:szCs w:val="13"/>
                <w:color w:val="auto"/>
              </w:rPr>
              <w:t>Earnings per share attributable to Technip / FMCTI, respectively</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8"/>
        </w:trPr>
        <w:tc>
          <w:tcPr>
            <w:tcW w:w="5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1.06</w:t>
            </w:r>
          </w:p>
        </w:tc>
        <w:tc>
          <w:tcPr>
            <w:tcW w:w="660" w:type="dxa"/>
            <w:vAlign w:val="bottom"/>
            <w:shd w:val="clear" w:color="auto" w:fill="CCEEFF"/>
          </w:tcPr>
          <w:p>
            <w:pPr>
              <w:spacing w:after="0"/>
              <w:rPr>
                <w:sz w:val="24"/>
                <w:szCs w:val="24"/>
                <w:color w:val="auto"/>
              </w:rPr>
            </w:pPr>
          </w:p>
        </w:tc>
      </w:tr>
      <w:tr>
        <w:trPr>
          <w:trHeight w:val="262"/>
        </w:trPr>
        <w:tc>
          <w:tcPr>
            <w:tcW w:w="5600" w:type="dxa"/>
            <w:vAlign w:val="bottom"/>
          </w:tcPr>
          <w:p>
            <w:pPr>
              <w:ind w:left="180"/>
              <w:spacing w:after="0"/>
              <w:rPr>
                <w:sz w:val="20"/>
                <w:szCs w:val="20"/>
                <w:color w:val="auto"/>
              </w:rPr>
            </w:pPr>
            <w:r>
              <w:rPr>
                <w:rFonts w:ascii="Arial" w:cs="Arial" w:eastAsia="Arial" w:hAnsi="Arial"/>
                <w:sz w:val="13"/>
                <w:szCs w:val="13"/>
                <w:color w:val="auto"/>
              </w:rPr>
              <w:t>Diluted</w:t>
            </w:r>
          </w:p>
        </w:tc>
        <w:tc>
          <w:tcPr>
            <w:tcW w:w="3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0.17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1.05</w:t>
            </w:r>
          </w:p>
        </w:tc>
        <w:tc>
          <w:tcPr>
            <w:tcW w:w="660" w:type="dxa"/>
            <w:vAlign w:val="bottom"/>
          </w:tcPr>
          <w:p>
            <w:pPr>
              <w:spacing w:after="0"/>
              <w:rPr>
                <w:sz w:val="22"/>
                <w:szCs w:val="22"/>
                <w:color w:val="auto"/>
              </w:rPr>
            </w:pPr>
          </w:p>
        </w:tc>
      </w:tr>
      <w:tr>
        <w:trPr>
          <w:trHeight w:val="278"/>
        </w:trPr>
        <w:tc>
          <w:tcPr>
            <w:tcW w:w="5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Weighted average shares outstanding to Technip / FMCTI, respectively</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2"/>
        </w:trPr>
        <w:tc>
          <w:tcPr>
            <w:tcW w:w="5600" w:type="dxa"/>
            <w:vAlign w:val="bottom"/>
          </w:tcPr>
          <w:p>
            <w:pPr>
              <w:ind w:left="180"/>
              <w:spacing w:after="0"/>
              <w:rPr>
                <w:sz w:val="20"/>
                <w:szCs w:val="20"/>
                <w:color w:val="auto"/>
              </w:rPr>
            </w:pPr>
            <w:r>
              <w:rPr>
                <w:rFonts w:ascii="Arial" w:cs="Arial" w:eastAsia="Arial" w:hAnsi="Arial"/>
                <w:sz w:val="13"/>
                <w:szCs w:val="13"/>
                <w:color w:val="auto"/>
              </w:rPr>
              <w:t>Basic</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227.2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466.6</w:t>
            </w:r>
          </w:p>
        </w:tc>
        <w:tc>
          <w:tcPr>
            <w:tcW w:w="660" w:type="dxa"/>
            <w:vAlign w:val="bottom"/>
          </w:tcPr>
          <w:p>
            <w:pPr>
              <w:jc w:val="center"/>
              <w:ind w:left="37"/>
              <w:spacing w:after="0"/>
              <w:rPr>
                <w:sz w:val="20"/>
                <w:szCs w:val="20"/>
                <w:color w:val="auto"/>
              </w:rPr>
            </w:pPr>
            <w:r>
              <w:rPr>
                <w:rFonts w:ascii="Arial" w:cs="Arial" w:eastAsia="Arial" w:hAnsi="Arial"/>
                <w:sz w:val="13"/>
                <w:szCs w:val="13"/>
                <w:color w:val="auto"/>
                <w:w w:val="86"/>
              </w:rPr>
              <w:t>5(g)</w:t>
            </w:r>
          </w:p>
        </w:tc>
      </w:tr>
      <w:tr>
        <w:trPr>
          <w:trHeight w:val="278"/>
        </w:trPr>
        <w:tc>
          <w:tcPr>
            <w:tcW w:w="5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478.0</w:t>
            </w:r>
          </w:p>
        </w:tc>
        <w:tc>
          <w:tcPr>
            <w:tcW w:w="660" w:type="dxa"/>
            <w:vAlign w:val="bottom"/>
            <w:shd w:val="clear" w:color="auto" w:fill="CCEEFF"/>
          </w:tcPr>
          <w:p>
            <w:pPr>
              <w:jc w:val="center"/>
              <w:ind w:left="37"/>
              <w:spacing w:after="0"/>
              <w:rPr>
                <w:sz w:val="20"/>
                <w:szCs w:val="20"/>
                <w:color w:val="auto"/>
              </w:rPr>
            </w:pPr>
            <w:r>
              <w:rPr>
                <w:rFonts w:ascii="Arial" w:cs="Arial" w:eastAsia="Arial" w:hAnsi="Arial"/>
                <w:sz w:val="13"/>
                <w:szCs w:val="13"/>
                <w:color w:val="auto"/>
                <w:w w:val="86"/>
              </w:rPr>
              <w:t>5(g)</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Unaudited Pro Forma Condensed Combined Financial Information.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0" w:right="259" w:bottom="1440" w:gutter="0" w:footer="0" w:header="0"/>
        </w:sectPr>
      </w:pPr>
    </w:p>
    <w:bookmarkStart w:id="60" w:name="page61"/>
    <w:bookmarkEnd w:id="60"/>
    <w:p>
      <w:pPr>
        <w:ind w:left="1780"/>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Description of Mergers</w:t>
      </w:r>
    </w:p>
    <w:p>
      <w:pPr>
        <w:spacing w:after="0" w:line="17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On June 14, 2016, FMC Technologies and Technip entered into a definitive business combination agreement providing for the business combination among FMC Technologies, FMC Technologies SIS Limited, a private limited company incorporated under the laws of England and Wales and a wholly-owned subsidiary of FMC Technologies, and Technip. On August 4, 2016, FMC Technologies SIS Limited changed its name to TechnipFMC Limited and was subsequently re-registered under the laws of England and Wales on January 11, 2017 as TechnipFMC plc (“TechnipFMC”). On December 5, 2016, the definitive business combination agreement was approved by the shareholders of both FMC Technologies and Technip.</w:t>
      </w:r>
    </w:p>
    <w:p>
      <w:pPr>
        <w:spacing w:after="0" w:line="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wholly-owned subsidiaries, were exchanged for 2.0 ordinary shares of TechnipFMC, subject to the terms of the definitive business combination agreement. Immediately following the Technip Merger, a wholly-owned indirect subsidiary of TechnipFMC (“Merger Sub”) merged with and into FMC Technologies, with FMC Technologies continuing as the surviving company and as a wholly-owned indirect subsidiary of TechnipFMC (the “FMCTI Merger” and together with the Technip Merger, the "Mergers"), and each share of common stock of FMC Technologies (the “FMCTI Shares”), other than FMCTI Shares owned by FMCTI, TechnipFMC, Merger Sub or their respective wholly-owned subsidiaries, were exchanged for 1.0 ordinary share of TechnipFMC, subject to the terms of the definitive business combination agreement.</w:t>
      </w:r>
    </w:p>
    <w:p>
      <w:pPr>
        <w:spacing w:after="0" w:line="32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unaudited pro forma condensed combined financial information are based on Technip’s and FMCTI’s historical consolidated financial statements as adjusted to give pro forma effect to the acquisition of FMCTI by Technip. The pro forma effects relate to events that are (i) directly attributable to the Mergers, (ii) factually supportable, and (iii) with respect to the unaudited pro forma condensed combined statement of income, expected to have a continuing impact on the combined results. The pro forma adjustments are preliminary and based on estimates of the fair value and useful lives of the assets acquired and liabilities assumed and have been prepared by TechnipFMC management to illustrate the estimated effect of the Mergers and certain other adjustments. The final determination of the purchase accounting will be based on the fair values of the FMCTI assets acquired and liabilities assumed at the Merger Date. The unaudited pro forma combined financial statement of income for the year ended December 31, 2016 gives effect to the acquisition of FMCTI as if it had occurred on January 1, 2016. The unaudited pro forma combined balance sheet as of December 31, 2016 gives effect to the acquisition of FMCTI as if it has occurred on December 31, 2016.</w:t>
      </w:r>
    </w:p>
    <w:p>
      <w:pPr>
        <w:spacing w:after="0" w:line="1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Technip’s historical results are derived from Technip’s audited consolidated balance sheet as of December 31, 2016, and audited consolidated statement of income for the year ended December 31, 2016 prepared in accordance with IFRS as issued by the IASB. FMCTI’s historical results are derived from the audited consolidated balance sheet as of December 31, 2016 and audited consolidated statement of income for the year ended December 31, 2016 prepared in accordance with U.S. GAAP. The audited financial statements and accompanying notes, which are an integral part of the consolidated financial statements, are attached as Exhibit 99.1 and 99.3 for FMCTI and Technip, respectively, and should be carefully read in conjunction with the unaudited pro forma condensed combined financial information.</w:t>
      </w:r>
    </w:p>
    <w:p>
      <w:pPr>
        <w:spacing w:after="0" w:line="20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Subsequent to the Merger Date, the combined company owned 100% of Forsys Subsea, the 50/50 joint venture between FMCTI and Technip, which started its operations in June 2015. Pro forma adjustments have been reflected in the unaudited pro forma financial information to consolidate Forsys Subsea.</w:t>
      </w:r>
    </w:p>
    <w:p>
      <w:pPr>
        <w:spacing w:after="0" w:line="13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Subsequent to the Merger Date, any transactions occurring between Technip and FMCTI will be intercompany transactions and eliminated in the preparation of consolidated financial statements. Balances and transactions between Technip and FMCTI as of December 31, 2016 and for the year then ended are not significant; therefore, no eliminations were made in the pro forma financial statements.</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a preliminary basis, the intangible assets and goodwill recognized in the preliminary purchase price accounting have been considered as non-deductible for tax purposes. Accordingly, a deferred tax liability has been recognized at a rate of 35% on intangible assets acquired.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a domestic registrant under SEC rules, the pro forma financial information of TechnipFMC is prepared in accordance with U.S. GAAP. The accounting policies of TechnipFMC under U.S. GAAP used, on a preliminary basis, in the preparation of these unaudited pro forma condensed combined financial information are those set forth in FMCTI’s audited financial statements included in Exhibit 99.1, with respect to FMCTI and those of Technip to the extent Technip accounting policies comply with U.S. GAAP.</w:t>
      </w:r>
    </w:p>
    <w:p>
      <w:pPr>
        <w:spacing w:after="0" w:line="20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accounting policies of Technip under IFRS as described in Note 1 to the historical consolidated financial statements included in Exhibit 99.3 are similar in most material respects to U.S. GAAP, except for those discussed further in Note 6 below, which also discloses the translation from Euro amounts into U.S. dollars. Although TechnipFMC management believes the adjustments to Technip’s financial statements represent the known material adjustments to conform to U.S. GAAP, the accompanying unaudited pro forma IFRS to U.S. GAAP adjustments are preliminary and are subject to further adjustments as additional information becomes available and as additional analyses are performed.</w:t>
      </w:r>
    </w:p>
    <w:p>
      <w:pPr>
        <w:spacing w:after="0" w:line="3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Calculation of Purchase Consideration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FMCTI stockholders received TechnipFMC shares as purchase consideration in connection with the Mergers as discussed above; however, because Technip is the accounting acquirer and FMCTI is the acquiree for accounting purposes, the pro forma financial statements reflect the estimated fair value of the equity issued, as represented by the market price of Technip shares, to FMCTI stockholders. The total purchase consideration received by FMCTI stockholders was based on the fair value of the equity issued at the effective time of the Mergers. The estimated purchase consideration below reflects the estimated fair value of equity issued, which is based on the January 16, 2017 closing price of Technip shares of $71.40 per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purchase consideration and estimated fair value of FMCTI’s net assets acquired on January 16, 2017 is calculated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value per share data and FMCTI exchange ratio)</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FMCTI shares subject to exchange as of January 16, 2017</w:t>
            </w: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w:t>
            </w:r>
          </w:p>
        </w:tc>
      </w:tr>
      <w:tr>
        <w:trPr>
          <w:trHeight w:val="270"/>
        </w:trPr>
        <w:tc>
          <w:tcPr>
            <w:tcW w:w="99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FMCTI exchange ratio</w:t>
            </w:r>
            <w:r>
              <w:rPr>
                <w:rFonts w:ascii="Arial" w:cs="Arial" w:eastAsia="Arial" w:hAnsi="Arial"/>
                <w:sz w:val="21"/>
                <w:szCs w:val="21"/>
                <w:color w:val="auto"/>
                <w:vertAlign w:val="superscript"/>
              </w:rPr>
              <w:t>(i)</w:t>
            </w: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TechnipFMC issued</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r>
      <w:tr>
        <w:trPr>
          <w:trHeight w:val="270"/>
        </w:trPr>
        <w:tc>
          <w:tcPr>
            <w:tcW w:w="99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Value per share of Technip as of January 16, 2017</w:t>
            </w:r>
            <w:r>
              <w:rPr>
                <w:rFonts w:ascii="Arial" w:cs="Arial" w:eastAsia="Arial" w:hAnsi="Arial"/>
                <w:sz w:val="21"/>
                <w:szCs w:val="21"/>
                <w:color w:val="auto"/>
                <w:vertAlign w:val="superscript"/>
              </w:rPr>
              <w:t>(ii)</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71.40</w:t>
            </w:r>
          </w:p>
        </w:tc>
      </w:tr>
      <w:tr>
        <w:trPr>
          <w:trHeight w:val="244"/>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purchase consideration</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8,171.1</w:t>
            </w:r>
          </w:p>
        </w:tc>
      </w:tr>
      <w:tr>
        <w:trPr>
          <w:trHeight w:val="20"/>
        </w:trPr>
        <w:tc>
          <w:tcPr>
            <w:tcW w:w="99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69" w:lineRule="exact"/>
        <w:rPr>
          <w:sz w:val="20"/>
          <w:szCs w:val="20"/>
          <w:color w:val="auto"/>
        </w:rPr>
      </w:pPr>
    </w:p>
    <w:p>
      <w:pPr>
        <w:ind w:left="660" w:hanging="652"/>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As the calculation is deemed to reflect a share capital increase of the accounting acquirer, the FMCTI exchange ratio (1 share of TechnipFMC for 1 share of FMCTI as provided in the business combination agreement) is adjusted by dividing the FMCTI exchange ratio by the Technip exchange ratio (2 shares of TechnipFMC for 1 share of Technip as provided in the business combination agreement) i.e. </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 </w:t>
      </w:r>
      <w:r>
        <w:rPr>
          <w:rFonts w:ascii="Arial" w:cs="Arial" w:eastAsia="Arial" w:hAnsi="Arial"/>
          <w:sz w:val="20"/>
          <w:szCs w:val="20"/>
          <w:color w:val="auto"/>
          <w:vertAlign w:val="subscript"/>
        </w:rPr>
        <w:t>2</w:t>
      </w:r>
      <w:r>
        <w:rPr>
          <w:rFonts w:ascii="Arial" w:cs="Arial" w:eastAsia="Arial" w:hAnsi="Arial"/>
          <w:sz w:val="17"/>
          <w:szCs w:val="17"/>
          <w:color w:val="auto"/>
        </w:rPr>
        <w:t xml:space="preserve"> = 0.5 in order to reflect the number of shares of Technip that FMCTI stockholders would have received if Technip was to have issued its own shares.</w:t>
      </w:r>
    </w:p>
    <w:p>
      <w:pPr>
        <w:spacing w:after="0" w:line="16" w:lineRule="exact"/>
        <w:rPr>
          <w:rFonts w:ascii="Arial" w:cs="Arial" w:eastAsia="Arial" w:hAnsi="Arial"/>
          <w:sz w:val="17"/>
          <w:szCs w:val="17"/>
          <w:color w:val="auto"/>
        </w:rPr>
      </w:pPr>
    </w:p>
    <w:p>
      <w:pPr>
        <w:ind w:left="660" w:right="50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Closing price of Technip’s common stock on Euronext Paris on January 16, 2017 in Euro converted at the Euro to U.S. dollar exchange rate of $1.0594 on January 16, 2017.</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Preliminary Purchase Accounting</w:t>
      </w:r>
    </w:p>
    <w:p>
      <w:pPr>
        <w:spacing w:after="0" w:line="17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the acquisition method of accounting, the FMCTI assets and liabilities will be recorded at fair value as of the Merger Date and combined with the historical carrying amount of the assets and liabilities of Technip. The pro forma adjustments are preliminary and based on estimates of the fair value and useful lives of the assets as of December 31, 2016 and have been prepared by TechnipFMC management to illustrate the estimated effect of the Mergers. The unaudited pro forma condensed combined financial information does not include any fair value adjustments associated with tangible fixed assets and other current assets and liabilities of FMCTI as TechnipFMC management has preliminary concluded that these historical carrying values approximate their fair values as of December 31, 2016. The purchase accounting is dependent upon certain valuation and other studies that have not yet been completed. Accordingly, the preliminary purchase accounting is subject to further adjustments as additional information becomes available and as additional analyses and final fair valuations are conducted at and following the completion of the Mergers. The final fair valuations could differ materially from the preliminary fair valuations presented below and, as such, no assurances can be provided regarding the preliminary purchase accounting.</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the preliminary purchase accounting consideration to the identifiable assets acquired and liabilities assumed of FMCTI, with the excess of the purchase consideration issued over the fair value of FMCTI’s net assets recorded as goodwill:</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Calculation of goodwill:</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280"/>
              <w:spacing w:after="0"/>
              <w:rPr>
                <w:sz w:val="20"/>
                <w:szCs w:val="20"/>
                <w:color w:val="auto"/>
              </w:rPr>
            </w:pPr>
            <w:r>
              <w:rPr>
                <w:rFonts w:ascii="Arial" w:cs="Arial" w:eastAsia="Arial" w:hAnsi="Arial"/>
                <w:sz w:val="18"/>
                <w:szCs w:val="18"/>
                <w:color w:val="auto"/>
              </w:rPr>
              <w:t>Fair value of common shares issued to FMCTI stockholders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8,171.1</w:t>
            </w:r>
          </w:p>
        </w:tc>
      </w:tr>
      <w:tr>
        <w:trPr>
          <w:trHeight w:val="27"/>
        </w:trPr>
        <w:tc>
          <w:tcPr>
            <w:tcW w:w="9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Recognized amounts of identifiable assets acquired and liabilities assumed:</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Total assets acquired</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5,748.6</w:t>
            </w:r>
          </w:p>
        </w:tc>
      </w:tr>
      <w:tr>
        <w:trPr>
          <w:trHeight w:val="27"/>
        </w:trPr>
        <w:tc>
          <w:tcPr>
            <w:tcW w:w="9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Total liabilities assumed</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(3,136.7)</w:t>
            </w:r>
          </w:p>
        </w:tc>
      </w:tr>
      <w:tr>
        <w:trPr>
          <w:trHeight w:val="237"/>
        </w:trPr>
        <w:tc>
          <w:tcPr>
            <w:tcW w:w="9820" w:type="dxa"/>
            <w:vAlign w:val="bottom"/>
          </w:tcPr>
          <w:p>
            <w:pPr>
              <w:ind w:left="280"/>
              <w:spacing w:after="0"/>
              <w:rPr>
                <w:sz w:val="20"/>
                <w:szCs w:val="20"/>
                <w:color w:val="auto"/>
              </w:rPr>
            </w:pPr>
            <w:r>
              <w:rPr>
                <w:rFonts w:ascii="Arial" w:cs="Arial" w:eastAsia="Arial" w:hAnsi="Arial"/>
                <w:sz w:val="18"/>
                <w:szCs w:val="18"/>
                <w:color w:val="auto"/>
              </w:rPr>
              <w:t>Book value of net assets acquired as of December 31, 2016</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2,611.9</w:t>
            </w:r>
          </w:p>
        </w:tc>
      </w:tr>
      <w:tr>
        <w:trPr>
          <w:trHeight w:val="27"/>
        </w:trPr>
        <w:tc>
          <w:tcPr>
            <w:tcW w:w="9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transaction costs to be incurred after December 31, 2016 by FMCTI</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Less: write-off of pre-existing FMCTI goodwill</w:t>
            </w: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(517.9)</w:t>
            </w:r>
          </w:p>
        </w:tc>
      </w:tr>
      <w:tr>
        <w:trPr>
          <w:trHeight w:val="27"/>
        </w:trPr>
        <w:tc>
          <w:tcPr>
            <w:tcW w:w="9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write-off of pre-existing FMCTI intangible assets</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Less: write-off of deferred tax of pre-existing FMCTI goodwill and intangible assets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98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book value of assets acquired</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1,888.6</w:t>
            </w:r>
          </w:p>
        </w:tc>
      </w:tr>
      <w:tr>
        <w:trPr>
          <w:trHeight w:val="243"/>
        </w:trPr>
        <w:tc>
          <w:tcPr>
            <w:tcW w:w="9820" w:type="dxa"/>
            <w:vAlign w:val="bottom"/>
          </w:tcPr>
          <w:p>
            <w:pPr>
              <w:ind w:left="280"/>
              <w:spacing w:after="0"/>
              <w:rPr>
                <w:sz w:val="20"/>
                <w:szCs w:val="20"/>
                <w:color w:val="auto"/>
              </w:rPr>
            </w:pPr>
            <w:r>
              <w:rPr>
                <w:rFonts w:ascii="Arial" w:cs="Arial" w:eastAsia="Arial" w:hAnsi="Arial"/>
                <w:sz w:val="18"/>
                <w:szCs w:val="18"/>
                <w:color w:val="auto"/>
              </w:rPr>
              <w:t>Identifiable intangible assets at fair value</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1,430.0</w:t>
            </w:r>
          </w:p>
        </w:tc>
      </w:tr>
      <w:tr>
        <w:trPr>
          <w:trHeight w:val="27"/>
        </w:trPr>
        <w:tc>
          <w:tcPr>
            <w:tcW w:w="9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impact of fair value adjustments</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(500.5)</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Goodwill</w:t>
            </w:r>
          </w:p>
        </w:tc>
        <w:tc>
          <w:tcPr>
            <w:tcW w:w="5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5,353.0</w:t>
            </w:r>
          </w:p>
        </w:tc>
      </w:tr>
      <w:tr>
        <w:trPr>
          <w:trHeight w:val="27"/>
        </w:trPr>
        <w:tc>
          <w:tcPr>
            <w:tcW w:w="9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Pre-existing FMCTI goodwill</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(517.9)</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Net adjustment to goodwill</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4,835.1</w:t>
            </w:r>
          </w:p>
        </w:tc>
      </w:tr>
      <w:tr>
        <w:trPr>
          <w:trHeight w:val="27"/>
        </w:trPr>
        <w:tc>
          <w:tcPr>
            <w:tcW w:w="98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unaudited pro forma condensed combined financial information does not include any fair value adjustments associated with the tangible fixed assets of FMCTI as TechnipFMC management have preliminarily concluded that the historical carrying value of the assets approximates the fair value as of December 31, 2016. TechnipFMC management will continue to assess the tangible fixed assets through the purchase accounting measurement period under U.S. GAAP. The actual purchase accounting may differ materially from these pro forma amounts as additional information becomes available and as additional analyses are performed.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63" w:name="page64"/>
    <w:bookmarkEnd w:id="63"/>
    <w:p>
      <w:pPr>
        <w:ind w:left="312" w:hanging="312"/>
        <w:spacing w:after="0"/>
        <w:tabs>
          <w:tab w:leader="none" w:pos="31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Notes to Unaudited Pro Forma Condensed Combined Balance Sheet</w:t>
      </w:r>
    </w:p>
    <w:p>
      <w:pPr>
        <w:spacing w:after="0" w:line="229" w:lineRule="exact"/>
        <w:rPr>
          <w:rFonts w:ascii="Arial" w:cs="Arial" w:eastAsia="Arial" w:hAnsi="Arial"/>
          <w:sz w:val="18"/>
          <w:szCs w:val="18"/>
          <w:b w:val="1"/>
          <w:bCs w:val="1"/>
          <w:color w:val="auto"/>
        </w:rPr>
      </w:pPr>
    </w:p>
    <w:p>
      <w:pPr>
        <w:ind w:left="1292" w:right="40" w:hanging="644"/>
        <w:spacing w:after="0" w:line="277" w:lineRule="auto"/>
        <w:tabs>
          <w:tab w:leader="none" w:pos="12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Represents the audited historical consolidated balance sheet of Technip as of December 31, 2016 as adjusted and reclassified to conform to U.S. GAAP (see Note 6).</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Represents the audited historical consolidated balance sheet of FMCTI as of December 31, 2016.</w:t>
      </w:r>
    </w:p>
    <w:p>
      <w:pPr>
        <w:spacing w:after="0" w:line="225" w:lineRule="exact"/>
        <w:rPr>
          <w:rFonts w:ascii="Arial" w:cs="Arial" w:eastAsia="Arial" w:hAnsi="Arial"/>
          <w:sz w:val="18"/>
          <w:szCs w:val="18"/>
          <w:color w:val="auto"/>
        </w:rPr>
      </w:pPr>
    </w:p>
    <w:p>
      <w:pPr>
        <w:ind w:left="1292" w:right="40" w:hanging="644"/>
        <w:spacing w:after="0" w:line="277" w:lineRule="auto"/>
        <w:tabs>
          <w:tab w:leader="none" w:pos="1023"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Represents the net adjustment to FMCTI intangible assets based on the estimated fair value of the intangible assets as discussed in Note 3. The net adjustment to intangible assets is calculated as follows:</w:t>
      </w:r>
    </w:p>
    <w:p>
      <w:pPr>
        <w:spacing w:after="0" w:line="96" w:lineRule="exact"/>
        <w:rPr>
          <w:sz w:val="20"/>
          <w:szCs w:val="20"/>
          <w:color w:val="auto"/>
        </w:rPr>
      </w:pPr>
    </w:p>
    <w:tbl>
      <w:tblPr>
        <w:tblLayout w:type="fixed"/>
        <w:tblInd w:w="1292" w:type="dxa"/>
        <w:tblCellMar>
          <w:top w:w="0" w:type="dxa"/>
          <w:left w:w="0" w:type="dxa"/>
          <w:bottom w:w="0" w:type="dxa"/>
          <w:right w:w="0" w:type="dxa"/>
        </w:tblCellMar>
      </w:tblPr>
      <w:tr>
        <w:trPr>
          <w:trHeight w:val="161"/>
        </w:trPr>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of dollars, except estimated useful lives)</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4"/>
                <w:szCs w:val="14"/>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3960" w:type="dxa"/>
            <w:vAlign w:val="bottom"/>
            <w:vMerge w:val="continue"/>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Identifiable intangible assets</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Customer relationships</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Backlog</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Acquired technology</w:t>
            </w: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Tradenames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w w:val="98"/>
              </w:rPr>
              <w:t>Estimated fair value of identified intangible assets</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3"/>
              </w:rPr>
              <w:t>1,430.0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Pre-existing FMCTI intangible assets</w:t>
            </w:r>
          </w:p>
        </w:tc>
        <w:tc>
          <w:tcPr>
            <w:tcW w:w="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Net adjustment to intangible assets</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1,211.8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92" w:right="40" w:hanging="644"/>
        <w:spacing w:after="0" w:line="259" w:lineRule="auto"/>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$500.5 million adjustment to deferred tax liabilities, on a preliminary basis, resulting from the pro forma fair value adjustments for intangible assets acquired utilizing the U.S. Federal statutory tax rate of 35% and the $53.3 million adjustment to eliminate deferred tax liabilities included in FMCTI’s historical balance sheet related to goodwill and intangible assets associated with FMCTI’s pre-merger business combinations.</w:t>
      </w:r>
    </w:p>
    <w:p>
      <w:pPr>
        <w:spacing w:after="0" w:line="186" w:lineRule="exact"/>
        <w:rPr>
          <w:rFonts w:ascii="Arial" w:cs="Arial" w:eastAsia="Arial" w:hAnsi="Arial"/>
          <w:sz w:val="18"/>
          <w:szCs w:val="18"/>
          <w:color w:val="auto"/>
        </w:rPr>
      </w:pPr>
    </w:p>
    <w:p>
      <w:pPr>
        <w:ind w:left="1292" w:hanging="644"/>
        <w:spacing w:after="0"/>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adjustments to eliminate FMCTI historical equity accounts as FMCTI is the acquiree for accounting purposes.</w:t>
      </w:r>
    </w:p>
    <w:p>
      <w:pPr>
        <w:spacing w:after="0" w:line="225" w:lineRule="exact"/>
        <w:rPr>
          <w:rFonts w:ascii="Arial" w:cs="Arial" w:eastAsia="Arial" w:hAnsi="Arial"/>
          <w:sz w:val="18"/>
          <w:szCs w:val="18"/>
          <w:color w:val="auto"/>
        </w:rPr>
      </w:pPr>
    </w:p>
    <w:p>
      <w:pPr>
        <w:ind w:left="1292" w:right="20" w:hanging="644"/>
        <w:spacing w:after="0" w:line="277" w:lineRule="auto"/>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adjustments to record the fair value of equity consideration in TechnipFMC transferred to FMCTI stockholders to effectuate the Mergers.</w:t>
      </w:r>
    </w:p>
    <w:p>
      <w:pPr>
        <w:spacing w:after="0" w:line="170" w:lineRule="exact"/>
        <w:rPr>
          <w:rFonts w:ascii="Arial" w:cs="Arial" w:eastAsia="Arial" w:hAnsi="Arial"/>
          <w:sz w:val="18"/>
          <w:szCs w:val="18"/>
          <w:color w:val="auto"/>
        </w:rPr>
      </w:pPr>
    </w:p>
    <w:p>
      <w:pPr>
        <w:ind w:left="1292" w:hanging="644"/>
        <w:spacing w:after="0" w:line="257" w:lineRule="auto"/>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an estimate of the future costs of $40.5 million to be incurred by FMCTI directly attributable to the Mergers, including advisory and legal fees that are recorded as an adjustment to the unaudited pro forma condensed combined balance sheet only. These amounts were expensed as incurred during the period January 1, 2017 through January 16, 2017 and are not reflected in the unaudited pro forma condensed combined statements of income because they have not yet been incurred for the accompanying period presented and they will not have a continuing impact.</w:t>
      </w:r>
    </w:p>
    <w:p>
      <w:pPr>
        <w:spacing w:after="0" w:line="188" w:lineRule="exact"/>
        <w:rPr>
          <w:rFonts w:ascii="Arial" w:cs="Arial" w:eastAsia="Arial" w:hAnsi="Arial"/>
          <w:sz w:val="18"/>
          <w:szCs w:val="18"/>
          <w:color w:val="auto"/>
        </w:rPr>
      </w:pPr>
    </w:p>
    <w:p>
      <w:pPr>
        <w:ind w:left="1292" w:right="280" w:hanging="644"/>
        <w:spacing w:after="0" w:line="277" w:lineRule="auto"/>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certain reclassifications of historical FMCTI and Technip financial statement line items to conform to the expected financial statement line items of the combined company following the Mergers, including:</w:t>
      </w:r>
    </w:p>
    <w:p>
      <w:pPr>
        <w:spacing w:after="0" w:line="170" w:lineRule="exact"/>
        <w:rPr>
          <w:rFonts w:ascii="Arial" w:cs="Arial" w:eastAsia="Arial" w:hAnsi="Arial"/>
          <w:sz w:val="18"/>
          <w:szCs w:val="18"/>
          <w:color w:val="auto"/>
        </w:rPr>
      </w:pPr>
    </w:p>
    <w:p>
      <w:pPr>
        <w:ind w:left="1792" w:hanging="333"/>
        <w:spacing w:after="0"/>
        <w:tabs>
          <w:tab w:leader="none" w:pos="17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Prepaid expenses has been reclassified to Other current assets;</w:t>
      </w:r>
    </w:p>
    <w:p>
      <w:pPr>
        <w:spacing w:after="0" w:line="23" w:lineRule="exact"/>
        <w:rPr>
          <w:rFonts w:ascii="Arial" w:cs="Arial" w:eastAsia="Arial" w:hAnsi="Arial"/>
          <w:sz w:val="18"/>
          <w:szCs w:val="18"/>
          <w:color w:val="auto"/>
        </w:rPr>
      </w:pPr>
    </w:p>
    <w:p>
      <w:pPr>
        <w:ind w:left="1792" w:hanging="333"/>
        <w:spacing w:after="0"/>
        <w:tabs>
          <w:tab w:leader="none" w:pos="17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Accrued payroll has been reclassified to Other current liabilities; and</w:t>
      </w:r>
    </w:p>
    <w:p>
      <w:pPr>
        <w:spacing w:after="0" w:line="9" w:lineRule="exact"/>
        <w:rPr>
          <w:rFonts w:ascii="Arial" w:cs="Arial" w:eastAsia="Arial" w:hAnsi="Arial"/>
          <w:sz w:val="18"/>
          <w:szCs w:val="18"/>
          <w:color w:val="auto"/>
        </w:rPr>
      </w:pPr>
    </w:p>
    <w:p>
      <w:pPr>
        <w:ind w:left="1792" w:right="20" w:hanging="333"/>
        <w:spacing w:after="0" w:line="250" w:lineRule="auto"/>
        <w:tabs>
          <w:tab w:leader="none" w:pos="17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Technip historical Share Capital has been eliminated and TechnipFMC Share Capital of $466.6 million as of December 31, 2016 has been recorded.</w:t>
      </w:r>
    </w:p>
    <w:p>
      <w:pPr>
        <w:ind w:left="1792" w:right="60" w:hanging="333"/>
        <w:spacing w:after="0" w:line="261" w:lineRule="auto"/>
        <w:tabs>
          <w:tab w:leader="none" w:pos="17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Technip historical Treasury Stock has been eliminated based on the shares issued by TechnipFMC to all outstanding shareholders of Technip as a result of the Mergers.</w:t>
      </w:r>
    </w:p>
    <w:p>
      <w:pPr>
        <w:spacing w:after="0" w:line="183" w:lineRule="exact"/>
        <w:rPr>
          <w:rFonts w:ascii="Arial" w:cs="Arial" w:eastAsia="Arial" w:hAnsi="Arial"/>
          <w:sz w:val="18"/>
          <w:szCs w:val="18"/>
          <w:color w:val="auto"/>
        </w:rPr>
      </w:pPr>
    </w:p>
    <w:p>
      <w:pPr>
        <w:ind w:left="1292" w:hanging="644"/>
        <w:spacing w:after="0"/>
        <w:tabs>
          <w:tab w:leader="none" w:pos="12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adjustments to consolidate Forsys Subsea, the 50/50 joint venture between FMCTI and Technip.</w:t>
      </w:r>
    </w:p>
    <w:p>
      <w:pPr>
        <w:spacing w:after="0" w:line="25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52"/>
          </w:cols>
          <w:pgMar w:left="248" w:top="580" w:right="299" w:bottom="1440" w:gutter="0" w:footer="0" w:header="0"/>
        </w:sectPr>
      </w:pPr>
    </w:p>
    <w:bookmarkStart w:id="64" w:name="page65"/>
    <w:bookmarkEnd w:id="64"/>
    <w:p>
      <w:pPr>
        <w:ind w:left="312" w:hanging="312"/>
        <w:spacing w:after="0"/>
        <w:tabs>
          <w:tab w:leader="none" w:pos="31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Notes to Unaudited Pro Forma Condensed Combined Statements of Income</w:t>
      </w:r>
    </w:p>
    <w:p>
      <w:pPr>
        <w:spacing w:after="0" w:line="229" w:lineRule="exact"/>
        <w:rPr>
          <w:rFonts w:ascii="Arial" w:cs="Arial" w:eastAsia="Arial" w:hAnsi="Arial"/>
          <w:sz w:val="18"/>
          <w:szCs w:val="18"/>
          <w:b w:val="1"/>
          <w:bCs w:val="1"/>
          <w:color w:val="auto"/>
        </w:rPr>
      </w:pPr>
    </w:p>
    <w:p>
      <w:pPr>
        <w:ind w:left="1292" w:hanging="644"/>
        <w:spacing w:after="0"/>
        <w:tabs>
          <w:tab w:leader="none" w:pos="12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the historical consolidated statement of income for Technip for the year ended December 31, 2016 (see Note 6).</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the historical consolidated statement of income for FMCTI for the year ended December 31, 2016.</w:t>
      </w:r>
    </w:p>
    <w:p>
      <w:pPr>
        <w:spacing w:after="0" w:line="225" w:lineRule="exact"/>
        <w:rPr>
          <w:rFonts w:ascii="Arial" w:cs="Arial" w:eastAsia="Arial" w:hAnsi="Arial"/>
          <w:sz w:val="18"/>
          <w:szCs w:val="18"/>
          <w:color w:val="auto"/>
        </w:rPr>
      </w:pPr>
    </w:p>
    <w:p>
      <w:pPr>
        <w:ind w:left="1292" w:right="120" w:hanging="644"/>
        <w:spacing w:after="0" w:line="312" w:lineRule="auto"/>
        <w:tabs>
          <w:tab w:leader="none" w:pos="1023"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Represents the adjustments to record amortization expense related to the increased basis of intangible assets to $1,430.0 million (see Note 4c), which have been recorded at estimated fair value on a pro forma basis and will be amortized over the estimated useful lives on a straight-line basis as provided for each class of intangible asset. The net adjustment to amortization expense is calculated as follows:</w:t>
      </w:r>
    </w:p>
    <w:p>
      <w:pPr>
        <w:spacing w:after="0" w:line="72" w:lineRule="exact"/>
        <w:rPr>
          <w:sz w:val="20"/>
          <w:szCs w:val="20"/>
          <w:color w:val="auto"/>
        </w:rPr>
      </w:pPr>
    </w:p>
    <w:tbl>
      <w:tblPr>
        <w:tblLayout w:type="fixed"/>
        <w:tblInd w:w="1292" w:type="dxa"/>
        <w:tblCellMar>
          <w:top w:w="0" w:type="dxa"/>
          <w:left w:w="0" w:type="dxa"/>
          <w:bottom w:w="0" w:type="dxa"/>
          <w:right w:w="0" w:type="dxa"/>
        </w:tblCellMar>
      </w:tblPr>
      <w:tr>
        <w:trPr>
          <w:trHeight w:val="161"/>
        </w:trPr>
        <w:tc>
          <w:tcPr>
            <w:tcW w:w="5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4"/>
                <w:szCs w:val="14"/>
                <w:color w:val="auto"/>
              </w:rPr>
            </w:pPr>
          </w:p>
        </w:tc>
        <w:tc>
          <w:tcPr>
            <w:tcW w:w="1360" w:type="dxa"/>
            <w:vAlign w:val="bottom"/>
          </w:tcPr>
          <w:p>
            <w:pPr>
              <w:jc w:val="right"/>
              <w:ind w:right="117"/>
              <w:spacing w:after="0"/>
              <w:rPr>
                <w:sz w:val="20"/>
                <w:szCs w:val="20"/>
                <w:color w:val="auto"/>
              </w:rPr>
            </w:pPr>
            <w:r>
              <w:rPr>
                <w:rFonts w:ascii="Arial" w:cs="Arial" w:eastAsia="Arial" w:hAnsi="Arial"/>
                <w:sz w:val="14"/>
                <w:szCs w:val="14"/>
                <w:b w:val="1"/>
                <w:bCs w:val="1"/>
                <w:color w:val="auto"/>
                <w:w w:val="94"/>
              </w:rPr>
              <w:t>Fiscal Year Ended</w:t>
            </w:r>
          </w:p>
        </w:tc>
        <w:tc>
          <w:tcPr>
            <w:tcW w:w="0" w:type="dxa"/>
            <w:vAlign w:val="bottom"/>
          </w:tcPr>
          <w:p>
            <w:pPr>
              <w:spacing w:after="0"/>
              <w:rPr>
                <w:sz w:val="1"/>
                <w:szCs w:val="1"/>
                <w:color w:val="auto"/>
              </w:rPr>
            </w:pPr>
          </w:p>
        </w:tc>
      </w:tr>
      <w:tr>
        <w:trPr>
          <w:trHeight w:val="192"/>
        </w:trPr>
        <w:tc>
          <w:tcPr>
            <w:tcW w:w="5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360" w:type="dxa"/>
            <w:vAlign w:val="bottom"/>
          </w:tcPr>
          <w:p>
            <w:pPr>
              <w:jc w:val="right"/>
              <w:ind w:right="97"/>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finite-lived intangible assets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Less: FMCTI historical intangible asset amortization expense</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adjustment to amortization expense</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92" w:right="60"/>
        <w:spacing w:after="0" w:line="279" w:lineRule="auto"/>
        <w:rPr>
          <w:sz w:val="20"/>
          <w:szCs w:val="20"/>
          <w:color w:val="auto"/>
        </w:rPr>
      </w:pPr>
      <w:r>
        <w:rPr>
          <w:rFonts w:ascii="Arial" w:cs="Arial" w:eastAsia="Arial" w:hAnsi="Arial"/>
          <w:sz w:val="17"/>
          <w:szCs w:val="17"/>
          <w:color w:val="auto"/>
        </w:rPr>
        <w:t>A 10% increase/decrease in the fair value attributable to identified intangible assets would result in an increase/decrease in annual amortization expense of approximately $22.2 million. TechnipFMC's management believes that using a 10% threshold in the sensitivity analysis is the appropriate magnitude given the relative size of the respective adjustments compared to the pro forma total assets and would demonstrate a meaningful impact on the unaudited pro forma condensed combined statements of income.</w:t>
      </w:r>
    </w:p>
    <w:p>
      <w:pPr>
        <w:spacing w:after="0" w:line="171" w:lineRule="exact"/>
        <w:rPr>
          <w:sz w:val="20"/>
          <w:szCs w:val="20"/>
          <w:color w:val="auto"/>
        </w:rPr>
      </w:pPr>
    </w:p>
    <w:p>
      <w:pPr>
        <w:ind w:left="1292" w:right="80" w:hanging="644"/>
        <w:spacing w:after="0" w:line="297" w:lineRule="auto"/>
        <w:tabs>
          <w:tab w:leader="none" w:pos="1292"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adjustment to eliminate merger-related transaction costs expensed in FMCTI’s and Technip’s historical consolidated statement of income. As merger-related transaction costs are non-recurring, direct, incremental costs of the specific acquisition, which are reflected in the historical financial information, they have not been reflected in the unaudited pro forma condensed combined statements of income. An adjustment totaling $202.7 million has been reflected in the unaudited pro forma condensed combined statements of income that were expensed by FMCTI of $45.2 million and Technip of $157.5 million for the twelve months ended December 31, 2016.</w:t>
      </w:r>
    </w:p>
    <w:p>
      <w:pPr>
        <w:spacing w:after="0" w:line="158" w:lineRule="exact"/>
        <w:rPr>
          <w:rFonts w:ascii="Arial" w:cs="Arial" w:eastAsia="Arial" w:hAnsi="Arial"/>
          <w:sz w:val="16"/>
          <w:szCs w:val="16"/>
          <w:color w:val="auto"/>
        </w:rPr>
      </w:pPr>
    </w:p>
    <w:p>
      <w:pPr>
        <w:ind w:left="1292" w:hanging="644"/>
        <w:spacing w:after="0" w:line="264" w:lineRule="auto"/>
        <w:tabs>
          <w:tab w:leader="none" w:pos="12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tax effect of purchase accounting adjustments utilizing the U.S. Federal statutory tax rate of 35% on a preliminary basis. Merger-related transaction costs in FMCTI’s and Technip’s historical consolidated statement of income eliminated as pro forma adjustments were tax affected in accordance with their respective jurisdictions, as applicable.</w:t>
      </w:r>
    </w:p>
    <w:p>
      <w:pPr>
        <w:spacing w:after="0" w:line="181" w:lineRule="exact"/>
        <w:rPr>
          <w:rFonts w:ascii="Arial" w:cs="Arial" w:eastAsia="Arial" w:hAnsi="Arial"/>
          <w:sz w:val="18"/>
          <w:szCs w:val="18"/>
          <w:color w:val="auto"/>
        </w:rPr>
      </w:pPr>
    </w:p>
    <w:p>
      <w:pPr>
        <w:ind w:left="1292" w:right="200" w:hanging="644"/>
        <w:spacing w:after="0" w:line="277" w:lineRule="auto"/>
        <w:tabs>
          <w:tab w:leader="none" w:pos="1292"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certain reclassifications of historical FMCTI financial statement line items to conform to the expected financial statement line items of the combined company following the Mergers, including:</w:t>
      </w:r>
    </w:p>
    <w:p>
      <w:pPr>
        <w:spacing w:after="0" w:line="170" w:lineRule="exact"/>
        <w:rPr>
          <w:rFonts w:ascii="Arial" w:cs="Arial" w:eastAsia="Arial" w:hAnsi="Arial"/>
          <w:sz w:val="18"/>
          <w:szCs w:val="18"/>
          <w:color w:val="auto"/>
        </w:rPr>
      </w:pPr>
    </w:p>
    <w:p>
      <w:pPr>
        <w:ind w:left="2112" w:right="560" w:hanging="653"/>
        <w:spacing w:after="0" w:line="258" w:lineRule="auto"/>
        <w:tabs>
          <w:tab w:leader="none" w:pos="17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Foreign currency remeasurement gains and losses recorded in Other income / (expense), net has been reclassified to Financial income / (expense), net</w:t>
      </w:r>
    </w:p>
    <w:p>
      <w:pPr>
        <w:spacing w:after="0" w:line="1" w:lineRule="exact"/>
        <w:rPr>
          <w:rFonts w:ascii="Arial" w:cs="Arial" w:eastAsia="Arial" w:hAnsi="Arial"/>
          <w:sz w:val="18"/>
          <w:szCs w:val="18"/>
          <w:color w:val="auto"/>
        </w:rPr>
      </w:pPr>
    </w:p>
    <w:p>
      <w:pPr>
        <w:ind w:left="1792" w:hanging="333"/>
        <w:spacing w:after="0"/>
        <w:tabs>
          <w:tab w:leader="none" w:pos="17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Equity method income (losses) recorded in Revenue has been reclassified to Share of income/(loss) of equity affiliates.</w:t>
      </w:r>
    </w:p>
    <w:p>
      <w:pPr>
        <w:spacing w:after="0" w:line="200" w:lineRule="exact"/>
        <w:rPr>
          <w:sz w:val="20"/>
          <w:szCs w:val="20"/>
          <w:color w:val="auto"/>
        </w:rPr>
      </w:pPr>
    </w:p>
    <w:p>
      <w:pPr>
        <w:spacing w:after="0" w:line="2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580" w:right="259" w:bottom="1440" w:gutter="0" w:footer="0" w:header="0"/>
        </w:sectPr>
      </w:pPr>
    </w:p>
    <w:bookmarkStart w:id="65" w:name="page66"/>
    <w:bookmarkEnd w:id="65"/>
    <w:p>
      <w:pPr>
        <w:ind w:left="644" w:hanging="644"/>
        <w:spacing w:after="0" w:line="257" w:lineRule="auto"/>
        <w:tabs>
          <w:tab w:leader="none" w:pos="3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an adjustment to the weighted average shares outstanding for both Technip and FMCTI to illustrate the number of TechnipFMC shares exchanged to consummate the Mergers. The pro forma number of shares outstanding for the unaudited pro forma condensed combined statement of income represents the total number of TechnipFMC shares exchanged on the Merger Date to Technip and FMCTI stockholders and utilizing dilutive securities of Technip for the year ended December 31, 2016. The pro forma number of shares outstanding was calculated as follows:</w:t>
      </w:r>
    </w:p>
    <w:p>
      <w:pPr>
        <w:spacing w:after="0" w:line="126" w:lineRule="exact"/>
        <w:rPr>
          <w:sz w:val="20"/>
          <w:szCs w:val="20"/>
          <w:color w:val="auto"/>
        </w:rPr>
      </w:pPr>
    </w:p>
    <w:p>
      <w:pPr>
        <w:ind w:left="684"/>
        <w:spacing w:after="0"/>
        <w:rPr>
          <w:sz w:val="20"/>
          <w:szCs w:val="20"/>
          <w:color w:val="auto"/>
        </w:rPr>
      </w:pPr>
      <w:r>
        <w:rPr>
          <w:rFonts w:ascii="Arial" w:cs="Arial" w:eastAsia="Arial" w:hAnsi="Arial"/>
          <w:sz w:val="14"/>
          <w:szCs w:val="14"/>
          <w:b w:val="1"/>
          <w:bCs w:val="1"/>
          <w:color w:val="auto"/>
        </w:rPr>
        <w:t>(In millions, except per share data and Technip and FMCTI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23495</wp:posOffset>
            </wp:positionV>
            <wp:extent cx="46050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605020" cy="171450"/>
                    </a:xfrm>
                    <a:prstGeom prst="rect">
                      <a:avLst/>
                    </a:prstGeom>
                    <a:noFill/>
                  </pic:spPr>
                </pic:pic>
              </a:graphicData>
            </a:graphic>
          </wp:anchor>
        </w:drawing>
      </w:r>
    </w:p>
    <w:p>
      <w:pPr>
        <w:spacing w:after="0" w:line="26" w:lineRule="exact"/>
        <w:rPr>
          <w:sz w:val="20"/>
          <w:szCs w:val="20"/>
          <w:color w:val="auto"/>
        </w:rPr>
      </w:pPr>
    </w:p>
    <w:p>
      <w:pPr>
        <w:ind w:left="684"/>
        <w:spacing w:after="0"/>
        <w:rPr>
          <w:sz w:val="20"/>
          <w:szCs w:val="20"/>
          <w:color w:val="auto"/>
        </w:rPr>
      </w:pPr>
      <w:r>
        <w:rPr>
          <w:rFonts w:ascii="Arial" w:cs="Arial" w:eastAsia="Arial" w:hAnsi="Arial"/>
          <w:sz w:val="18"/>
          <w:szCs w:val="18"/>
          <w:b w:val="1"/>
          <w:bCs w:val="1"/>
          <w:color w:val="auto"/>
        </w:rPr>
        <w:t>TechnipFMC Shares exchanged for Technip shares</w:t>
      </w:r>
    </w:p>
    <w:p>
      <w:pPr>
        <w:spacing w:after="0" w:line="67" w:lineRule="exact"/>
        <w:rPr>
          <w:sz w:val="20"/>
          <w:szCs w:val="20"/>
          <w:color w:val="auto"/>
        </w:rPr>
      </w:pPr>
    </w:p>
    <w:tbl>
      <w:tblPr>
        <w:tblLayout w:type="fixed"/>
        <w:tblInd w:w="644" w:type="dxa"/>
        <w:tblCellMar>
          <w:top w:w="0" w:type="dxa"/>
          <w:left w:w="0" w:type="dxa"/>
          <w:bottom w:w="0" w:type="dxa"/>
          <w:right w:w="0" w:type="dxa"/>
        </w:tblCellMar>
      </w:tblPr>
      <w:tr>
        <w:trPr>
          <w:trHeight w:val="257"/>
        </w:trPr>
        <w:tc>
          <w:tcPr>
            <w:tcW w:w="6340" w:type="dxa"/>
            <w:vAlign w:val="bottom"/>
          </w:tcPr>
          <w:p>
            <w:pPr>
              <w:ind w:left="380"/>
              <w:spacing w:after="0"/>
              <w:rPr>
                <w:sz w:val="20"/>
                <w:szCs w:val="20"/>
                <w:color w:val="auto"/>
              </w:rPr>
            </w:pPr>
            <w:r>
              <w:rPr>
                <w:rFonts w:ascii="Arial" w:cs="Arial" w:eastAsia="Arial" w:hAnsi="Arial"/>
                <w:sz w:val="18"/>
                <w:szCs w:val="18"/>
                <w:color w:val="auto"/>
              </w:rPr>
              <w:t>Technip Basic Shares Outstanding-Basic</w:t>
            </w:r>
            <w:r>
              <w:rPr>
                <w:rFonts w:ascii="Arial" w:cs="Arial" w:eastAsia="Arial" w:hAnsi="Arial"/>
                <w:sz w:val="21"/>
                <w:szCs w:val="21"/>
                <w:color w:val="auto"/>
                <w:vertAlign w:val="superscript"/>
              </w:rPr>
              <w:t>(i)</w:t>
            </w:r>
          </w:p>
        </w:tc>
        <w:tc>
          <w:tcPr>
            <w:tcW w:w="92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70"/>
        </w:trPr>
        <w:tc>
          <w:tcPr>
            <w:tcW w:w="6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Technip Exchange Ratio</w:t>
            </w:r>
            <w:r>
              <w:rPr>
                <w:rFonts w:ascii="Arial" w:cs="Arial" w:eastAsia="Arial" w:hAnsi="Arial"/>
                <w:sz w:val="21"/>
                <w:szCs w:val="21"/>
                <w:color w:val="auto"/>
                <w:vertAlign w:val="superscript"/>
              </w:rPr>
              <w:t>(ii)</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6340" w:type="dxa"/>
            <w:vAlign w:val="bottom"/>
          </w:tcPr>
          <w:p>
            <w:pPr>
              <w:ind w:left="380"/>
              <w:spacing w:after="0"/>
              <w:rPr>
                <w:sz w:val="20"/>
                <w:szCs w:val="20"/>
                <w:color w:val="auto"/>
              </w:rPr>
            </w:pPr>
            <w:r>
              <w:rPr>
                <w:rFonts w:ascii="Arial" w:cs="Arial" w:eastAsia="Arial" w:hAnsi="Arial"/>
                <w:sz w:val="18"/>
                <w:szCs w:val="18"/>
                <w:color w:val="auto"/>
              </w:rPr>
              <w:t>TechnipFMC shares exchanged for Technip shares-Basic</w:t>
            </w:r>
          </w:p>
        </w:tc>
        <w:tc>
          <w:tcPr>
            <w:tcW w:w="920" w:type="dxa"/>
            <w:vAlign w:val="bottom"/>
          </w:tcPr>
          <w:p>
            <w:pPr>
              <w:jc w:val="right"/>
              <w:spacing w:after="0"/>
              <w:rPr>
                <w:sz w:val="20"/>
                <w:szCs w:val="20"/>
                <w:color w:val="auto"/>
              </w:rPr>
            </w:pPr>
            <w:r>
              <w:rPr>
                <w:rFonts w:ascii="Arial" w:cs="Arial" w:eastAsia="Arial" w:hAnsi="Arial"/>
                <w:sz w:val="18"/>
                <w:szCs w:val="18"/>
                <w:color w:val="auto"/>
              </w:rPr>
              <w:t>237.7</w:t>
            </w:r>
          </w:p>
        </w:tc>
      </w:tr>
      <w:tr>
        <w:trPr>
          <w:trHeight w:val="27"/>
        </w:trPr>
        <w:tc>
          <w:tcPr>
            <w:tcW w:w="6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70"/>
        </w:trPr>
        <w:tc>
          <w:tcPr>
            <w:tcW w:w="6340" w:type="dxa"/>
            <w:vAlign w:val="bottom"/>
          </w:tcPr>
          <w:p>
            <w:pPr>
              <w:ind w:left="380"/>
              <w:spacing w:after="0"/>
              <w:rPr>
                <w:sz w:val="20"/>
                <w:szCs w:val="20"/>
                <w:color w:val="auto"/>
              </w:rPr>
            </w:pPr>
            <w:r>
              <w:rPr>
                <w:rFonts w:ascii="Arial" w:cs="Arial" w:eastAsia="Arial" w:hAnsi="Arial"/>
                <w:sz w:val="18"/>
                <w:szCs w:val="18"/>
                <w:color w:val="auto"/>
              </w:rPr>
              <w:t>Technip Dilutive Shares Outstanding-Dilutive</w:t>
            </w:r>
            <w:r>
              <w:rPr>
                <w:rFonts w:ascii="Arial" w:cs="Arial" w:eastAsia="Arial" w:hAnsi="Arial"/>
                <w:sz w:val="21"/>
                <w:szCs w:val="21"/>
                <w:color w:val="auto"/>
                <w:vertAlign w:val="superscript"/>
              </w:rPr>
              <w:t>(iii)</w:t>
            </w: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6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Technip Exchange Ratio</w:t>
            </w:r>
            <w:r>
              <w:rPr>
                <w:rFonts w:ascii="Arial" w:cs="Arial" w:eastAsia="Arial" w:hAnsi="Arial"/>
                <w:sz w:val="21"/>
                <w:szCs w:val="21"/>
                <w:color w:val="auto"/>
                <w:vertAlign w:val="superscript"/>
              </w:rPr>
              <w:t>(ii)</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6340" w:type="dxa"/>
            <w:vAlign w:val="bottom"/>
          </w:tcPr>
          <w:p>
            <w:pPr>
              <w:ind w:left="380"/>
              <w:spacing w:after="0"/>
              <w:rPr>
                <w:sz w:val="20"/>
                <w:szCs w:val="20"/>
                <w:color w:val="auto"/>
              </w:rPr>
            </w:pPr>
            <w:r>
              <w:rPr>
                <w:rFonts w:ascii="Arial" w:cs="Arial" w:eastAsia="Arial" w:hAnsi="Arial"/>
                <w:sz w:val="18"/>
                <w:szCs w:val="18"/>
                <w:color w:val="auto"/>
              </w:rPr>
              <w:t>TechnipFMC shares exchanged for Technip shares-Dilutive</w:t>
            </w: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6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TechnipFMC shares exchanged for FMCTI shares</w:t>
            </w:r>
          </w:p>
        </w:tc>
        <w:tc>
          <w:tcPr>
            <w:tcW w:w="920" w:type="dxa"/>
            <w:vAlign w:val="bottom"/>
            <w:tcBorders>
              <w:top w:val="single" w:sz="8" w:color="auto"/>
            </w:tcBorders>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FMCTI Shares outstanding</w:t>
            </w:r>
            <w:r>
              <w:rPr>
                <w:rFonts w:ascii="Arial" w:cs="Arial" w:eastAsia="Arial" w:hAnsi="Arial"/>
                <w:sz w:val="21"/>
                <w:szCs w:val="21"/>
                <w:color w:val="auto"/>
                <w:vertAlign w:val="superscript"/>
              </w:rPr>
              <w:t>(iv)</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70"/>
        </w:trPr>
        <w:tc>
          <w:tcPr>
            <w:tcW w:w="6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FMCTI Exchange Ratio</w:t>
            </w:r>
            <w:r>
              <w:rPr>
                <w:rFonts w:ascii="Arial" w:cs="Arial" w:eastAsia="Arial" w:hAnsi="Arial"/>
                <w:sz w:val="21"/>
                <w:szCs w:val="21"/>
                <w:color w:val="auto"/>
                <w:vertAlign w:val="superscript"/>
              </w:rPr>
              <w:t>(v)</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TechnipFMC shares to be exchanged for FMCTI shares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64"/>
        </w:trPr>
        <w:tc>
          <w:tcPr>
            <w:tcW w:w="63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r>
      <w:tr>
        <w:trPr>
          <w:trHeight w:val="27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TechnipFMC Shares exchanged for the year ended December 31, 2016-Basic</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466.6</w:t>
            </w: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color w:val="auto"/>
                <w:w w:val="99"/>
              </w:rPr>
              <w:t>TechnipFMC Shares exchanged for the year ended December 31, 2016-Diluted</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478.0</w:t>
            </w:r>
          </w:p>
        </w:tc>
      </w:tr>
      <w:tr>
        <w:trPr>
          <w:trHeight w:val="27"/>
        </w:trPr>
        <w:tc>
          <w:tcPr>
            <w:tcW w:w="6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1304" w:hanging="655"/>
        <w:spacing w:after="0" w:line="277" w:lineRule="auto"/>
        <w:tabs>
          <w:tab w:leader="none" w:pos="13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Number of shares of Technip common stock issued and outstanding, excluding treasury shares, as of January 16, 2017, which were exchanged for TechnipFMC shares.</w:t>
      </w:r>
    </w:p>
    <w:p>
      <w:pPr>
        <w:spacing w:after="0" w:line="62" w:lineRule="exact"/>
        <w:rPr>
          <w:rFonts w:ascii="Arial" w:cs="Arial" w:eastAsia="Arial" w:hAnsi="Arial"/>
          <w:sz w:val="18"/>
          <w:szCs w:val="18"/>
          <w:color w:val="auto"/>
        </w:rPr>
      </w:pPr>
    </w:p>
    <w:p>
      <w:pPr>
        <w:ind w:left="1304" w:hanging="655"/>
        <w:spacing w:after="0" w:line="257" w:lineRule="auto"/>
        <w:tabs>
          <w:tab w:leader="none" w:pos="13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 the business combination agreement, each option to purchase or subscribe for Technip shares granted under the employee and director stock plans of Technip, whether vested or unvested, that is outstanding immediately prior to the Technip Merger shall cease to represent a right to acquire Technip shares and shall be converted, at the time of the Technip Merger, into a TechnipFMC stock option on the same terms and conditions as were applicable to such Technip stock option immediately prior to the acquisition date.</w:t>
      </w:r>
    </w:p>
    <w:p>
      <w:pPr>
        <w:spacing w:after="0" w:line="80" w:lineRule="exact"/>
        <w:rPr>
          <w:rFonts w:ascii="Arial" w:cs="Arial" w:eastAsia="Arial" w:hAnsi="Arial"/>
          <w:sz w:val="18"/>
          <w:szCs w:val="18"/>
          <w:color w:val="auto"/>
        </w:rPr>
      </w:pPr>
    </w:p>
    <w:p>
      <w:pPr>
        <w:ind w:left="1304" w:hanging="655"/>
        <w:spacing w:after="0"/>
        <w:tabs>
          <w:tab w:leader="none" w:pos="1304" w:val="left"/>
        </w:tabs>
        <w:numPr>
          <w:ilvl w:val="1"/>
          <w:numId w:val="21"/>
        </w:numPr>
        <w:rPr>
          <w:rFonts w:ascii="Arial" w:cs="Arial" w:eastAsia="Arial" w:hAnsi="Arial"/>
          <w:sz w:val="17"/>
          <w:szCs w:val="17"/>
          <w:color w:val="auto"/>
        </w:rPr>
      </w:pPr>
      <w:r>
        <w:rPr>
          <w:rFonts w:ascii="Arial" w:cs="Arial" w:eastAsia="Arial" w:hAnsi="Arial"/>
          <w:sz w:val="17"/>
          <w:szCs w:val="17"/>
          <w:color w:val="auto"/>
        </w:rPr>
        <w:t>Number of dilutive Technip Shares based on the weighted average share calculation for the year ended December 31, 2016.</w:t>
      </w:r>
    </w:p>
    <w:p>
      <w:pPr>
        <w:spacing w:after="0" w:line="128" w:lineRule="exact"/>
        <w:rPr>
          <w:rFonts w:ascii="Arial" w:cs="Arial" w:eastAsia="Arial" w:hAnsi="Arial"/>
          <w:sz w:val="17"/>
          <w:szCs w:val="17"/>
          <w:color w:val="auto"/>
        </w:rPr>
      </w:pPr>
    </w:p>
    <w:p>
      <w:pPr>
        <w:ind w:left="1304" w:right="40" w:hanging="655"/>
        <w:spacing w:after="0" w:line="277" w:lineRule="auto"/>
        <w:tabs>
          <w:tab w:leader="none" w:pos="13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Number of shares of FMCTI common stock issued and outstanding, excluding treasury shares, as of January 16, 2017, which were exchanged for TechnipFMC Shares.</w:t>
      </w:r>
    </w:p>
    <w:p>
      <w:pPr>
        <w:spacing w:after="0" w:line="62" w:lineRule="exact"/>
        <w:rPr>
          <w:rFonts w:ascii="Arial" w:cs="Arial" w:eastAsia="Arial" w:hAnsi="Arial"/>
          <w:sz w:val="18"/>
          <w:szCs w:val="18"/>
          <w:color w:val="auto"/>
        </w:rPr>
      </w:pPr>
    </w:p>
    <w:p>
      <w:pPr>
        <w:ind w:left="1304" w:right="100" w:hanging="655"/>
        <w:spacing w:after="0" w:line="289" w:lineRule="auto"/>
        <w:tabs>
          <w:tab w:leader="none" w:pos="1304" w:val="left"/>
        </w:tabs>
        <w:numPr>
          <w:ilvl w:val="1"/>
          <w:numId w:val="21"/>
        </w:numPr>
        <w:rPr>
          <w:rFonts w:ascii="Arial" w:cs="Arial" w:eastAsia="Arial" w:hAnsi="Arial"/>
          <w:sz w:val="16"/>
          <w:szCs w:val="16"/>
          <w:color w:val="auto"/>
        </w:rPr>
      </w:pPr>
      <w:r>
        <w:rPr>
          <w:rFonts w:ascii="Arial" w:cs="Arial" w:eastAsia="Arial" w:hAnsi="Arial"/>
          <w:sz w:val="16"/>
          <w:szCs w:val="16"/>
          <w:color w:val="auto"/>
        </w:rPr>
        <w:t>Per the business combination agreement, each option to purchase or subscribe for FMCTI Shares granted under the Amended and Restated FMCTI Incentive Compensation and Stock Plan, whether vested or unvested, that was outstanding immediately prior to the FMCTI Merger ceased to represent a right to acquire FMCTI Shares and was converted, at the FMCTI Merger, into a TechnipFMC stock option on the same terms and conditions as were applicable to such FMCTI stock option immediately prior to the FMCTI Merger. Each Vesting FMCTI equity right immediately vested and was earned and payable pursuant to its terms immediately prior to the FMCTI Merger. Each unvested FMCTI equity right no longer relates to or represents a right to receive FMCTI Shares and was converted into a TechnipFMC equity right of the same type and on the same terms and conditions (including any minimum vesting and/or holding period with respect to the shares delivered upon the vesting of such awards) as were applicable to the corresponding unvested FMCTI equity right immediately prior to the FMCTI Merger.</w:t>
      </w:r>
    </w:p>
    <w:p>
      <w:pPr>
        <w:spacing w:after="0" w:line="166" w:lineRule="exact"/>
        <w:rPr>
          <w:rFonts w:ascii="Arial" w:cs="Arial" w:eastAsia="Arial" w:hAnsi="Arial"/>
          <w:sz w:val="16"/>
          <w:szCs w:val="16"/>
          <w:color w:val="auto"/>
        </w:rPr>
      </w:pPr>
    </w:p>
    <w:p>
      <w:pPr>
        <w:ind w:left="644" w:hanging="644"/>
        <w:spacing w:after="0"/>
        <w:tabs>
          <w:tab w:leader="none" w:pos="6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adjustments to consolidate Forsys Subsea, the 50/50 joint venture between FMCTI and Technip.</w:t>
      </w:r>
    </w:p>
    <w:p>
      <w:pPr>
        <w:spacing w:after="0" w:line="25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44"/>
          </w:cols>
          <w:pgMar w:left="896" w:top="584" w:right="259" w:bottom="1440" w:gutter="0" w:footer="0" w:header="0"/>
        </w:sectPr>
      </w:pPr>
    </w:p>
    <w:bookmarkStart w:id="66" w:name="page67"/>
    <w:bookmarkEnd w:id="66"/>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Adjustments to Technip Historical Financial Statements to Conform to U.S. GAAP</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Technip’s historical audited consolidated financial statements have been prepared in accordance with IFRS as issued by the IASB, which differs in certain material respects from U.S. GAAP. The unaudited pro forma condensed combined financial information includes a statement of income and a statement of financial position of Technip from the historical audited consolidated financial statements as of and for the year ended December 31, 2016, prepared in accordance with IFRS as issued by the IASB. The statement of income for the year ended December 31, 2016 and statement of financial position as of December 31, 2016 prepared under IFRS as issued by the IASB have been adjusted to reflect Technip’s consolidated statement of income and statement of financial position on a U.S. GAAP basis and translated from Euros to U.S. dollars, the reporting currency of the combined company using the exchange rates derived from the European Central Bank of 1.0541 as of December 31, 2016, and the average exchange rate of 1.1066 during the twelve months ended December 31, 2016. The reconciliation is as follows:</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580" w:right="319" w:bottom="1440" w:gutter="0" w:footer="0" w:header="0"/>
        </w:sectPr>
      </w:pPr>
    </w:p>
    <w:bookmarkStart w:id="67" w:name="page68"/>
    <w:bookmarkEnd w:id="67"/>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 PRO FORMA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117"/>
              <w:spacing w:after="0"/>
              <w:rPr>
                <w:sz w:val="20"/>
                <w:szCs w:val="20"/>
                <w:color w:val="auto"/>
              </w:rPr>
            </w:pPr>
            <w:r>
              <w:rPr>
                <w:rFonts w:ascii="Arial" w:cs="Arial" w:eastAsia="Arial" w:hAnsi="Arial"/>
                <w:sz w:val="13"/>
                <w:szCs w:val="13"/>
                <w:b w:val="1"/>
                <w:bCs w:val="1"/>
                <w:color w:val="auto"/>
                <w:w w:val="91"/>
              </w:rPr>
              <w:t>IFRS to U.S.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0"/>
              </w:rPr>
              <w:t>GAAP and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1"/>
              </w:rPr>
              <w:t>Historical</w:t>
            </w:r>
          </w:p>
        </w:tc>
        <w:tc>
          <w:tcPr>
            <w:tcW w:w="220" w:type="dxa"/>
            <w:vAlign w:val="bottom"/>
          </w:tcPr>
          <w:p>
            <w:pPr>
              <w:spacing w:after="0"/>
              <w:rPr>
                <w:sz w:val="11"/>
                <w:szCs w:val="11"/>
                <w:color w:val="auto"/>
              </w:rPr>
            </w:pPr>
          </w:p>
        </w:tc>
        <w:tc>
          <w:tcPr>
            <w:tcW w:w="102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7"/>
              </w:rPr>
              <w:t>Historical</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Historical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84"/>
              </w:rPr>
              <w:t>Reclassification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Adjusted</w:t>
            </w:r>
          </w:p>
        </w:tc>
        <w:tc>
          <w:tcPr>
            <w:tcW w:w="220" w:type="dxa"/>
            <w:vAlign w:val="bottom"/>
          </w:tcPr>
          <w:p>
            <w:pPr>
              <w:spacing w:after="0"/>
              <w:rPr>
                <w:sz w:val="11"/>
                <w:szCs w:val="11"/>
                <w:color w:val="auto"/>
              </w:rPr>
            </w:pPr>
          </w:p>
        </w:tc>
        <w:tc>
          <w:tcPr>
            <w:tcW w:w="102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6"/>
              </w:rPr>
              <w:t>Adjusted</w:t>
            </w:r>
          </w:p>
        </w:tc>
        <w:tc>
          <w:tcPr>
            <w:tcW w:w="0" w:type="dxa"/>
            <w:vAlign w:val="bottom"/>
          </w:tcPr>
          <w:p>
            <w:pPr>
              <w:spacing w:after="0"/>
              <w:rPr>
                <w:sz w:val="1"/>
                <w:szCs w:val="1"/>
                <w:color w:val="auto"/>
              </w:rPr>
            </w:pPr>
          </w:p>
        </w:tc>
      </w:tr>
      <w:tr>
        <w:trPr>
          <w:trHeight w:val="174"/>
        </w:trPr>
        <w:tc>
          <w:tcPr>
            <w:tcW w:w="538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5"/>
                <w:szCs w:val="15"/>
                <w:color w:val="auto"/>
              </w:rPr>
            </w:pPr>
          </w:p>
        </w:tc>
        <w:tc>
          <w:tcPr>
            <w:tcW w:w="1040" w:type="dxa"/>
            <w:vAlign w:val="bottom"/>
          </w:tcPr>
          <w:p>
            <w:pPr>
              <w:jc w:val="right"/>
              <w:ind w:right="357"/>
              <w:spacing w:after="0"/>
              <w:rPr>
                <w:sz w:val="20"/>
                <w:szCs w:val="20"/>
                <w:color w:val="auto"/>
              </w:rPr>
            </w:pPr>
            <w:r>
              <w:rPr>
                <w:rFonts w:ascii="Arial" w:cs="Arial" w:eastAsia="Arial" w:hAnsi="Arial"/>
                <w:sz w:val="13"/>
                <w:szCs w:val="13"/>
                <w:b w:val="1"/>
                <w:bCs w:val="1"/>
                <w:color w:val="auto"/>
              </w:rPr>
              <w:t>Technip</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7"/>
              <w:spacing w:after="0"/>
              <w:rPr>
                <w:sz w:val="20"/>
                <w:szCs w:val="20"/>
                <w:color w:val="auto"/>
              </w:rPr>
            </w:pPr>
            <w:r>
              <w:rPr>
                <w:rFonts w:ascii="Arial" w:cs="Arial" w:eastAsia="Arial" w:hAnsi="Arial"/>
                <w:sz w:val="13"/>
                <w:szCs w:val="13"/>
                <w:b w:val="1"/>
                <w:bCs w:val="1"/>
                <w:color w:val="auto"/>
                <w:w w:val="88"/>
              </w:rPr>
              <w:t>Adjustments</w:t>
            </w:r>
          </w:p>
        </w:tc>
        <w:tc>
          <w:tcPr>
            <w:tcW w:w="100" w:type="dxa"/>
            <w:vAlign w:val="bottom"/>
          </w:tcPr>
          <w:p>
            <w:pPr>
              <w:spacing w:after="0"/>
              <w:rPr>
                <w:sz w:val="15"/>
                <w:szCs w:val="15"/>
                <w:color w:val="auto"/>
              </w:rPr>
            </w:pPr>
          </w:p>
        </w:tc>
        <w:tc>
          <w:tcPr>
            <w:tcW w:w="900" w:type="dxa"/>
            <w:vAlign w:val="bottom"/>
            <w:gridSpan w:val="3"/>
          </w:tcPr>
          <w:p>
            <w:pPr>
              <w:ind w:left="140"/>
              <w:spacing w:after="0"/>
              <w:rPr>
                <w:sz w:val="20"/>
                <w:szCs w:val="20"/>
                <w:color w:val="auto"/>
              </w:rPr>
            </w:pPr>
            <w:r>
              <w:rPr>
                <w:rFonts w:ascii="Arial" w:cs="Arial" w:eastAsia="Arial" w:hAnsi="Arial"/>
                <w:sz w:val="13"/>
                <w:szCs w:val="13"/>
                <w:b w:val="1"/>
                <w:bCs w:val="1"/>
                <w:color w:val="auto"/>
              </w:rPr>
              <w:t>Notes</w:t>
            </w: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Technip</w:t>
            </w:r>
          </w:p>
        </w:tc>
        <w:tc>
          <w:tcPr>
            <w:tcW w:w="220" w:type="dxa"/>
            <w:vAlign w:val="bottom"/>
          </w:tcPr>
          <w:p>
            <w:pPr>
              <w:spacing w:after="0"/>
              <w:rPr>
                <w:sz w:val="15"/>
                <w:szCs w:val="15"/>
                <w:color w:val="auto"/>
              </w:rPr>
            </w:pPr>
          </w:p>
        </w:tc>
        <w:tc>
          <w:tcPr>
            <w:tcW w:w="1020" w:type="dxa"/>
            <w:vAlign w:val="bottom"/>
          </w:tcPr>
          <w:p>
            <w:pPr>
              <w:jc w:val="center"/>
              <w:ind w:right="157"/>
              <w:spacing w:after="0"/>
              <w:rPr>
                <w:sz w:val="20"/>
                <w:szCs w:val="20"/>
                <w:color w:val="auto"/>
              </w:rPr>
            </w:pPr>
            <w:r>
              <w:rPr>
                <w:rFonts w:ascii="Arial" w:cs="Arial" w:eastAsia="Arial" w:hAnsi="Arial"/>
                <w:sz w:val="13"/>
                <w:szCs w:val="13"/>
                <w:b w:val="1"/>
                <w:bCs w:val="1"/>
                <w:color w:val="auto"/>
                <w:w w:val="88"/>
              </w:rPr>
              <w:t>Technip</w:t>
            </w:r>
          </w:p>
        </w:tc>
        <w:tc>
          <w:tcPr>
            <w:tcW w:w="0" w:type="dxa"/>
            <w:vAlign w:val="bottom"/>
          </w:tcPr>
          <w:p>
            <w:pPr>
              <w:spacing w:after="0"/>
              <w:rPr>
                <w:sz w:val="1"/>
                <w:szCs w:val="1"/>
                <w:color w:val="auto"/>
              </w:rPr>
            </w:pPr>
          </w:p>
        </w:tc>
      </w:tr>
      <w:tr>
        <w:trPr>
          <w:trHeight w:val="257"/>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Property, Plant and Equipment, net</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2,485.6</w:t>
            </w:r>
          </w:p>
        </w:tc>
        <w:tc>
          <w:tcPr>
            <w:tcW w:w="12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2,485.6</w:t>
            </w:r>
          </w:p>
        </w:tc>
        <w:tc>
          <w:tcPr>
            <w:tcW w:w="120" w:type="dxa"/>
            <w:vAlign w:val="bottom"/>
          </w:tcPr>
          <w:p>
            <w:pPr>
              <w:spacing w:after="0"/>
              <w:rPr>
                <w:sz w:val="22"/>
                <w:szCs w:val="22"/>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2,620.1</w:t>
            </w: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Goodwill</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3,527.5</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3,527.5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3,718.4</w:t>
            </w: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Intangible Assets, net</w:t>
            </w:r>
          </w:p>
        </w:tc>
        <w:tc>
          <w:tcPr>
            <w:tcW w:w="24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3,769.8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(3,527.5)</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242.3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255.4</w:t>
            </w: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Investments in Equity Affiliates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177.8</w:t>
            </w: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Investments</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14.1</w:t>
            </w:r>
          </w:p>
        </w:tc>
        <w:tc>
          <w:tcPr>
            <w:tcW w:w="0" w:type="dxa"/>
            <w:vAlign w:val="bottom"/>
          </w:tcPr>
          <w:p>
            <w:pPr>
              <w:spacing w:after="0"/>
              <w:rPr>
                <w:sz w:val="1"/>
                <w:szCs w:val="1"/>
                <w:color w:val="auto"/>
              </w:rPr>
            </w:pPr>
          </w:p>
        </w:tc>
      </w:tr>
      <w:tr>
        <w:trPr>
          <w:trHeight w:val="262"/>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Financial Assets</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210.8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236.0</w:t>
            </w:r>
          </w:p>
        </w:tc>
        <w:tc>
          <w:tcPr>
            <w:tcW w:w="0" w:type="dxa"/>
            <w:vAlign w:val="bottom"/>
          </w:tcPr>
          <w:p>
            <w:pPr>
              <w:spacing w:after="0"/>
              <w:rPr>
                <w:sz w:val="1"/>
                <w:szCs w:val="1"/>
                <w:color w:val="auto"/>
              </w:rPr>
            </w:pPr>
          </w:p>
        </w:tc>
      </w:tr>
      <w:tr>
        <w:trPr>
          <w:trHeight w:val="286"/>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380" w:type="dxa"/>
            <w:vAlign w:val="bottom"/>
          </w:tcPr>
          <w:p>
            <w:pPr>
              <w:ind w:left="40"/>
              <w:spacing w:after="0"/>
              <w:rPr>
                <w:sz w:val="20"/>
                <w:szCs w:val="20"/>
                <w:color w:val="auto"/>
              </w:rPr>
            </w:pPr>
            <w:r>
              <w:rPr>
                <w:rFonts w:ascii="Arial" w:cs="Arial" w:eastAsia="Arial" w:hAnsi="Arial"/>
                <w:sz w:val="13"/>
                <w:szCs w:val="13"/>
                <w:color w:val="auto"/>
              </w:rPr>
              <w:t>Deferred Tax Assets</w:t>
            </w:r>
          </w:p>
        </w:tc>
        <w:tc>
          <w:tcPr>
            <w:tcW w:w="24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560.7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6(d)</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568.7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599.5</w:t>
            </w:r>
          </w:p>
        </w:tc>
        <w:tc>
          <w:tcPr>
            <w:tcW w:w="0" w:type="dxa"/>
            <w:vAlign w:val="bottom"/>
          </w:tcPr>
          <w:p>
            <w:pPr>
              <w:spacing w:after="0"/>
              <w:rPr>
                <w:sz w:val="1"/>
                <w:szCs w:val="1"/>
                <w:color w:val="auto"/>
              </w:rPr>
            </w:pPr>
          </w:p>
        </w:tc>
      </w:tr>
      <w:tr>
        <w:trPr>
          <w:trHeight w:val="278"/>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4"/>
                <w:szCs w:val="24"/>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Available-For-Sale Financial Assets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5380" w:type="dxa"/>
            <w:vAlign w:val="bottom"/>
          </w:tcPr>
          <w:p>
            <w:pPr>
              <w:ind w:left="40"/>
              <w:spacing w:after="0"/>
              <w:rPr>
                <w:sz w:val="20"/>
                <w:szCs w:val="20"/>
                <w:color w:val="auto"/>
              </w:rPr>
            </w:pPr>
            <w:r>
              <w:rPr>
                <w:rFonts w:ascii="Arial" w:cs="Arial" w:eastAsia="Arial" w:hAnsi="Arial"/>
                <w:sz w:val="13"/>
                <w:szCs w:val="13"/>
                <w:b w:val="1"/>
                <w:bCs w:val="1"/>
                <w:color w:val="auto"/>
              </w:rPr>
              <w:t>Total Non-Current Assets</w:t>
            </w: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7,222.1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7,230.1</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7,621.3</w:t>
            </w: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Inventories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317.5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334.7</w:t>
            </w: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Construction Contracts-Amounts in Assets</w:t>
            </w:r>
          </w:p>
        </w:tc>
        <w:tc>
          <w:tcPr>
            <w:tcW w:w="24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460.8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460.8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485.7</w:t>
            </w: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Advances Paid to Suppliers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(675.0)</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Financial Instruments</w:t>
            </w:r>
          </w:p>
        </w:tc>
        <w:tc>
          <w:tcPr>
            <w:tcW w:w="24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225.8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225.8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238.0</w:t>
            </w: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Trade Receivables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1,920.6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1,920.6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2,024.5</w:t>
            </w: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Current Income Tax Receivables</w:t>
            </w:r>
          </w:p>
        </w:tc>
        <w:tc>
          <w:tcPr>
            <w:tcW w:w="24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251.4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251.4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265.0</w:t>
            </w:r>
          </w:p>
        </w:tc>
        <w:tc>
          <w:tcPr>
            <w:tcW w:w="0" w:type="dxa"/>
            <w:vAlign w:val="bottom"/>
          </w:tcPr>
          <w:p>
            <w:pPr>
              <w:spacing w:after="0"/>
              <w:rPr>
                <w:sz w:val="1"/>
                <w:szCs w:val="1"/>
                <w:color w:val="auto"/>
              </w:rPr>
            </w:pPr>
          </w:p>
        </w:tc>
      </w:tr>
      <w:tr>
        <w:trPr>
          <w:trHeight w:val="262"/>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Current Receivables</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1,433.2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1,510.7</w:t>
            </w:r>
          </w:p>
        </w:tc>
        <w:tc>
          <w:tcPr>
            <w:tcW w:w="0" w:type="dxa"/>
            <w:vAlign w:val="bottom"/>
          </w:tcPr>
          <w:p>
            <w:pPr>
              <w:spacing w:after="0"/>
              <w:rPr>
                <w:sz w:val="1"/>
                <w:szCs w:val="1"/>
                <w:color w:val="auto"/>
              </w:rPr>
            </w:pPr>
          </w:p>
        </w:tc>
      </w:tr>
      <w:tr>
        <w:trPr>
          <w:trHeight w:val="286"/>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675.0</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Cash and Cash Equivalents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5,947.6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5,947.6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6,269.4</w:t>
            </w: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Current Assets</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10,554.8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10,556.9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11,128.0</w:t>
            </w: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3"/>
                <w:szCs w:val="13"/>
                <w:color w:val="auto"/>
              </w:rPr>
              <w:t>Assets Classified as Held for Sale</w:t>
            </w:r>
          </w:p>
        </w:tc>
        <w:tc>
          <w:tcPr>
            <w:tcW w:w="24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17,779.0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17,787.0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18,749.3</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Equity and Liabilities</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 Capital</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95.8</w:t>
            </w: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Share Premium</w:t>
            </w:r>
          </w:p>
        </w:tc>
        <w:tc>
          <w:tcPr>
            <w:tcW w:w="24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2,136.6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2,136.6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2,252.2</w:t>
            </w:r>
          </w:p>
        </w:tc>
        <w:tc>
          <w:tcPr>
            <w:tcW w:w="0" w:type="dxa"/>
            <w:vAlign w:val="bottom"/>
          </w:tcPr>
          <w:p>
            <w:pPr>
              <w:spacing w:after="0"/>
              <w:rPr>
                <w:sz w:val="1"/>
                <w:szCs w:val="1"/>
                <w:color w:val="auto"/>
              </w:rPr>
            </w:pPr>
          </w:p>
        </w:tc>
      </w:tr>
      <w:tr>
        <w:trPr>
          <w:trHeight w:val="262"/>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Retained Earnings</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2,273.3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(92.0)</w:t>
            </w: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w w:val="86"/>
              </w:rPr>
              <w:t>6(a)</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2,566.8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2,705.7</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w w:val="86"/>
              </w:rPr>
              <w:t>6(b)</w:t>
            </w: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w w:val="86"/>
              </w:rPr>
              <w:t>6(d)</w:t>
            </w: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w w:val="86"/>
              </w:rPr>
              <w:t>6(e)</w:t>
            </w: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387.5</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Treasury Shares</w:t>
            </w:r>
          </w:p>
        </w:tc>
        <w:tc>
          <w:tcPr>
            <w:tcW w:w="24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Foreign Currency Translation Reserves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4"/>
        </w:trPr>
        <w:tc>
          <w:tcPr>
            <w:tcW w:w="5380" w:type="dxa"/>
            <w:vAlign w:val="bottom"/>
          </w:tcPr>
          <w:p>
            <w:pPr>
              <w:ind w:left="40"/>
              <w:spacing w:after="0"/>
              <w:rPr>
                <w:sz w:val="20"/>
                <w:szCs w:val="20"/>
                <w:color w:val="auto"/>
              </w:rPr>
            </w:pPr>
            <w:r>
              <w:rPr>
                <w:rFonts w:ascii="Arial" w:cs="Arial" w:eastAsia="Arial" w:hAnsi="Arial"/>
                <w:sz w:val="13"/>
                <w:szCs w:val="13"/>
                <w:color w:val="auto"/>
              </w:rPr>
              <w:t>Fair Value Reserves</w:t>
            </w:r>
          </w:p>
        </w:tc>
        <w:tc>
          <w:tcPr>
            <w:tcW w:w="24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(154.4)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6(a)</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23"/>
                <w:szCs w:val="23"/>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6(e)</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159.1</w:t>
            </w:r>
          </w:p>
        </w:tc>
        <w:tc>
          <w:tcPr>
            <w:tcW w:w="100" w:type="dxa"/>
            <w:vAlign w:val="bottom"/>
          </w:tcPr>
          <w:p>
            <w:pPr>
              <w:spacing w:after="0"/>
              <w:rPr>
                <w:sz w:val="24"/>
                <w:szCs w:val="24"/>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Accumulated Other Comprehensive Income/(Loss)</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199.0</w:t>
            </w: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42.1</w:t>
            </w:r>
          </w:p>
        </w:tc>
        <w:tc>
          <w:tcPr>
            <w:tcW w:w="0" w:type="dxa"/>
            <w:vAlign w:val="bottom"/>
          </w:tcPr>
          <w:p>
            <w:pPr>
              <w:spacing w:after="0"/>
              <w:rPr>
                <w:sz w:val="1"/>
                <w:szCs w:val="1"/>
                <w:color w:val="auto"/>
              </w:rPr>
            </w:pPr>
          </w:p>
        </w:tc>
      </w:tr>
      <w:tr>
        <w:trPr>
          <w:trHeight w:val="286"/>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(159.1)</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3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24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281.3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(387.5)</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89.4</w:t>
            </w:r>
          </w:p>
        </w:tc>
        <w:tc>
          <w:tcPr>
            <w:tcW w:w="100" w:type="dxa"/>
            <w:vAlign w:val="bottom"/>
          </w:tcPr>
          <w:p>
            <w:pPr>
              <w:spacing w:after="0"/>
              <w:rPr>
                <w:sz w:val="23"/>
                <w:szCs w:val="23"/>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6(a)</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23"/>
                <w:szCs w:val="23"/>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6(b)</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3"/>
                <w:szCs w:val="23"/>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6(d)</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24"/>
                <w:szCs w:val="24"/>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Equity Attributable to Shareholders of the Parent Company</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4,804.6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4,812.1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5,072.5</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Non-Controlling Interests</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Equity</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4,793.5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4,801.0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5,060.8</w:t>
            </w: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Non-Current Financial Debts</w:t>
            </w:r>
          </w:p>
        </w:tc>
        <w:tc>
          <w:tcPr>
            <w:tcW w:w="24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1,573.4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1,573.4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1,658.5</w:t>
            </w: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Accrued Pensions and Other Post-Retirement Benefits, less Current Portion</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191.8</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202.2</w:t>
            </w:r>
          </w:p>
        </w:tc>
        <w:tc>
          <w:tcPr>
            <w:tcW w:w="0" w:type="dxa"/>
            <w:vAlign w:val="bottom"/>
          </w:tcPr>
          <w:p>
            <w:pPr>
              <w:spacing w:after="0"/>
              <w:rPr>
                <w:sz w:val="1"/>
                <w:szCs w:val="1"/>
                <w:color w:val="auto"/>
              </w:rPr>
            </w:pPr>
          </w:p>
        </w:tc>
      </w:tr>
      <w:tr>
        <w:trPr>
          <w:trHeight w:val="254"/>
        </w:trPr>
        <w:tc>
          <w:tcPr>
            <w:tcW w:w="5380" w:type="dxa"/>
            <w:vAlign w:val="bottom"/>
          </w:tcPr>
          <w:p>
            <w:pPr>
              <w:ind w:left="40"/>
              <w:spacing w:after="0"/>
              <w:rPr>
                <w:sz w:val="20"/>
                <w:szCs w:val="20"/>
                <w:color w:val="auto"/>
              </w:rPr>
            </w:pPr>
            <w:r>
              <w:rPr>
                <w:rFonts w:ascii="Arial" w:cs="Arial" w:eastAsia="Arial" w:hAnsi="Arial"/>
                <w:sz w:val="13"/>
                <w:szCs w:val="13"/>
                <w:color w:val="auto"/>
              </w:rPr>
              <w:t>Non-Current Provisions</w:t>
            </w:r>
          </w:p>
        </w:tc>
        <w:tc>
          <w:tcPr>
            <w:tcW w:w="24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276.2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(191.8)</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(84.4)</w:t>
            </w:r>
          </w:p>
        </w:tc>
        <w:tc>
          <w:tcPr>
            <w:tcW w:w="100" w:type="dxa"/>
            <w:vAlign w:val="bottom"/>
          </w:tcPr>
          <w:p>
            <w:pPr>
              <w:spacing w:after="0"/>
              <w:rPr>
                <w:sz w:val="24"/>
                <w:szCs w:val="24"/>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Deferred Tax Liabilities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153.8</w:t>
            </w:r>
          </w:p>
        </w:tc>
        <w:tc>
          <w:tcPr>
            <w:tcW w:w="0" w:type="dxa"/>
            <w:vAlign w:val="bottom"/>
          </w:tcPr>
          <w:p>
            <w:pPr>
              <w:spacing w:after="0"/>
              <w:rPr>
                <w:sz w:val="1"/>
                <w:szCs w:val="1"/>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3"/>
                <w:szCs w:val="13"/>
                <w:color w:val="auto"/>
              </w:rPr>
              <w:t>Other Non-Current Liabilities</w:t>
            </w:r>
          </w:p>
        </w:tc>
        <w:tc>
          <w:tcPr>
            <w:tcW w:w="24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84.4</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111.2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117.2</w:t>
            </w:r>
          </w:p>
        </w:tc>
        <w:tc>
          <w:tcPr>
            <w:tcW w:w="0" w:type="dxa"/>
            <w:vAlign w:val="bottom"/>
          </w:tcPr>
          <w:p>
            <w:pPr>
              <w:spacing w:after="0"/>
              <w:rPr>
                <w:sz w:val="1"/>
                <w:szCs w:val="1"/>
                <w:color w:val="auto"/>
              </w:rPr>
            </w:pPr>
          </w:p>
        </w:tc>
      </w:tr>
      <w:tr>
        <w:trPr>
          <w:trHeight w:val="257"/>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Non-Current Liabilities</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2,022.3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2,022.3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2,131.7</w:t>
            </w:r>
          </w:p>
        </w:tc>
        <w:tc>
          <w:tcPr>
            <w:tcW w:w="0" w:type="dxa"/>
            <w:vAlign w:val="bottom"/>
          </w:tcPr>
          <w:p>
            <w:pPr>
              <w:spacing w:after="0"/>
              <w:rPr>
                <w:sz w:val="1"/>
                <w:szCs w:val="1"/>
                <w:color w:val="auto"/>
              </w:rPr>
            </w:pPr>
          </w:p>
        </w:tc>
      </w:tr>
    </w:tbl>
    <w:p>
      <w:pPr>
        <w:sectPr>
          <w:pgSz w:w="11900" w:h="16843" w:orient="portrait"/>
          <w:cols w:equalWidth="0" w:num="1">
            <w:col w:w="11420"/>
          </w:cols>
          <w:pgMar w:left="240" w:top="580" w:right="2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380" w:type="dxa"/>
            <w:vAlign w:val="bottom"/>
          </w:tcPr>
          <w:p>
            <w:pPr>
              <w:ind w:left="40"/>
              <w:spacing w:after="0"/>
              <w:rPr>
                <w:sz w:val="20"/>
                <w:szCs w:val="20"/>
                <w:color w:val="auto"/>
              </w:rPr>
            </w:pPr>
            <w:r>
              <w:rPr>
                <w:rFonts w:ascii="Arial" w:cs="Arial" w:eastAsia="Arial" w:hAnsi="Arial"/>
                <w:sz w:val="13"/>
                <w:szCs w:val="13"/>
                <w:color w:val="auto"/>
              </w:rPr>
              <w:t>Current Financial Debts</w:t>
            </w:r>
          </w:p>
        </w:tc>
        <w:tc>
          <w:tcPr>
            <w:tcW w:w="400" w:type="dxa"/>
            <w:vAlign w:val="bottom"/>
          </w:tcPr>
          <w:p>
            <w:pPr>
              <w:spacing w:after="0"/>
              <w:rPr>
                <w:sz w:val="13"/>
                <w:szCs w:val="13"/>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848.5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848.5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894.4</w:t>
            </w:r>
          </w:p>
        </w:tc>
      </w:tr>
      <w:tr>
        <w:trPr>
          <w:trHeight w:val="97"/>
        </w:trPr>
        <w:tc>
          <w:tcPr>
            <w:tcW w:w="5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Trade Payables</w:t>
            </w: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3,684.0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3,684.0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3,883.3</w:t>
            </w: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Construction Contracts-Amounts in Liabilities</w:t>
            </w:r>
          </w:p>
        </w:tc>
        <w:tc>
          <w:tcPr>
            <w:tcW w:w="40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3,191.3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0.5</w:t>
            </w:r>
          </w:p>
        </w:tc>
        <w:tc>
          <w:tcPr>
            <w:tcW w:w="1180" w:type="dxa"/>
            <w:vAlign w:val="bottom"/>
            <w:gridSpan w:val="2"/>
          </w:tcPr>
          <w:p>
            <w:pPr>
              <w:jc w:val="center"/>
              <w:ind w:right="357"/>
              <w:spacing w:after="0"/>
              <w:rPr>
                <w:sz w:val="20"/>
                <w:szCs w:val="20"/>
                <w:color w:val="auto"/>
              </w:rPr>
            </w:pPr>
            <w:r>
              <w:rPr>
                <w:rFonts w:ascii="Arial" w:cs="Arial" w:eastAsia="Arial" w:hAnsi="Arial"/>
                <w:sz w:val="13"/>
                <w:szCs w:val="13"/>
                <w:color w:val="auto"/>
                <w:w w:val="86"/>
              </w:rPr>
              <w:t>6(d)</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3,191.8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3,364.5</w:t>
            </w: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Financial Instruments</w:t>
            </w: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556.6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556.6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586.7</w:t>
            </w: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Current Provisions</w:t>
            </w:r>
          </w:p>
        </w:tc>
        <w:tc>
          <w:tcPr>
            <w:tcW w:w="40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658.9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(658.9)</w:t>
            </w:r>
          </w:p>
        </w:tc>
        <w:tc>
          <w:tcPr>
            <w:tcW w:w="1180" w:type="dxa"/>
            <w:vAlign w:val="bottom"/>
            <w:gridSpan w:val="2"/>
          </w:tcPr>
          <w:p>
            <w:pPr>
              <w:jc w:val="center"/>
              <w:ind w:right="357"/>
              <w:spacing w:after="0"/>
              <w:rPr>
                <w:sz w:val="20"/>
                <w:szCs w:val="20"/>
                <w:color w:val="auto"/>
              </w:rPr>
            </w:pPr>
            <w:r>
              <w:rPr>
                <w:rFonts w:ascii="Arial" w:cs="Arial" w:eastAsia="Arial" w:hAnsi="Arial"/>
                <w:sz w:val="13"/>
                <w:szCs w:val="13"/>
                <w:color w:val="auto"/>
              </w:rPr>
              <w:t>6(f)</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Current Income Tax Payables</w:t>
            </w: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301.2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301.2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317.5</w:t>
            </w: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Advance Payments</w:t>
            </w: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390.0</w:t>
            </w:r>
          </w:p>
        </w:tc>
        <w:tc>
          <w:tcPr>
            <w:tcW w:w="1180" w:type="dxa"/>
            <w:vAlign w:val="bottom"/>
            <w:gridSpan w:val="2"/>
          </w:tcPr>
          <w:p>
            <w:pPr>
              <w:jc w:val="center"/>
              <w:ind w:right="357"/>
              <w:spacing w:after="0"/>
              <w:rPr>
                <w:sz w:val="20"/>
                <w:szCs w:val="20"/>
                <w:color w:val="auto"/>
              </w:rPr>
            </w:pPr>
            <w:r>
              <w:rPr>
                <w:rFonts w:ascii="Arial" w:cs="Arial" w:eastAsia="Arial" w:hAnsi="Arial"/>
                <w:sz w:val="13"/>
                <w:szCs w:val="13"/>
                <w:color w:val="auto"/>
              </w:rPr>
              <w:t>6(f)</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390.0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411.1</w:t>
            </w:r>
          </w:p>
        </w:tc>
      </w:tr>
      <w:tr>
        <w:trPr>
          <w:trHeight w:val="262"/>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Current Liabilities</w:t>
            </w: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1,722.7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658.9</w:t>
            </w:r>
          </w:p>
        </w:tc>
        <w:tc>
          <w:tcPr>
            <w:tcW w:w="1180" w:type="dxa"/>
            <w:vAlign w:val="bottom"/>
            <w:gridSpan w:val="2"/>
            <w:shd w:val="clear" w:color="auto" w:fill="CCEEFF"/>
          </w:tcPr>
          <w:p>
            <w:pPr>
              <w:jc w:val="center"/>
              <w:ind w:right="357"/>
              <w:spacing w:after="0"/>
              <w:rPr>
                <w:sz w:val="20"/>
                <w:szCs w:val="20"/>
                <w:color w:val="auto"/>
              </w:rPr>
            </w:pPr>
            <w:r>
              <w:rPr>
                <w:rFonts w:ascii="Arial" w:cs="Arial" w:eastAsia="Arial" w:hAnsi="Arial"/>
                <w:sz w:val="13"/>
                <w:szCs w:val="13"/>
                <w:color w:val="auto"/>
              </w:rPr>
              <w:t>6(f)</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1,991.6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2,099.3</w:t>
            </w:r>
          </w:p>
        </w:tc>
      </w:tr>
      <w:tr>
        <w:trPr>
          <w:trHeight w:val="286"/>
        </w:trPr>
        <w:tc>
          <w:tcPr>
            <w:tcW w:w="5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(390.0)</w:t>
            </w:r>
          </w:p>
        </w:tc>
        <w:tc>
          <w:tcPr>
            <w:tcW w:w="1180" w:type="dxa"/>
            <w:vAlign w:val="bottom"/>
            <w:gridSpan w:val="2"/>
            <w:shd w:val="clear" w:color="auto" w:fill="CCEEFF"/>
          </w:tcPr>
          <w:p>
            <w:pPr>
              <w:jc w:val="center"/>
              <w:ind w:right="357"/>
              <w:spacing w:after="0"/>
              <w:rPr>
                <w:sz w:val="20"/>
                <w:szCs w:val="20"/>
                <w:color w:val="auto"/>
              </w:rPr>
            </w:pPr>
            <w:r>
              <w:rPr>
                <w:rFonts w:ascii="Arial" w:cs="Arial" w:eastAsia="Arial" w:hAnsi="Arial"/>
                <w:sz w:val="13"/>
                <w:szCs w:val="13"/>
                <w:color w:val="auto"/>
              </w:rPr>
              <w:t>6(f)</w:t>
            </w: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2"/>
        </w:trPr>
        <w:tc>
          <w:tcPr>
            <w:tcW w:w="5380" w:type="dxa"/>
            <w:vAlign w:val="bottom"/>
          </w:tcPr>
          <w:p>
            <w:pPr>
              <w:ind w:left="40"/>
              <w:spacing w:after="0"/>
              <w:rPr>
                <w:sz w:val="20"/>
                <w:szCs w:val="20"/>
                <w:color w:val="auto"/>
              </w:rPr>
            </w:pPr>
            <w:r>
              <w:rPr>
                <w:rFonts w:ascii="Arial" w:cs="Arial" w:eastAsia="Arial" w:hAnsi="Arial"/>
                <w:sz w:val="13"/>
                <w:szCs w:val="13"/>
                <w:b w:val="1"/>
                <w:bCs w:val="1"/>
                <w:color w:val="auto"/>
              </w:rPr>
              <w:t>Total Current Liabilities</w:t>
            </w: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10,963.2</w:t>
            </w:r>
          </w:p>
        </w:tc>
        <w:tc>
          <w:tcPr>
            <w:tcW w:w="1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7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10,963.7</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11,556.8</w:t>
            </w:r>
          </w:p>
        </w:tc>
      </w:tr>
      <w:tr>
        <w:trPr>
          <w:trHeight w:val="272"/>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Liabilities</w:t>
            </w:r>
          </w:p>
        </w:tc>
        <w:tc>
          <w:tcPr>
            <w:tcW w:w="4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12,985.5</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78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12,986.0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13,688.5</w:t>
            </w:r>
          </w:p>
        </w:tc>
      </w:tr>
      <w:tr>
        <w:trPr>
          <w:trHeight w:val="242"/>
        </w:trPr>
        <w:tc>
          <w:tcPr>
            <w:tcW w:w="5380" w:type="dxa"/>
            <w:vAlign w:val="bottom"/>
          </w:tcPr>
          <w:p>
            <w:pPr>
              <w:ind w:left="40"/>
              <w:spacing w:after="0"/>
              <w:rPr>
                <w:sz w:val="20"/>
                <w:szCs w:val="20"/>
                <w:color w:val="auto"/>
              </w:rPr>
            </w:pPr>
            <w:r>
              <w:rPr>
                <w:rFonts w:ascii="Arial" w:cs="Arial" w:eastAsia="Arial" w:hAnsi="Arial"/>
                <w:sz w:val="13"/>
                <w:szCs w:val="13"/>
                <w:b w:val="1"/>
                <w:bCs w:val="1"/>
                <w:color w:val="auto"/>
              </w:rPr>
              <w:t>Total Equity and Liabilities</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17,779.0</w:t>
            </w:r>
          </w:p>
        </w:tc>
        <w:tc>
          <w:tcPr>
            <w:tcW w:w="120" w:type="dxa"/>
            <w:vAlign w:val="bottom"/>
          </w:tcPr>
          <w:p>
            <w:pPr>
              <w:spacing w:after="0"/>
              <w:rPr>
                <w:sz w:val="21"/>
                <w:szCs w:val="21"/>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8.0</w:t>
            </w:r>
          </w:p>
        </w:tc>
        <w:tc>
          <w:tcPr>
            <w:tcW w:w="780" w:type="dxa"/>
            <w:vAlign w:val="bottom"/>
          </w:tcPr>
          <w:p>
            <w:pPr>
              <w:spacing w:after="0"/>
              <w:rPr>
                <w:sz w:val="21"/>
                <w:szCs w:val="21"/>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17,787.0</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18,749.3</w:t>
            </w:r>
          </w:p>
        </w:tc>
      </w:tr>
      <w:tr>
        <w:trPr>
          <w:trHeight w:val="20"/>
        </w:trPr>
        <w:tc>
          <w:tcPr>
            <w:tcW w:w="5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TECHNIP PRO FORMA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TWELVE MONTHS ENDED DECEMBER 31, 2016</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117"/>
              <w:spacing w:after="0"/>
              <w:rPr>
                <w:sz w:val="20"/>
                <w:szCs w:val="20"/>
                <w:color w:val="auto"/>
              </w:rPr>
            </w:pPr>
            <w:r>
              <w:rPr>
                <w:rFonts w:ascii="Arial" w:cs="Arial" w:eastAsia="Arial" w:hAnsi="Arial"/>
                <w:sz w:val="13"/>
                <w:szCs w:val="13"/>
                <w:b w:val="1"/>
                <w:bCs w:val="1"/>
                <w:color w:val="auto"/>
                <w:w w:val="91"/>
              </w:rPr>
              <w:t>IFRS to U.S.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0"/>
              </w:rPr>
              <w:t>GAAP and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1"/>
              </w:rPr>
              <w:t>Historical</w:t>
            </w:r>
          </w:p>
        </w:tc>
        <w:tc>
          <w:tcPr>
            <w:tcW w:w="220" w:type="dxa"/>
            <w:vAlign w:val="bottom"/>
          </w:tcPr>
          <w:p>
            <w:pPr>
              <w:spacing w:after="0"/>
              <w:rPr>
                <w:sz w:val="11"/>
                <w:szCs w:val="11"/>
                <w:color w:val="auto"/>
              </w:rPr>
            </w:pPr>
          </w:p>
        </w:tc>
        <w:tc>
          <w:tcPr>
            <w:tcW w:w="102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7"/>
              </w:rPr>
              <w:t>Historical</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Historical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84"/>
              </w:rPr>
              <w:t>Reclassification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Adjusted</w:t>
            </w:r>
          </w:p>
        </w:tc>
        <w:tc>
          <w:tcPr>
            <w:tcW w:w="220" w:type="dxa"/>
            <w:vAlign w:val="bottom"/>
          </w:tcPr>
          <w:p>
            <w:pPr>
              <w:spacing w:after="0"/>
              <w:rPr>
                <w:sz w:val="11"/>
                <w:szCs w:val="11"/>
                <w:color w:val="auto"/>
              </w:rPr>
            </w:pPr>
          </w:p>
        </w:tc>
        <w:tc>
          <w:tcPr>
            <w:tcW w:w="102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86"/>
              </w:rPr>
              <w:t>Adjusted</w:t>
            </w:r>
          </w:p>
        </w:tc>
        <w:tc>
          <w:tcPr>
            <w:tcW w:w="0" w:type="dxa"/>
            <w:vAlign w:val="bottom"/>
          </w:tcPr>
          <w:p>
            <w:pPr>
              <w:spacing w:after="0"/>
              <w:rPr>
                <w:sz w:val="1"/>
                <w:szCs w:val="1"/>
                <w:color w:val="auto"/>
              </w:rPr>
            </w:pPr>
          </w:p>
        </w:tc>
      </w:tr>
      <w:tr>
        <w:trPr>
          <w:trHeight w:val="174"/>
        </w:trPr>
        <w:tc>
          <w:tcPr>
            <w:tcW w:w="538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15"/>
                <w:szCs w:val="15"/>
                <w:color w:val="auto"/>
              </w:rPr>
            </w:pPr>
          </w:p>
        </w:tc>
        <w:tc>
          <w:tcPr>
            <w:tcW w:w="1040" w:type="dxa"/>
            <w:vAlign w:val="bottom"/>
          </w:tcPr>
          <w:p>
            <w:pPr>
              <w:jc w:val="right"/>
              <w:ind w:right="357"/>
              <w:spacing w:after="0"/>
              <w:rPr>
                <w:sz w:val="20"/>
                <w:szCs w:val="20"/>
                <w:color w:val="auto"/>
              </w:rPr>
            </w:pPr>
            <w:r>
              <w:rPr>
                <w:rFonts w:ascii="Arial" w:cs="Arial" w:eastAsia="Arial" w:hAnsi="Arial"/>
                <w:sz w:val="13"/>
                <w:szCs w:val="13"/>
                <w:b w:val="1"/>
                <w:bCs w:val="1"/>
                <w:color w:val="auto"/>
              </w:rPr>
              <w:t>Technip</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7"/>
              <w:spacing w:after="0"/>
              <w:rPr>
                <w:sz w:val="20"/>
                <w:szCs w:val="20"/>
                <w:color w:val="auto"/>
              </w:rPr>
            </w:pPr>
            <w:r>
              <w:rPr>
                <w:rFonts w:ascii="Arial" w:cs="Arial" w:eastAsia="Arial" w:hAnsi="Arial"/>
                <w:sz w:val="13"/>
                <w:szCs w:val="13"/>
                <w:b w:val="1"/>
                <w:bCs w:val="1"/>
                <w:color w:val="auto"/>
                <w:w w:val="88"/>
              </w:rPr>
              <w:t>Adjustments</w:t>
            </w:r>
          </w:p>
        </w:tc>
        <w:tc>
          <w:tcPr>
            <w:tcW w:w="100" w:type="dxa"/>
            <w:vAlign w:val="bottom"/>
          </w:tcPr>
          <w:p>
            <w:pPr>
              <w:spacing w:after="0"/>
              <w:rPr>
                <w:sz w:val="15"/>
                <w:szCs w:val="15"/>
                <w:color w:val="auto"/>
              </w:rPr>
            </w:pPr>
          </w:p>
        </w:tc>
        <w:tc>
          <w:tcPr>
            <w:tcW w:w="900" w:type="dxa"/>
            <w:vAlign w:val="bottom"/>
            <w:gridSpan w:val="3"/>
          </w:tcPr>
          <w:p>
            <w:pPr>
              <w:ind w:left="140"/>
              <w:spacing w:after="0"/>
              <w:rPr>
                <w:sz w:val="20"/>
                <w:szCs w:val="20"/>
                <w:color w:val="auto"/>
              </w:rPr>
            </w:pPr>
            <w:r>
              <w:rPr>
                <w:rFonts w:ascii="Arial" w:cs="Arial" w:eastAsia="Arial" w:hAnsi="Arial"/>
                <w:sz w:val="13"/>
                <w:szCs w:val="13"/>
                <w:b w:val="1"/>
                <w:bCs w:val="1"/>
                <w:color w:val="auto"/>
              </w:rPr>
              <w:t>Notes</w:t>
            </w: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Technip</w:t>
            </w:r>
          </w:p>
        </w:tc>
        <w:tc>
          <w:tcPr>
            <w:tcW w:w="220" w:type="dxa"/>
            <w:vAlign w:val="bottom"/>
          </w:tcPr>
          <w:p>
            <w:pPr>
              <w:spacing w:after="0"/>
              <w:rPr>
                <w:sz w:val="15"/>
                <w:szCs w:val="15"/>
                <w:color w:val="auto"/>
              </w:rPr>
            </w:pPr>
          </w:p>
        </w:tc>
        <w:tc>
          <w:tcPr>
            <w:tcW w:w="1020" w:type="dxa"/>
            <w:vAlign w:val="bottom"/>
          </w:tcPr>
          <w:p>
            <w:pPr>
              <w:jc w:val="center"/>
              <w:ind w:right="157"/>
              <w:spacing w:after="0"/>
              <w:rPr>
                <w:sz w:val="20"/>
                <w:szCs w:val="20"/>
                <w:color w:val="auto"/>
              </w:rPr>
            </w:pPr>
            <w:r>
              <w:rPr>
                <w:rFonts w:ascii="Arial" w:cs="Arial" w:eastAsia="Arial" w:hAnsi="Arial"/>
                <w:sz w:val="13"/>
                <w:szCs w:val="13"/>
                <w:b w:val="1"/>
                <w:bCs w:val="1"/>
                <w:color w:val="auto"/>
                <w:w w:val="88"/>
              </w:rPr>
              <w:t>Technip</w:t>
            </w:r>
          </w:p>
        </w:tc>
        <w:tc>
          <w:tcPr>
            <w:tcW w:w="0" w:type="dxa"/>
            <w:vAlign w:val="bottom"/>
          </w:tcPr>
          <w:p>
            <w:pPr>
              <w:spacing w:after="0"/>
              <w:rPr>
                <w:sz w:val="1"/>
                <w:szCs w:val="1"/>
                <w:color w:val="auto"/>
              </w:rPr>
            </w:pPr>
          </w:p>
        </w:tc>
      </w:tr>
      <w:tr>
        <w:trPr>
          <w:trHeight w:val="257"/>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Revenues</w:t>
            </w: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8,313.4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8,313.4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9,199.6</w:t>
            </w:r>
          </w:p>
        </w:tc>
        <w:tc>
          <w:tcPr>
            <w:tcW w:w="0" w:type="dxa"/>
            <w:vAlign w:val="bottom"/>
          </w:tcPr>
          <w:p>
            <w:pPr>
              <w:spacing w:after="0"/>
              <w:rPr>
                <w:sz w:val="1"/>
                <w:szCs w:val="1"/>
                <w:color w:val="auto"/>
              </w:rPr>
            </w:pPr>
          </w:p>
        </w:tc>
      </w:tr>
      <w:tr>
        <w:trPr>
          <w:trHeight w:val="254"/>
        </w:trPr>
        <w:tc>
          <w:tcPr>
            <w:tcW w:w="5380" w:type="dxa"/>
            <w:vAlign w:val="bottom"/>
          </w:tcPr>
          <w:p>
            <w:pPr>
              <w:ind w:left="40"/>
              <w:spacing w:after="0"/>
              <w:rPr>
                <w:sz w:val="20"/>
                <w:szCs w:val="20"/>
                <w:color w:val="auto"/>
              </w:rPr>
            </w:pPr>
            <w:r>
              <w:rPr>
                <w:rFonts w:ascii="Arial" w:cs="Arial" w:eastAsia="Arial" w:hAnsi="Arial"/>
                <w:sz w:val="13"/>
                <w:szCs w:val="13"/>
                <w:color w:val="auto"/>
              </w:rPr>
              <w:t>Cost of Sales</w:t>
            </w:r>
          </w:p>
        </w:tc>
        <w:tc>
          <w:tcPr>
            <w:tcW w:w="24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(6,895.2)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6(d)</w:t>
            </w:r>
          </w:p>
        </w:tc>
        <w:tc>
          <w:tcPr>
            <w:tcW w:w="1020" w:type="dxa"/>
            <w:vAlign w:val="bottom"/>
          </w:tcPr>
          <w:p>
            <w:pPr>
              <w:jc w:val="right"/>
              <w:spacing w:after="0"/>
              <w:rPr>
                <w:sz w:val="20"/>
                <w:szCs w:val="20"/>
                <w:color w:val="auto"/>
              </w:rPr>
            </w:pPr>
            <w:r>
              <w:rPr>
                <w:rFonts w:ascii="Arial" w:cs="Arial" w:eastAsia="Arial" w:hAnsi="Arial"/>
                <w:sz w:val="13"/>
                <w:szCs w:val="13"/>
                <w:color w:val="auto"/>
              </w:rPr>
              <w:t>(6,903.9)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(7,639.9)</w:t>
            </w:r>
          </w:p>
        </w:tc>
        <w:tc>
          <w:tcPr>
            <w:tcW w:w="0" w:type="dxa"/>
            <w:vAlign w:val="bottom"/>
          </w:tcPr>
          <w:p>
            <w:pPr>
              <w:spacing w:after="0"/>
              <w:rPr>
                <w:sz w:val="1"/>
                <w:szCs w:val="1"/>
                <w:color w:val="auto"/>
              </w:rPr>
            </w:pPr>
          </w:p>
        </w:tc>
      </w:tr>
      <w:tr>
        <w:trPr>
          <w:trHeight w:val="280"/>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24"/>
                <w:szCs w:val="24"/>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Gross Margin</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1,418.2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(8.7)</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1,409.5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1,559.7</w:t>
            </w: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Research and Development Costs</w:t>
            </w:r>
          </w:p>
        </w:tc>
        <w:tc>
          <w:tcPr>
            <w:tcW w:w="24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(95.3)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(95.3)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(105.5)</w:t>
            </w:r>
          </w:p>
        </w:tc>
        <w:tc>
          <w:tcPr>
            <w:tcW w:w="0" w:type="dxa"/>
            <w:vAlign w:val="bottom"/>
          </w:tcPr>
          <w:p>
            <w:pPr>
              <w:spacing w:after="0"/>
              <w:rPr>
                <w:sz w:val="1"/>
                <w:szCs w:val="1"/>
                <w:color w:val="auto"/>
              </w:rPr>
            </w:pPr>
          </w:p>
        </w:tc>
      </w:tr>
      <w:tr>
        <w:trPr>
          <w:trHeight w:val="262"/>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Selling Costs</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212.4</w:t>
            </w: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6"/>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w w:val="86"/>
              </w:rPr>
              <w:t>6(d)</w:t>
            </w: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Administrative Costs</w:t>
            </w:r>
          </w:p>
        </w:tc>
        <w:tc>
          <w:tcPr>
            <w:tcW w:w="24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(305.0)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305.0</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Selling, General and Administrative Expenses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(517.4)</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(572.6)</w:t>
            </w: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Restructuring and Impairment Expense</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(371.1)</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tcPr>
          <w:p>
            <w:pPr>
              <w:jc w:val="right"/>
              <w:spacing w:after="0"/>
              <w:rPr>
                <w:sz w:val="20"/>
                <w:szCs w:val="20"/>
                <w:color w:val="auto"/>
              </w:rPr>
            </w:pPr>
            <w:r>
              <w:rPr>
                <w:rFonts w:ascii="Arial" w:cs="Arial" w:eastAsia="Arial" w:hAnsi="Arial"/>
                <w:sz w:val="13"/>
                <w:szCs w:val="13"/>
                <w:color w:val="auto"/>
              </w:rPr>
              <w:t>(371.1)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(410.7)</w:t>
            </w: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Operating Income</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(18.3)</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color w:val="auto"/>
              </w:rPr>
              <w:t>Other Operating Expenses</w:t>
            </w:r>
          </w:p>
        </w:tc>
        <w:tc>
          <w:tcPr>
            <w:tcW w:w="24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(33.6)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33.6</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Income/(Expenses), net</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(15.3)</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242"/>
        </w:trPr>
        <w:tc>
          <w:tcPr>
            <w:tcW w:w="5380" w:type="dxa"/>
            <w:vAlign w:val="bottom"/>
          </w:tcPr>
          <w:p>
            <w:pPr>
              <w:ind w:left="40"/>
              <w:spacing w:after="0"/>
              <w:rPr>
                <w:sz w:val="20"/>
                <w:szCs w:val="20"/>
                <w:color w:val="auto"/>
              </w:rPr>
            </w:pPr>
            <w:r>
              <w:rPr>
                <w:rFonts w:ascii="Arial" w:cs="Arial" w:eastAsia="Arial" w:hAnsi="Arial"/>
                <w:sz w:val="13"/>
                <w:szCs w:val="13"/>
                <w:b w:val="1"/>
                <w:bCs w:val="1"/>
                <w:color w:val="auto"/>
              </w:rPr>
              <w:t>Operating Income/(Loss) from Recurring Activities</w:t>
            </w: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790.7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(380.3)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410.4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454.0</w:t>
            </w: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 of Income/(Loss) of Equity Affiliates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w w:val="86"/>
              </w:rPr>
              <w:t>6(a)</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108.8</w:t>
            </w:r>
          </w:p>
        </w:tc>
        <w:tc>
          <w:tcPr>
            <w:tcW w:w="0" w:type="dxa"/>
            <w:vAlign w:val="bottom"/>
          </w:tcPr>
          <w:p>
            <w:pPr>
              <w:spacing w:after="0"/>
              <w:rPr>
                <w:sz w:val="1"/>
                <w:szCs w:val="1"/>
                <w:color w:val="auto"/>
              </w:rPr>
            </w:pPr>
          </w:p>
        </w:tc>
      </w:tr>
      <w:tr>
        <w:trPr>
          <w:trHeight w:val="242"/>
        </w:trPr>
        <w:tc>
          <w:tcPr>
            <w:tcW w:w="5380" w:type="dxa"/>
            <w:vAlign w:val="bottom"/>
          </w:tcPr>
          <w:p>
            <w:pPr>
              <w:ind w:left="40"/>
              <w:spacing w:after="0"/>
              <w:rPr>
                <w:sz w:val="20"/>
                <w:szCs w:val="20"/>
                <w:color w:val="auto"/>
              </w:rPr>
            </w:pPr>
            <w:r>
              <w:rPr>
                <w:rFonts w:ascii="Arial" w:cs="Arial" w:eastAsia="Arial" w:hAnsi="Arial"/>
                <w:sz w:val="13"/>
                <w:szCs w:val="13"/>
                <w:b w:val="1"/>
                <w:bCs w:val="1"/>
                <w:color w:val="auto"/>
                <w:w w:val="96"/>
              </w:rPr>
              <w:t>Operating Income/(Loss) from Recurring Activities after Income/(Loss) of Equity Affiliates</w:t>
            </w: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892.8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(384.1)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508.7</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562.8</w:t>
            </w: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Income/(Loss) from Disposals of Activities</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4"/>
        </w:trPr>
        <w:tc>
          <w:tcPr>
            <w:tcW w:w="5380" w:type="dxa"/>
            <w:vAlign w:val="bottom"/>
          </w:tcPr>
          <w:p>
            <w:pPr>
              <w:ind w:left="40"/>
              <w:spacing w:after="0"/>
              <w:rPr>
                <w:sz w:val="20"/>
                <w:szCs w:val="20"/>
                <w:color w:val="auto"/>
              </w:rPr>
            </w:pPr>
            <w:r>
              <w:rPr>
                <w:rFonts w:ascii="Arial" w:cs="Arial" w:eastAsia="Arial" w:hAnsi="Arial"/>
                <w:sz w:val="13"/>
                <w:szCs w:val="13"/>
                <w:color w:val="auto"/>
              </w:rPr>
              <w:t>Charges from Non-Current Activities</w:t>
            </w:r>
          </w:p>
        </w:tc>
        <w:tc>
          <w:tcPr>
            <w:tcW w:w="24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(441.0)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371.1</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0"/>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69.9</w:t>
            </w:r>
          </w:p>
        </w:tc>
        <w:tc>
          <w:tcPr>
            <w:tcW w:w="100" w:type="dxa"/>
            <w:vAlign w:val="bottom"/>
          </w:tcPr>
          <w:p>
            <w:pPr>
              <w:spacing w:after="0"/>
              <w:rPr>
                <w:sz w:val="24"/>
                <w:szCs w:val="24"/>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6(a)</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Operating Income/(Loss)</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451.8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56.9</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508.7</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562.8</w:t>
            </w:r>
          </w:p>
        </w:tc>
        <w:tc>
          <w:tcPr>
            <w:tcW w:w="0" w:type="dxa"/>
            <w:vAlign w:val="bottom"/>
          </w:tcPr>
          <w:p>
            <w:pPr>
              <w:spacing w:after="0"/>
              <w:rPr>
                <w:sz w:val="1"/>
                <w:szCs w:val="1"/>
                <w:color w:val="auto"/>
              </w:rPr>
            </w:pPr>
          </w:p>
        </w:tc>
      </w:tr>
      <w:tr>
        <w:trPr>
          <w:trHeight w:val="254"/>
        </w:trPr>
        <w:tc>
          <w:tcPr>
            <w:tcW w:w="5380" w:type="dxa"/>
            <w:vAlign w:val="bottom"/>
          </w:tcPr>
          <w:p>
            <w:pPr>
              <w:ind w:left="40"/>
              <w:spacing w:after="0"/>
              <w:rPr>
                <w:sz w:val="20"/>
                <w:szCs w:val="20"/>
                <w:color w:val="auto"/>
              </w:rPr>
            </w:pPr>
            <w:r>
              <w:rPr>
                <w:rFonts w:ascii="Arial" w:cs="Arial" w:eastAsia="Arial" w:hAnsi="Arial"/>
                <w:sz w:val="13"/>
                <w:szCs w:val="13"/>
                <w:color w:val="auto"/>
              </w:rPr>
              <w:t>Financial Income</w:t>
            </w:r>
          </w:p>
        </w:tc>
        <w:tc>
          <w:tcPr>
            <w:tcW w:w="24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660.2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6(e)</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23"/>
                <w:szCs w:val="23"/>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6(a)</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(678.7)</w:t>
            </w:r>
          </w:p>
        </w:tc>
        <w:tc>
          <w:tcPr>
            <w:tcW w:w="100" w:type="dxa"/>
            <w:vAlign w:val="bottom"/>
          </w:tcPr>
          <w:p>
            <w:pPr>
              <w:spacing w:after="0"/>
              <w:rPr>
                <w:sz w:val="24"/>
                <w:szCs w:val="24"/>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Financial Expenses</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w w:val="86"/>
              </w:rPr>
              <w:t>6(b)</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w w:val="86"/>
              </w:rPr>
              <w:t>6(e)</w:t>
            </w: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710.1</w:t>
            </w:r>
          </w:p>
        </w:tc>
        <w:tc>
          <w:tcPr>
            <w:tcW w:w="1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380" w:type="dxa"/>
            <w:vAlign w:val="bottom"/>
          </w:tcPr>
          <w:p>
            <w:pPr>
              <w:ind w:left="40"/>
              <w:spacing w:after="0"/>
              <w:rPr>
                <w:sz w:val="20"/>
                <w:szCs w:val="20"/>
                <w:color w:val="auto"/>
              </w:rPr>
            </w:pPr>
            <w:r>
              <w:rPr>
                <w:rFonts w:ascii="Arial" w:cs="Arial" w:eastAsia="Arial" w:hAnsi="Arial"/>
                <w:sz w:val="13"/>
                <w:szCs w:val="13"/>
                <w:color w:val="auto"/>
              </w:rPr>
              <w:t>Financial Income/(Expenses), net</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678.7</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tcPr>
          <w:p>
            <w:pPr>
              <w:jc w:val="right"/>
              <w:spacing w:after="0"/>
              <w:rPr>
                <w:sz w:val="20"/>
                <w:szCs w:val="20"/>
                <w:color w:val="auto"/>
              </w:rPr>
            </w:pPr>
            <w:r>
              <w:rPr>
                <w:rFonts w:ascii="Arial" w:cs="Arial" w:eastAsia="Arial" w:hAnsi="Arial"/>
                <w:sz w:val="13"/>
                <w:szCs w:val="13"/>
                <w:color w:val="auto"/>
              </w:rPr>
              <w:t>(31.4)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(710.1)</w:t>
            </w:r>
          </w:p>
        </w:tc>
        <w:tc>
          <w:tcPr>
            <w:tcW w:w="100" w:type="dxa"/>
            <w:vAlign w:val="bottom"/>
          </w:tcPr>
          <w:p>
            <w:pPr>
              <w:spacing w:after="0"/>
              <w:rPr>
                <w:sz w:val="19"/>
                <w:szCs w:val="19"/>
                <w:color w:val="auto"/>
              </w:rPr>
            </w:pPr>
          </w:p>
        </w:tc>
        <w:tc>
          <w:tcPr>
            <w:tcW w:w="900" w:type="dxa"/>
            <w:vAlign w:val="bottom"/>
            <w:gridSpan w:val="3"/>
            <w:vMerge w:val="restart"/>
          </w:tcPr>
          <w:p>
            <w:pPr>
              <w:jc w:val="center"/>
              <w:ind w:right="277"/>
              <w:spacing w:after="0"/>
              <w:rPr>
                <w:sz w:val="20"/>
                <w:szCs w:val="20"/>
                <w:color w:val="auto"/>
              </w:rPr>
            </w:pPr>
            <w:r>
              <w:rPr>
                <w:rFonts w:ascii="Arial" w:cs="Arial" w:eastAsia="Arial" w:hAnsi="Arial"/>
                <w:sz w:val="13"/>
                <w:szCs w:val="13"/>
                <w:color w:val="auto"/>
              </w:rPr>
              <w:t>6(f)</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Income/(Loss) before Tax</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380.8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96.5</w:t>
            </w: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477.3</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528.1</w:t>
            </w:r>
          </w:p>
        </w:tc>
        <w:tc>
          <w:tcPr>
            <w:tcW w:w="0" w:type="dxa"/>
            <w:vAlign w:val="bottom"/>
          </w:tcPr>
          <w:p>
            <w:pPr>
              <w:spacing w:after="0"/>
              <w:rPr>
                <w:sz w:val="1"/>
                <w:szCs w:val="1"/>
                <w:color w:val="auto"/>
              </w:rPr>
            </w:pPr>
          </w:p>
        </w:tc>
      </w:tr>
      <w:tr>
        <w:trPr>
          <w:trHeight w:val="254"/>
        </w:trPr>
        <w:tc>
          <w:tcPr>
            <w:tcW w:w="5380" w:type="dxa"/>
            <w:vAlign w:val="bottom"/>
          </w:tcPr>
          <w:p>
            <w:pPr>
              <w:ind w:left="40"/>
              <w:spacing w:after="0"/>
              <w:rPr>
                <w:sz w:val="20"/>
                <w:szCs w:val="20"/>
                <w:color w:val="auto"/>
              </w:rPr>
            </w:pPr>
            <w:r>
              <w:rPr>
                <w:rFonts w:ascii="Arial" w:cs="Arial" w:eastAsia="Arial" w:hAnsi="Arial"/>
                <w:sz w:val="13"/>
                <w:szCs w:val="13"/>
                <w:b w:val="1"/>
                <w:bCs w:val="1"/>
                <w:color w:val="auto"/>
              </w:rPr>
              <w:t>Income Tax Expense</w:t>
            </w:r>
          </w:p>
        </w:tc>
        <w:tc>
          <w:tcPr>
            <w:tcW w:w="24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(130.7)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2"/>
                <w:szCs w:val="22"/>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6(a)</w:t>
            </w:r>
          </w:p>
        </w:tc>
        <w:tc>
          <w:tcPr>
            <w:tcW w:w="1020" w:type="dxa"/>
            <w:vAlign w:val="bottom"/>
          </w:tcPr>
          <w:p>
            <w:pPr>
              <w:jc w:val="right"/>
              <w:spacing w:after="0"/>
              <w:rPr>
                <w:sz w:val="20"/>
                <w:szCs w:val="20"/>
                <w:color w:val="auto"/>
              </w:rPr>
            </w:pPr>
            <w:r>
              <w:rPr>
                <w:rFonts w:ascii="Arial" w:cs="Arial" w:eastAsia="Arial" w:hAnsi="Arial"/>
                <w:sz w:val="13"/>
                <w:szCs w:val="13"/>
                <w:color w:val="auto"/>
              </w:rPr>
              <w:t>(121.0)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(133.9)</w:t>
            </w: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23"/>
                <w:szCs w:val="23"/>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6(b)</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3"/>
                <w:szCs w:val="23"/>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6(d)</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4"/>
                <w:szCs w:val="24"/>
                <w:color w:val="auto"/>
              </w:rPr>
            </w:pPr>
          </w:p>
        </w:tc>
        <w:tc>
          <w:tcPr>
            <w:tcW w:w="900" w:type="dxa"/>
            <w:vAlign w:val="bottom"/>
            <w:gridSpan w:val="3"/>
          </w:tcPr>
          <w:p>
            <w:pPr>
              <w:jc w:val="center"/>
              <w:ind w:right="277"/>
              <w:spacing w:after="0"/>
              <w:rPr>
                <w:sz w:val="20"/>
                <w:szCs w:val="20"/>
                <w:color w:val="auto"/>
              </w:rPr>
            </w:pPr>
            <w:r>
              <w:rPr>
                <w:rFonts w:ascii="Arial" w:cs="Arial" w:eastAsia="Arial" w:hAnsi="Arial"/>
                <w:sz w:val="13"/>
                <w:szCs w:val="13"/>
                <w:color w:val="auto"/>
                <w:w w:val="86"/>
              </w:rPr>
              <w:t>6(e)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Income/(Loss) from Continuing Operations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250.1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106.2</w:t>
            </w: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356.3</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394.2</w:t>
            </w:r>
          </w:p>
        </w:tc>
        <w:tc>
          <w:tcPr>
            <w:tcW w:w="0" w:type="dxa"/>
            <w:vAlign w:val="bottom"/>
          </w:tcPr>
          <w:p>
            <w:pPr>
              <w:spacing w:after="0"/>
              <w:rPr>
                <w:sz w:val="1"/>
                <w:szCs w:val="1"/>
                <w:color w:val="auto"/>
              </w:rPr>
            </w:pPr>
          </w:p>
        </w:tc>
      </w:tr>
      <w:tr>
        <w:trPr>
          <w:trHeight w:val="282"/>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Net Income/(Loss) for the Period</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250.1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106.2</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356.3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394.2</w:t>
            </w:r>
          </w:p>
        </w:tc>
        <w:tc>
          <w:tcPr>
            <w:tcW w:w="0" w:type="dxa"/>
            <w:vAlign w:val="bottom"/>
          </w:tcPr>
          <w:p>
            <w:pPr>
              <w:spacing w:after="0"/>
              <w:rPr>
                <w:sz w:val="1"/>
                <w:szCs w:val="1"/>
                <w:color w:val="auto"/>
              </w:rPr>
            </w:pPr>
          </w:p>
        </w:tc>
      </w:tr>
      <w:tr>
        <w:trPr>
          <w:trHeight w:val="252"/>
        </w:trPr>
        <w:tc>
          <w:tcPr>
            <w:tcW w:w="5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380" w:type="dxa"/>
            <w:vAlign w:val="bottom"/>
          </w:tcPr>
          <w:p>
            <w:pPr>
              <w:ind w:left="40"/>
              <w:spacing w:after="0"/>
              <w:rPr>
                <w:sz w:val="20"/>
                <w:szCs w:val="20"/>
                <w:color w:val="auto"/>
              </w:rPr>
            </w:pPr>
            <w:r>
              <w:rPr>
                <w:rFonts w:ascii="Arial" w:cs="Arial" w:eastAsia="Arial" w:hAnsi="Arial"/>
                <w:sz w:val="13"/>
                <w:szCs w:val="13"/>
                <w:b w:val="1"/>
                <w:bCs w:val="1"/>
                <w:color w:val="auto"/>
              </w:rPr>
              <w:t>Net Income/(Loss) attributable to Technip</w:t>
            </w:r>
          </w:p>
        </w:tc>
        <w:tc>
          <w:tcPr>
            <w:tcW w:w="24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281.3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106.2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387.5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428.7</w:t>
            </w:r>
          </w:p>
        </w:tc>
        <w:tc>
          <w:tcPr>
            <w:tcW w:w="0" w:type="dxa"/>
            <w:vAlign w:val="bottom"/>
          </w:tcPr>
          <w:p>
            <w:pPr>
              <w:spacing w:after="0"/>
              <w:rPr>
                <w:sz w:val="1"/>
                <w:szCs w:val="1"/>
                <w:color w:val="auto"/>
              </w:rPr>
            </w:pPr>
          </w:p>
        </w:tc>
      </w:tr>
      <w:tr>
        <w:trPr>
          <w:trHeight w:val="278"/>
        </w:trPr>
        <w:tc>
          <w:tcPr>
            <w:tcW w:w="53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Net Income/(Loss) attributable to minority interests</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Adjustments included in the columns “IFRS to U.S. GAAP and Reclassification Adjustments” are as follows:</w:t>
      </w:r>
    </w:p>
    <w:p>
      <w:pPr>
        <w:spacing w:after="0" w:line="35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Foreign Currency Translation / Derivative Instruments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IFRS, a non-derivative financial asset or non-derivative financial liability may be designated as a hedge of a foreign currency risk (IAS 39 §72). Technip’s foreign currency treasury accounts held to finance future expenditures in foreign currencies for a specific contract when conditions for qualifying as cash flow hedges are met. As required under IFRS, foreign exchange gains and losses corresponding to the effective portion of these hedges are recorded in other comprehensive income and are reclassified from equity to profit or loss in the same period during which the hedged transaction affects the income statement</w:t>
      </w:r>
    </w:p>
    <w:p>
      <w:pPr>
        <w:spacing w:after="0" w:line="8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Under U.S. GAAP, only derivative instruments can be used for cash flow hedges. As such, the IFRS to U.S. GAAP adjustment represents the reclassification to income statement of foreign exchange gains and losses on treasury accounts recorded as other comprehensive income in equity under IFRS.</w:t>
      </w:r>
    </w:p>
    <w:p>
      <w:pPr>
        <w:spacing w:after="0" w:line="13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OCEANE Convertible Bonds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Technip’s OCEANE convertible bonds are qualified as compound financial instrument under IFRS and therefore, the convertible bonds were split into a liability and an equity component since they give the holder the option to convert the bonds into a fixed number of ordinary shares. Moreover, the value of the liability component at inception was recognized at the fair value of a similar debt instrument that does not have a conversion feature. The liability component was then accounted for at amortized cost. The value assigned to the equity component determined at the date of issuance of the bonds, was a residual amount after deducting from the fair value of the instrument as a whole the amount separately determined for the liability component. The value assigned to the conversion feature (equity component) at the date of issuance has not been revised during subsequent periods.</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Under U.S. GAAP, the difference between the present value of the bonds payable and the face amount is treated as a discount or premium and is amortized as interest expense using the effective interest method.</w:t>
      </w:r>
    </w:p>
    <w:p>
      <w:pPr>
        <w:spacing w:after="0" w:line="184"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used.</w:t>
      </w:r>
    </w:p>
    <w:p>
      <w:pPr>
        <w:spacing w:after="0" w:line="238" w:lineRule="exact"/>
        <w:rPr>
          <w:rFonts w:ascii="Arial" w:cs="Arial" w:eastAsia="Arial" w:hAnsi="Arial"/>
          <w:sz w:val="18"/>
          <w:szCs w:val="18"/>
          <w:color w:val="auto"/>
        </w:rPr>
      </w:pPr>
    </w:p>
    <w:p>
      <w:pPr>
        <w:ind w:left="400" w:hanging="392"/>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 Bid Costs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IFRS, costs incurred before contract signing (“bid costs”) are capitalized in “Construction Contracts - Amounts in Assets/Liabilities” and then included in costs of ongoing contracts when the contract is obtained, when those costs can be separately identified and measured reliably and it is probable that the construction contract will be obtained. From a practical point of view, costs effectively capitalized correspond to the bid costs incurred during the quarter of the contract’s award. When the conditions described above are not met, bid costs are expensed as incurred and included within “Selling Costs” in the income statement.</w:t>
      </w:r>
    </w:p>
    <w:p>
      <w:pPr>
        <w:spacing w:after="0" w:line="20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Under U.S. GAAP, bid costs are expensed as incurred. As such, the IFRS to U.S. GAAP adjustment represents the derecognition of capitalized bid costs included within “Construction Contracts - Amounts in Assets/Liabilities” and the expense of those costs under “Selling Costs.”</w:t>
      </w:r>
    </w:p>
    <w:p>
      <w:pPr>
        <w:spacing w:after="0" w:line="16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Pensions and other Long-Term Employee Benefits plans</w:t>
      </w:r>
    </w:p>
    <w:p>
      <w:pPr>
        <w:spacing w:after="0" w:line="225" w:lineRule="exact"/>
        <w:rPr>
          <w:sz w:val="20"/>
          <w:szCs w:val="20"/>
          <w:color w:val="auto"/>
        </w:rPr>
      </w:pPr>
    </w:p>
    <w:p>
      <w:pPr>
        <w:ind w:left="340" w:right="30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Expected Rate of return </w:t>
      </w:r>
      <w:r>
        <w:rPr>
          <w:rFonts w:ascii="Arial" w:cs="Arial" w:eastAsia="Arial" w:hAnsi="Arial"/>
          <w:sz w:val="18"/>
          <w:szCs w:val="18"/>
          <w:color w:val="auto"/>
        </w:rPr>
        <w:t>- Under IFRS, companies calculate a net interest cost (income) by applying the discount rate to the defined benefit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(asset). Additionally the discount rate should be determined by reference to market yields on high quality corporate bonds in the same currency as the benefits to be paid with durations that are similar to those of the benefit obligation.</w:t>
      </w:r>
    </w:p>
    <w:p>
      <w:pPr>
        <w:spacing w:after="0" w:line="181" w:lineRule="exact"/>
        <w:rPr>
          <w:rFonts w:ascii="Arial" w:cs="Arial" w:eastAsia="Arial" w:hAnsi="Arial"/>
          <w:sz w:val="18"/>
          <w:szCs w:val="18"/>
          <w:color w:val="auto"/>
        </w:rPr>
      </w:pPr>
    </w:p>
    <w:p>
      <w:pPr>
        <w:ind w:left="340" w:right="80"/>
        <w:spacing w:after="0" w:line="264" w:lineRule="auto"/>
        <w:rPr>
          <w:rFonts w:ascii="Arial" w:cs="Arial" w:eastAsia="Arial" w:hAnsi="Arial"/>
          <w:sz w:val="18"/>
          <w:szCs w:val="18"/>
          <w:color w:val="auto"/>
        </w:rPr>
      </w:pPr>
      <w:r>
        <w:rPr>
          <w:rFonts w:ascii="Arial" w:cs="Arial" w:eastAsia="Arial" w:hAnsi="Arial"/>
          <w:sz w:val="18"/>
          <w:szCs w:val="18"/>
          <w:color w:val="auto"/>
        </w:rPr>
        <w:t>U.S. GAAP uses an expected rate of return on plan assets and permits companies to use a calculated value of plan assets (reflecting changes in fair value over a period of up to five years) in determining the expected return on plan assets and in accounting for gains and losses. The discount rate is based on the rate at which the benefit obligation could be effectively settled.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0" w:right="259" w:bottom="1440" w:gutter="0" w:footer="0" w:header="0"/>
        </w:sectPr>
      </w:pPr>
    </w:p>
    <w:bookmarkStart w:id="71" w:name="page72"/>
    <w:bookmarkEnd w:id="71"/>
    <w:p>
      <w:pPr>
        <w:ind w:left="340" w:right="2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Timing of recognition of curtailments </w:t>
      </w:r>
      <w:r>
        <w:rPr>
          <w:rFonts w:ascii="Arial" w:cs="Arial" w:eastAsia="Arial" w:hAnsi="Arial"/>
          <w:sz w:val="18"/>
          <w:szCs w:val="18"/>
          <w:color w:val="auto"/>
        </w:rPr>
        <w:t>- Under IFRS, curtailment gains and losses should be recorded when the curtailment occurs and the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plan amendments, curtailments, and termination benefits that occur in connection with a restructuring to be recognized when the related restructuring cost is recognized, if that is earlier than the normal IAS 19 recognition date.</w:t>
      </w:r>
    </w:p>
    <w:p>
      <w:pPr>
        <w:spacing w:after="0" w:line="181" w:lineRule="exact"/>
        <w:rPr>
          <w:rFonts w:ascii="Arial" w:cs="Arial" w:eastAsia="Arial" w:hAnsi="Arial"/>
          <w:sz w:val="18"/>
          <w:szCs w:val="18"/>
          <w:color w:val="auto"/>
        </w:rPr>
      </w:pPr>
    </w:p>
    <w:p>
      <w:pPr>
        <w:ind w:left="340" w:right="280"/>
        <w:spacing w:after="0" w:line="264" w:lineRule="auto"/>
        <w:rPr>
          <w:rFonts w:ascii="Arial" w:cs="Arial" w:eastAsia="Arial" w:hAnsi="Arial"/>
          <w:sz w:val="18"/>
          <w:szCs w:val="18"/>
          <w:color w:val="auto"/>
        </w:rPr>
      </w:pPr>
      <w:r>
        <w:rPr>
          <w:rFonts w:ascii="Arial" w:cs="Arial" w:eastAsia="Arial" w:hAnsi="Arial"/>
          <w:sz w:val="18"/>
          <w:szCs w:val="18"/>
          <w:color w:val="auto"/>
        </w:rPr>
        <w:t>Under U.S. GAAP curtailment gains are recognized when realized (i.e., once the terminations have occurred or the plan amendment is adopted). The guidance permits certain offsets of unamortized gains/losses in a curtailment but does not permit pro rata recognition of the remaining unamortized gains/losses.</w:t>
      </w:r>
    </w:p>
    <w:p>
      <w:pPr>
        <w:spacing w:after="0" w:line="194" w:lineRule="exact"/>
        <w:rPr>
          <w:rFonts w:ascii="Arial" w:cs="Arial" w:eastAsia="Arial" w:hAnsi="Arial"/>
          <w:sz w:val="18"/>
          <w:szCs w:val="18"/>
          <w:color w:val="auto"/>
        </w:rPr>
      </w:pPr>
    </w:p>
    <w:p>
      <w:pPr>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Recognition of prior service costs and credits </w:t>
      </w:r>
      <w:r>
        <w:rPr>
          <w:rFonts w:ascii="Arial" w:cs="Arial" w:eastAsia="Arial" w:hAnsi="Arial"/>
          <w:sz w:val="18"/>
          <w:szCs w:val="18"/>
          <w:color w:val="auto"/>
        </w:rPr>
        <w:t>- Under IFRS, prior service costs and credits require immediate recognition in income for the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plan amendments that create an increase (or decrease) to the benefit obligation (i.e., prior service cost). Under U.S. GAAP, prior service costs and credits are required to be initially recognized in OCI and then amortized through net income over future periods.</w:t>
      </w:r>
    </w:p>
    <w:p>
      <w:pPr>
        <w:spacing w:after="0" w:line="194" w:lineRule="exact"/>
        <w:rPr>
          <w:rFonts w:ascii="Arial" w:cs="Arial" w:eastAsia="Arial" w:hAnsi="Arial"/>
          <w:sz w:val="18"/>
          <w:szCs w:val="18"/>
          <w:color w:val="auto"/>
        </w:rPr>
      </w:pPr>
    </w:p>
    <w:p>
      <w:pPr>
        <w:jc w:val="both"/>
        <w:ind w:left="340" w:right="6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of net benefit cost </w:t>
      </w:r>
      <w:r>
        <w:rPr>
          <w:rFonts w:ascii="Arial" w:cs="Arial" w:eastAsia="Arial" w:hAnsi="Arial"/>
          <w:sz w:val="18"/>
          <w:szCs w:val="18"/>
          <w:color w:val="auto"/>
        </w:rPr>
        <w:t>- Under IFRS companies can present different components of net benefit cost within different line items on the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such as operating expenses and finance expense. Under U.S. GAAP all components of net benefit cost must be aggregated and presented as a net amount in the income statement, presented in operating income.</w:t>
      </w:r>
    </w:p>
    <w:p>
      <w:pPr>
        <w:spacing w:after="0" w:line="18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color w:val="auto"/>
        </w:rPr>
        <w:t>Reclassifications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Represents certain reclassifications of historical Technip financial statement line items to conform to the expected financial statement line items of the combined companies, including: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Balance sheet items:</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Goodwill historically presented in Intangible Assets, net has been reclassified to Goodwill;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Investments historically included in Other Financial Assets has been reclassified to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Available-For-Sale Financial Assets has been reclassified to Other Financial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Advances Paid to Suppliers has been reclassified to Other Current Receivables;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Assets classified as Held for Sale has been reclassified to Other Current Receivables;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Foreign Currency Translation Reserves and Fair Value Reserves have been reclassified to Accumulated Other Comprehensive Income / (Loss);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Income/(Loss) for the period has been reclassified to Retained Earnings;</w:t>
      </w:r>
    </w:p>
    <w:p>
      <w:pPr>
        <w:spacing w:after="0" w:line="63"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Accrued Pensions and Other Post-Retirement Benefits, less Current Portion historically included in Non-Current Provisions has been reclassified to Accrued Pensions and Other Post-Retirement Benefits, less Current Portions, and the remaining Non-Current Provisions has been reclassified to Other Non-Current Liabilities;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Current Provisions has been reclassified to Other Current Liabilities;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Payments historically included in Other Current Liabilities has been reclassified to Advance Payments.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Statement of income items:</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Selling Costs and Administrative Costs have been reclassified to Selling, General and Administrative Expenses;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Operating Income and Other Operating Expense have been reclassified to Other Income/(Expenses), net;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Charges from Non-Current Activities has been reclassified to Restructuring and Impairment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Income and Financial Expenses have been reclassified to Financial Income/(Expense), net.</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584" w:right="319" w:bottom="1440" w:gutter="0" w:footer="0" w:header="0"/>
        </w:sectPr>
      </w:pPr>
    </w:p>
    <w:bookmarkStart w:id="72" w:name="page73"/>
    <w:bookmarkEnd w:id="72"/>
    <w:p>
      <w:pPr>
        <w:ind w:left="10440"/>
        <w:spacing w:after="0"/>
        <w:rPr>
          <w:sz w:val="20"/>
          <w:szCs w:val="20"/>
          <w:color w:val="auto"/>
        </w:rPr>
      </w:pPr>
      <w:r>
        <w:rPr>
          <w:rFonts w:ascii="Arial" w:cs="Arial" w:eastAsia="Arial" w:hAnsi="Arial"/>
          <w:sz w:val="16"/>
          <w:szCs w:val="16"/>
          <w:b w:val="1"/>
          <w:bCs w:val="1"/>
          <w:color w:val="231F20"/>
        </w:rPr>
        <w:t>Exhibit 99.3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Report of Independent Auditors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231F20"/>
        </w:rPr>
        <w:t>To the Shareholders of TechnipFMC</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We have audited the accompanying consolidated financial statements of Technip and its subsidiaries, which comprise the consolidated statements of financial position as of 31 December 2016, 2015 and 2014 and the related consolidated statements of income, other comprehensive income, cash flows, and changes in shareholders’ equity for the years then ended.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Management’s Responsibility for the Consolidated Financial Statements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Management is responsible for the preparation and fair presentation of the consolidated financial statements in accordance with International Financial Reporting Standards as issued by the International Accounting Standards Board and International Financial Reporting Standards as endorsed by the European Union; this includes the design, implementation, and maintenance of internal control relevant to the preparation and fair presentation of consolidated financial statements that are free from material misstatement, whether due to fraud or error.</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Auditors’ Responsibility</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Our responsibility is to express an opinion on the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231F20"/>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Opinion</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In our opinion, the consolidated financial statements referred to above present fairly, in all material respects, the financial position of Technip and its subsidiaries as of 31 December 2016, 2015 and 2014, and the consolidated results of their operations and their cash flows for the years then ended in accordance with International Financial Reporting Standards as issued by the International Accounting Standards Board and International Financial Reporting Standards as endorsed by the European Union.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231F20"/>
        </w:rPr>
        <w:t>Neuilly-sur-Seine and Paris-La Défense, France, February 24, 2017</w:t>
      </w:r>
    </w:p>
    <w:p>
      <w:pPr>
        <w:spacing w:after="0" w:line="200" w:lineRule="exact"/>
        <w:rPr>
          <w:sz w:val="20"/>
          <w:szCs w:val="20"/>
          <w:color w:val="auto"/>
        </w:rPr>
      </w:pPr>
    </w:p>
    <w:p>
      <w:pPr>
        <w:spacing w:after="0" w:line="251" w:lineRule="exact"/>
        <w:rPr>
          <w:sz w:val="20"/>
          <w:szCs w:val="20"/>
          <w:color w:val="auto"/>
        </w:rPr>
      </w:pPr>
    </w:p>
    <w:p>
      <w:pPr>
        <w:jc w:val="right"/>
        <w:spacing w:after="0"/>
        <w:tabs>
          <w:tab w:leader="none" w:pos="2240" w:val="left"/>
        </w:tabs>
        <w:rPr>
          <w:sz w:val="20"/>
          <w:szCs w:val="20"/>
          <w:color w:val="auto"/>
        </w:rPr>
      </w:pPr>
      <w:r>
        <w:rPr>
          <w:rFonts w:ascii="Arial" w:cs="Arial" w:eastAsia="Arial" w:hAnsi="Arial"/>
          <w:sz w:val="16"/>
          <w:szCs w:val="16"/>
          <w:color w:val="231F20"/>
        </w:rPr>
        <w:t>/s/ PricewaterhouseCoopers Audit</w:t>
      </w:r>
      <w:r>
        <w:rPr>
          <w:sz w:val="20"/>
          <w:szCs w:val="20"/>
          <w:color w:val="auto"/>
        </w:rPr>
        <w:tab/>
      </w:r>
      <w:r>
        <w:rPr>
          <w:rFonts w:ascii="Arial" w:cs="Arial" w:eastAsia="Arial" w:hAnsi="Arial"/>
          <w:sz w:val="16"/>
          <w:szCs w:val="16"/>
          <w:color w:val="231F20"/>
        </w:rPr>
        <w:t>/s/ ERNST &amp; YOUNG et Autres</w:t>
      </w:r>
    </w:p>
    <w:p>
      <w:pPr>
        <w:sectPr>
          <w:pgSz w:w="11900" w:h="16838" w:orient="portrait"/>
          <w:cols w:equalWidth="0" w:num="1">
            <w:col w:w="11340"/>
          </w:cols>
          <w:pgMar w:left="320" w:top="621" w:right="239" w:bottom="1440" w:gutter="0" w:footer="0" w:header="0"/>
        </w:sectPr>
      </w:pPr>
    </w:p>
    <w:bookmarkStart w:id="73" w:name="page74"/>
    <w:bookmarkEnd w:id="73"/>
    <w:p>
      <w:pPr>
        <w:ind w:left="60"/>
        <w:spacing w:after="0"/>
        <w:rPr>
          <w:sz w:val="20"/>
          <w:szCs w:val="20"/>
          <w:color w:val="auto"/>
        </w:rPr>
      </w:pPr>
      <w:r>
        <w:rPr>
          <w:rFonts w:ascii="Arial" w:cs="Arial" w:eastAsia="Arial" w:hAnsi="Arial"/>
          <w:sz w:val="29"/>
          <w:szCs w:val="29"/>
          <w:b w:val="1"/>
          <w:bCs w:val="1"/>
          <w:color w:val="231F20"/>
        </w:rPr>
        <w:t>CONSOLIDATED FINANCIAL STATEMENTS OF TECHNIP</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1. Consolidated Statement of Income</w:t>
      </w:r>
    </w:p>
    <w:p>
      <w:pPr>
        <w:spacing w:after="0" w:line="354" w:lineRule="exact"/>
        <w:rPr>
          <w:sz w:val="20"/>
          <w:szCs w:val="20"/>
          <w:color w:val="auto"/>
        </w:rPr>
      </w:pPr>
    </w:p>
    <w:tbl>
      <w:tblPr>
        <w:tblLayout w:type="fixed"/>
        <w:tblInd w:w="330" w:type="dxa"/>
        <w:tblCellMar>
          <w:top w:w="0" w:type="dxa"/>
          <w:left w:w="0" w:type="dxa"/>
          <w:bottom w:w="0" w:type="dxa"/>
          <w:right w:w="0" w:type="dxa"/>
        </w:tblCellMar>
      </w:tblPr>
      <w:tr>
        <w:trPr>
          <w:trHeight w:val="278"/>
        </w:trPr>
        <w:tc>
          <w:tcPr>
            <w:tcW w:w="5560" w:type="dxa"/>
            <w:vAlign w:val="bottom"/>
            <w:tcBorders>
              <w:top w:val="single" w:sz="8" w:color="2360A6"/>
              <w:left w:val="single" w:sz="8" w:color="231F20"/>
              <w:right w:val="single" w:sz="8" w:color="2360A6"/>
            </w:tcBorders>
          </w:tcPr>
          <w:p>
            <w:pPr>
              <w:spacing w:after="0"/>
              <w:rPr>
                <w:sz w:val="24"/>
                <w:szCs w:val="24"/>
                <w:color w:val="auto"/>
              </w:rPr>
            </w:pPr>
          </w:p>
        </w:tc>
        <w:tc>
          <w:tcPr>
            <w:tcW w:w="1280" w:type="dxa"/>
            <w:vAlign w:val="bottom"/>
            <w:tcBorders>
              <w:top w:val="single" w:sz="8" w:color="2360A6"/>
              <w:bottom w:val="single" w:sz="8" w:color="2360A6"/>
              <w:right w:val="single" w:sz="8" w:color="2360A6"/>
            </w:tcBorders>
          </w:tcPr>
          <w:p>
            <w:pPr>
              <w:spacing w:after="0"/>
              <w:rPr>
                <w:sz w:val="24"/>
                <w:szCs w:val="24"/>
                <w:color w:val="auto"/>
              </w:rPr>
            </w:pPr>
          </w:p>
        </w:tc>
        <w:tc>
          <w:tcPr>
            <w:tcW w:w="1280" w:type="dxa"/>
            <w:vAlign w:val="bottom"/>
            <w:tcBorders>
              <w:top w:val="single" w:sz="8" w:color="2360A6"/>
              <w:bottom w:val="single" w:sz="8" w:color="2360A6"/>
            </w:tcBorders>
          </w:tcPr>
          <w:p>
            <w:pPr>
              <w:spacing w:after="0"/>
              <w:rPr>
                <w:sz w:val="24"/>
                <w:szCs w:val="24"/>
                <w:color w:val="auto"/>
              </w:rPr>
            </w:pPr>
          </w:p>
        </w:tc>
        <w:tc>
          <w:tcPr>
            <w:tcW w:w="1280" w:type="dxa"/>
            <w:vAlign w:val="bottom"/>
            <w:tcBorders>
              <w:top w:val="single" w:sz="8" w:color="2360A6"/>
              <w:bottom w:val="single" w:sz="8" w:color="2360A6"/>
            </w:tcBorders>
          </w:tcPr>
          <w:p>
            <w:pPr>
              <w:jc w:val="right"/>
              <w:ind w:right="228"/>
              <w:spacing w:after="0"/>
              <w:rPr>
                <w:sz w:val="20"/>
                <w:szCs w:val="20"/>
                <w:color w:val="auto"/>
              </w:rPr>
            </w:pPr>
            <w:r>
              <w:rPr>
                <w:rFonts w:ascii="Arial" w:cs="Arial" w:eastAsia="Arial" w:hAnsi="Arial"/>
                <w:sz w:val="14"/>
                <w:szCs w:val="14"/>
                <w:b w:val="1"/>
                <w:bCs w:val="1"/>
                <w:color w:val="2360A6"/>
              </w:rPr>
              <w:t>12 months</w:t>
            </w:r>
          </w:p>
        </w:tc>
        <w:tc>
          <w:tcPr>
            <w:tcW w:w="1260" w:type="dxa"/>
            <w:vAlign w:val="bottom"/>
            <w:tcBorders>
              <w:top w:val="single" w:sz="8" w:color="2360A6"/>
              <w:bottom w:val="single" w:sz="8" w:color="2360A6"/>
              <w:right w:val="single" w:sz="8" w:color="231F20"/>
            </w:tcBorders>
          </w:tcPr>
          <w:p>
            <w:pPr>
              <w:spacing w:after="0"/>
              <w:rPr>
                <w:sz w:val="24"/>
                <w:szCs w:val="24"/>
                <w:color w:val="auto"/>
              </w:rPr>
            </w:pPr>
          </w:p>
        </w:tc>
      </w:tr>
      <w:tr>
        <w:trPr>
          <w:trHeight w:val="210"/>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280" w:type="dxa"/>
            <w:vAlign w:val="bottom"/>
            <w:tcBorders>
              <w:bottom w:val="single" w:sz="8" w:color="2360A6"/>
              <w:right w:val="single" w:sz="8" w:color="2360A6"/>
            </w:tcBorders>
          </w:tcPr>
          <w:p>
            <w:pPr>
              <w:ind w:left="420"/>
              <w:spacing w:after="0"/>
              <w:rPr>
                <w:sz w:val="20"/>
                <w:szCs w:val="20"/>
                <w:color w:val="auto"/>
              </w:rPr>
            </w:pPr>
            <w:r>
              <w:rPr>
                <w:rFonts w:ascii="Arial" w:cs="Arial" w:eastAsia="Arial" w:hAnsi="Arial"/>
                <w:sz w:val="14"/>
                <w:szCs w:val="14"/>
                <w:b w:val="1"/>
                <w:bCs w:val="1"/>
                <w:color w:val="2360A6"/>
              </w:rPr>
              <w:t>Notes</w:t>
            </w:r>
          </w:p>
        </w:tc>
        <w:tc>
          <w:tcPr>
            <w:tcW w:w="1280" w:type="dxa"/>
            <w:vAlign w:val="bottom"/>
            <w:tcBorders>
              <w:bottom w:val="single" w:sz="8" w:color="2360A6"/>
              <w:right w:val="single" w:sz="8" w:color="2360A6"/>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2016</w:t>
            </w:r>
          </w:p>
        </w:tc>
        <w:tc>
          <w:tcPr>
            <w:tcW w:w="12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2015</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2014</w:t>
            </w:r>
          </w:p>
        </w:tc>
      </w:tr>
      <w:tr>
        <w:trPr>
          <w:trHeight w:val="210"/>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Revenues</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b w:val="1"/>
                <w:bCs w:val="1"/>
                <w:color w:val="231F20"/>
                <w:w w:val="96"/>
              </w:rPr>
              <w:t>4(a)</w:t>
            </w: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1F20"/>
              </w:rPr>
              <w:t>8,313.4</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1F20"/>
              </w:rPr>
              <w:t>10,337.9</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1F20"/>
              </w:rPr>
              <w:t>10,073.9</w:t>
            </w:r>
          </w:p>
        </w:tc>
      </w:tr>
      <w:tr>
        <w:trPr>
          <w:trHeight w:val="210"/>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Cost of Sales</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color w:val="231F20"/>
                <w:w w:val="96"/>
              </w:rPr>
              <w:t>4(b)</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(6,895.2)</w:t>
            </w:r>
          </w:p>
        </w:tc>
        <w:tc>
          <w:tcPr>
            <w:tcW w:w="1280" w:type="dxa"/>
            <w:vAlign w:val="bottom"/>
            <w:tcBorders>
              <w:bottom w:val="single" w:sz="8" w:color="2360A6"/>
              <w:right w:val="single" w:sz="8" w:color="2360A6"/>
            </w:tcBorders>
            <w:shd w:val="clear" w:color="auto" w:fill="EDEDEE"/>
          </w:tcPr>
          <w:p>
            <w:pPr>
              <w:jc w:val="right"/>
              <w:ind w:right="8"/>
              <w:spacing w:after="0"/>
              <w:rPr>
                <w:sz w:val="20"/>
                <w:szCs w:val="20"/>
                <w:color w:val="auto"/>
              </w:rPr>
            </w:pPr>
            <w:r>
              <w:rPr>
                <w:rFonts w:ascii="Arial" w:cs="Arial" w:eastAsia="Arial" w:hAnsi="Arial"/>
                <w:sz w:val="14"/>
                <w:szCs w:val="14"/>
                <w:color w:val="231F20"/>
              </w:rPr>
              <w:t>(8,892.2)</w:t>
            </w:r>
          </w:p>
        </w:tc>
        <w:tc>
          <w:tcPr>
            <w:tcW w:w="126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(8,606.3)</w:t>
            </w:r>
          </w:p>
        </w:tc>
      </w:tr>
      <w:tr>
        <w:trPr>
          <w:trHeight w:val="264"/>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Gross Margin</w:t>
            </w:r>
          </w:p>
        </w:tc>
        <w:tc>
          <w:tcPr>
            <w:tcW w:w="1280" w:type="dxa"/>
            <w:vAlign w:val="bottom"/>
            <w:tcBorders>
              <w:bottom w:val="single" w:sz="8" w:color="2360A6"/>
              <w:right w:val="single" w:sz="8" w:color="2360A6"/>
            </w:tcBorders>
          </w:tcPr>
          <w:p>
            <w:pPr>
              <w:spacing w:after="0"/>
              <w:rPr>
                <w:sz w:val="22"/>
                <w:szCs w:val="22"/>
                <w:color w:val="auto"/>
              </w:rPr>
            </w:pP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1F20"/>
              </w:rPr>
              <w:t>1,418.2</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1F20"/>
              </w:rPr>
              <w:t>1,445.7</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1F20"/>
              </w:rPr>
              <w:t>1,467.6</w:t>
            </w:r>
          </w:p>
        </w:tc>
      </w:tr>
      <w:tr>
        <w:trPr>
          <w:trHeight w:val="210"/>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Research and Development Costs</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color w:val="231F20"/>
                <w:w w:val="99"/>
              </w:rPr>
              <w:t>4(c)</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(95.3)</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(86.1)</w:t>
            </w:r>
          </w:p>
        </w:tc>
        <w:tc>
          <w:tcPr>
            <w:tcW w:w="126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(82.6)</w:t>
            </w:r>
          </w:p>
        </w:tc>
      </w:tr>
      <w:tr>
        <w:trPr>
          <w:trHeight w:val="264"/>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Selling Costs</w:t>
            </w:r>
          </w:p>
        </w:tc>
        <w:tc>
          <w:tcPr>
            <w:tcW w:w="1280" w:type="dxa"/>
            <w:vAlign w:val="bottom"/>
            <w:tcBorders>
              <w:bottom w:val="single" w:sz="8" w:color="2360A6"/>
              <w:right w:val="single" w:sz="8" w:color="2360A6"/>
            </w:tcBorders>
          </w:tcPr>
          <w:p>
            <w:pPr>
              <w:spacing w:after="0"/>
              <w:rPr>
                <w:sz w:val="22"/>
                <w:szCs w:val="22"/>
                <w:color w:val="auto"/>
              </w:rPr>
            </w:pP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(211.9)</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(214.5)</w:t>
            </w:r>
          </w:p>
        </w:tc>
        <w:tc>
          <w:tcPr>
            <w:tcW w:w="126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(221.1)</w:t>
            </w:r>
          </w:p>
        </w:tc>
      </w:tr>
      <w:tr>
        <w:trPr>
          <w:trHeight w:val="210"/>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Administrative Costs</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color w:val="231F20"/>
                <w:w w:val="96"/>
              </w:rPr>
              <w:t>4(d)</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(305.0)</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(403.9)</w:t>
            </w:r>
          </w:p>
        </w:tc>
        <w:tc>
          <w:tcPr>
            <w:tcW w:w="126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(423.6)</w:t>
            </w:r>
          </w:p>
        </w:tc>
      </w:tr>
      <w:tr>
        <w:trPr>
          <w:trHeight w:val="210"/>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Operating Income</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color w:val="231F20"/>
                <w:w w:val="96"/>
              </w:rPr>
              <w:t>4(e)</w:t>
            </w: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18.3</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20.3</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31.0</w:t>
            </w:r>
          </w:p>
        </w:tc>
      </w:tr>
      <w:tr>
        <w:trPr>
          <w:trHeight w:val="210"/>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Operating Expenses</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color w:val="231F20"/>
                <w:w w:val="95"/>
              </w:rPr>
              <w:t>4(f)</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(33.6)</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(15.5)</w:t>
            </w:r>
          </w:p>
        </w:tc>
        <w:tc>
          <w:tcPr>
            <w:tcW w:w="126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(11.4)</w:t>
            </w:r>
          </w:p>
        </w:tc>
      </w:tr>
      <w:tr>
        <w:trPr>
          <w:trHeight w:val="264"/>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Operating Income/(Loss) from Recurring Activities</w:t>
            </w:r>
          </w:p>
        </w:tc>
        <w:tc>
          <w:tcPr>
            <w:tcW w:w="1280" w:type="dxa"/>
            <w:vAlign w:val="bottom"/>
            <w:tcBorders>
              <w:bottom w:val="single" w:sz="8" w:color="2360A6"/>
              <w:right w:val="single" w:sz="8" w:color="2360A6"/>
            </w:tcBorders>
          </w:tcPr>
          <w:p>
            <w:pPr>
              <w:spacing w:after="0"/>
              <w:rPr>
                <w:sz w:val="22"/>
                <w:szCs w:val="22"/>
                <w:color w:val="auto"/>
              </w:rPr>
            </w:pP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1F20"/>
              </w:rPr>
              <w:t>790.7</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1F20"/>
              </w:rPr>
              <w:t>746.0</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1F20"/>
              </w:rPr>
              <w:t>759.9</w:t>
            </w:r>
          </w:p>
        </w:tc>
      </w:tr>
      <w:tr>
        <w:trPr>
          <w:trHeight w:val="210"/>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 of Income/(Loss) of Equity Affiliates</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color w:val="231F20"/>
              </w:rPr>
              <w:t>11</w:t>
            </w: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102.1</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54.6</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40.3</w:t>
            </w:r>
          </w:p>
        </w:tc>
      </w:tr>
      <w:tr>
        <w:trPr>
          <w:trHeight w:val="175"/>
        </w:trPr>
        <w:tc>
          <w:tcPr>
            <w:tcW w:w="5560" w:type="dxa"/>
            <w:vAlign w:val="bottom"/>
            <w:tcBorders>
              <w:left w:val="single" w:sz="8" w:color="231F20"/>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Operating Income from Recurring Activities after Income/(Loss) of Equity</w:t>
            </w:r>
          </w:p>
        </w:tc>
        <w:tc>
          <w:tcPr>
            <w:tcW w:w="1280" w:type="dxa"/>
            <w:vAlign w:val="bottom"/>
            <w:tcBorders>
              <w:right w:val="single" w:sz="8" w:color="2360A6"/>
            </w:tcBorders>
          </w:tcPr>
          <w:p>
            <w:pPr>
              <w:spacing w:after="0"/>
              <w:rPr>
                <w:sz w:val="15"/>
                <w:szCs w:val="15"/>
                <w:color w:val="auto"/>
              </w:rPr>
            </w:pPr>
          </w:p>
        </w:tc>
        <w:tc>
          <w:tcPr>
            <w:tcW w:w="1280" w:type="dxa"/>
            <w:vAlign w:val="bottom"/>
            <w:tcBorders>
              <w:right w:val="single" w:sz="8" w:color="2360A6"/>
            </w:tcBorders>
            <w:shd w:val="clear" w:color="auto" w:fill="EDEDEE"/>
          </w:tcPr>
          <w:p>
            <w:pPr>
              <w:spacing w:after="0"/>
              <w:rPr>
                <w:sz w:val="15"/>
                <w:szCs w:val="15"/>
                <w:color w:val="auto"/>
              </w:rPr>
            </w:pPr>
          </w:p>
        </w:tc>
        <w:tc>
          <w:tcPr>
            <w:tcW w:w="1280" w:type="dxa"/>
            <w:vAlign w:val="bottom"/>
            <w:tcBorders>
              <w:right w:val="single" w:sz="8" w:color="2360A6"/>
            </w:tcBorders>
            <w:shd w:val="clear" w:color="auto" w:fill="EDEDEE"/>
          </w:tcPr>
          <w:p>
            <w:pPr>
              <w:spacing w:after="0"/>
              <w:rPr>
                <w:sz w:val="15"/>
                <w:szCs w:val="15"/>
                <w:color w:val="auto"/>
              </w:rPr>
            </w:pPr>
          </w:p>
        </w:tc>
        <w:tc>
          <w:tcPr>
            <w:tcW w:w="1260" w:type="dxa"/>
            <w:vAlign w:val="bottom"/>
            <w:tcBorders>
              <w:right w:val="single" w:sz="8" w:color="231F20"/>
            </w:tcBorders>
          </w:tcPr>
          <w:p>
            <w:pPr>
              <w:spacing w:after="0"/>
              <w:rPr>
                <w:sz w:val="15"/>
                <w:szCs w:val="15"/>
                <w:color w:val="auto"/>
              </w:rPr>
            </w:pPr>
          </w:p>
        </w:tc>
      </w:tr>
      <w:tr>
        <w:trPr>
          <w:trHeight w:val="196"/>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Affiliates</w:t>
            </w:r>
          </w:p>
        </w:tc>
        <w:tc>
          <w:tcPr>
            <w:tcW w:w="1280" w:type="dxa"/>
            <w:vAlign w:val="bottom"/>
            <w:tcBorders>
              <w:bottom w:val="single" w:sz="8" w:color="2360A6"/>
              <w:right w:val="single" w:sz="8" w:color="2360A6"/>
            </w:tcBorders>
          </w:tcPr>
          <w:p>
            <w:pPr>
              <w:spacing w:after="0"/>
              <w:rPr>
                <w:sz w:val="17"/>
                <w:szCs w:val="17"/>
                <w:color w:val="auto"/>
              </w:rPr>
            </w:pP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1F20"/>
              </w:rPr>
              <w:t>892.8</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1F20"/>
              </w:rPr>
              <w:t>800.6</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1F20"/>
              </w:rPr>
              <w:t>800.2</w:t>
            </w:r>
          </w:p>
        </w:tc>
      </w:tr>
      <w:tr>
        <w:trPr>
          <w:trHeight w:val="210"/>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Income/(Charges) from Disposals of Activities</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color w:val="231F20"/>
                <w:w w:val="96"/>
              </w:rPr>
              <w:t>4(g)</w:t>
            </w: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(5.5)</w:t>
            </w:r>
          </w:p>
        </w:tc>
      </w:tr>
      <w:tr>
        <w:trPr>
          <w:trHeight w:val="210"/>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Income/(Charges) from Non-Current Activities</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color w:val="231F20"/>
                <w:w w:val="96"/>
              </w:rPr>
              <w:t>4(h)</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(441.0)</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(469.8)</w:t>
            </w:r>
          </w:p>
        </w:tc>
        <w:tc>
          <w:tcPr>
            <w:tcW w:w="126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(68.1)</w:t>
            </w:r>
          </w:p>
        </w:tc>
      </w:tr>
      <w:tr>
        <w:trPr>
          <w:trHeight w:val="264"/>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Operating Income/(Loss)</w:t>
            </w:r>
          </w:p>
        </w:tc>
        <w:tc>
          <w:tcPr>
            <w:tcW w:w="1280" w:type="dxa"/>
            <w:vAlign w:val="bottom"/>
            <w:tcBorders>
              <w:bottom w:val="single" w:sz="8" w:color="2360A6"/>
              <w:right w:val="single" w:sz="8" w:color="2360A6"/>
            </w:tcBorders>
          </w:tcPr>
          <w:p>
            <w:pPr>
              <w:spacing w:after="0"/>
              <w:rPr>
                <w:sz w:val="22"/>
                <w:szCs w:val="22"/>
                <w:color w:val="auto"/>
              </w:rPr>
            </w:pP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1F20"/>
              </w:rPr>
              <w:t>451.8</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1F20"/>
              </w:rPr>
              <w:t>330.8</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1F20"/>
              </w:rPr>
              <w:t>726.6</w:t>
            </w:r>
          </w:p>
        </w:tc>
      </w:tr>
      <w:tr>
        <w:trPr>
          <w:trHeight w:val="210"/>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 Income</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color w:val="231F20"/>
                <w:w w:val="96"/>
              </w:rPr>
              <w:t>5(a)</w:t>
            </w: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660.2</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625.5</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450.0</w:t>
            </w:r>
          </w:p>
        </w:tc>
      </w:tr>
      <w:tr>
        <w:trPr>
          <w:trHeight w:val="210"/>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 Expenses</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color w:val="231F20"/>
                <w:w w:val="96"/>
              </w:rPr>
              <w:t>5(b)</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(731.2)</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(783.1)</w:t>
            </w:r>
          </w:p>
        </w:tc>
        <w:tc>
          <w:tcPr>
            <w:tcW w:w="126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(577.3)</w:t>
            </w:r>
          </w:p>
        </w:tc>
      </w:tr>
      <w:tr>
        <w:trPr>
          <w:trHeight w:val="264"/>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Income/(Loss) before Tax</w:t>
            </w:r>
          </w:p>
        </w:tc>
        <w:tc>
          <w:tcPr>
            <w:tcW w:w="1280" w:type="dxa"/>
            <w:vAlign w:val="bottom"/>
            <w:tcBorders>
              <w:bottom w:val="single" w:sz="8" w:color="2360A6"/>
              <w:right w:val="single" w:sz="8" w:color="2360A6"/>
            </w:tcBorders>
          </w:tcPr>
          <w:p>
            <w:pPr>
              <w:spacing w:after="0"/>
              <w:rPr>
                <w:sz w:val="22"/>
                <w:szCs w:val="22"/>
                <w:color w:val="auto"/>
              </w:rPr>
            </w:pP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1F20"/>
              </w:rPr>
              <w:t>380.8</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1F20"/>
              </w:rPr>
              <w:t>173.2</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1F20"/>
              </w:rPr>
              <w:t>599.3</w:t>
            </w:r>
          </w:p>
        </w:tc>
      </w:tr>
      <w:tr>
        <w:trPr>
          <w:trHeight w:val="210"/>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Income Tax Expense</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color w:val="231F20"/>
              </w:rPr>
              <w:t>6</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(130.7)</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(117.0)</w:t>
            </w:r>
          </w:p>
        </w:tc>
        <w:tc>
          <w:tcPr>
            <w:tcW w:w="126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(156.9)</w:t>
            </w:r>
          </w:p>
        </w:tc>
      </w:tr>
      <w:tr>
        <w:trPr>
          <w:trHeight w:val="264"/>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Income/(Loss) from Continuing Operations</w:t>
            </w:r>
          </w:p>
        </w:tc>
        <w:tc>
          <w:tcPr>
            <w:tcW w:w="1280" w:type="dxa"/>
            <w:vAlign w:val="bottom"/>
            <w:tcBorders>
              <w:bottom w:val="single" w:sz="8" w:color="2360A6"/>
              <w:right w:val="single" w:sz="8" w:color="2360A6"/>
            </w:tcBorders>
          </w:tcPr>
          <w:p>
            <w:pPr>
              <w:spacing w:after="0"/>
              <w:rPr>
                <w:sz w:val="22"/>
                <w:szCs w:val="22"/>
                <w:color w:val="auto"/>
              </w:rPr>
            </w:pP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250.1</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56.2</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442.4</w:t>
            </w:r>
          </w:p>
        </w:tc>
      </w:tr>
      <w:tr>
        <w:trPr>
          <w:trHeight w:val="264"/>
        </w:trPr>
        <w:tc>
          <w:tcPr>
            <w:tcW w:w="5560" w:type="dxa"/>
            <w:vAlign w:val="bottom"/>
            <w:tcBorders>
              <w:left w:val="single" w:sz="8" w:color="231F20"/>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INCOME/(LOSS) FOR THE YEAR</w:t>
            </w:r>
          </w:p>
        </w:tc>
        <w:tc>
          <w:tcPr>
            <w:tcW w:w="1280" w:type="dxa"/>
            <w:vAlign w:val="bottom"/>
            <w:tcBorders>
              <w:bottom w:val="single" w:sz="8" w:color="2360A6"/>
              <w:right w:val="single" w:sz="8" w:color="2360A6"/>
            </w:tcBorders>
            <w:shd w:val="clear" w:color="auto" w:fill="D2DEEC"/>
          </w:tcPr>
          <w:p>
            <w:pPr>
              <w:spacing w:after="0"/>
              <w:rPr>
                <w:sz w:val="22"/>
                <w:szCs w:val="22"/>
                <w:color w:val="auto"/>
              </w:rPr>
            </w:pPr>
          </w:p>
        </w:tc>
        <w:tc>
          <w:tcPr>
            <w:tcW w:w="12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250.1</w:t>
            </w:r>
          </w:p>
        </w:tc>
        <w:tc>
          <w:tcPr>
            <w:tcW w:w="12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56.2</w:t>
            </w:r>
          </w:p>
        </w:tc>
        <w:tc>
          <w:tcPr>
            <w:tcW w:w="126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442.4</w:t>
            </w:r>
          </w:p>
        </w:tc>
      </w:tr>
      <w:tr>
        <w:trPr>
          <w:trHeight w:val="264"/>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Attributable to:</w:t>
            </w:r>
          </w:p>
        </w:tc>
        <w:tc>
          <w:tcPr>
            <w:tcW w:w="1280" w:type="dxa"/>
            <w:vAlign w:val="bottom"/>
            <w:tcBorders>
              <w:bottom w:val="single" w:sz="8" w:color="2360A6"/>
              <w:right w:val="single" w:sz="8" w:color="2360A6"/>
            </w:tcBorders>
          </w:tcPr>
          <w:p>
            <w:pPr>
              <w:spacing w:after="0"/>
              <w:rPr>
                <w:sz w:val="22"/>
                <w:szCs w:val="22"/>
                <w:color w:val="auto"/>
              </w:rPr>
            </w:pPr>
          </w:p>
        </w:tc>
        <w:tc>
          <w:tcPr>
            <w:tcW w:w="1280" w:type="dxa"/>
            <w:vAlign w:val="bottom"/>
            <w:tcBorders>
              <w:bottom w:val="single" w:sz="8" w:color="2360A6"/>
              <w:right w:val="single" w:sz="8" w:color="2360A6"/>
            </w:tcBorders>
            <w:shd w:val="clear" w:color="auto" w:fill="EDEDEE"/>
          </w:tcPr>
          <w:p>
            <w:pPr>
              <w:spacing w:after="0"/>
              <w:rPr>
                <w:sz w:val="22"/>
                <w:szCs w:val="22"/>
                <w:color w:val="auto"/>
              </w:rPr>
            </w:pPr>
          </w:p>
        </w:tc>
        <w:tc>
          <w:tcPr>
            <w:tcW w:w="1280" w:type="dxa"/>
            <w:vAlign w:val="bottom"/>
            <w:tcBorders>
              <w:bottom w:val="single" w:sz="8" w:color="2360A6"/>
              <w:right w:val="single" w:sz="8" w:color="2360A6"/>
            </w:tcBorders>
            <w:shd w:val="clear" w:color="auto" w:fill="EDEDEE"/>
          </w:tcPr>
          <w:p>
            <w:pPr>
              <w:spacing w:after="0"/>
              <w:rPr>
                <w:sz w:val="22"/>
                <w:szCs w:val="22"/>
                <w:color w:val="auto"/>
              </w:rPr>
            </w:pPr>
          </w:p>
        </w:tc>
        <w:tc>
          <w:tcPr>
            <w:tcW w:w="1260" w:type="dxa"/>
            <w:vAlign w:val="bottom"/>
            <w:tcBorders>
              <w:bottom w:val="single" w:sz="8" w:color="2360A6"/>
              <w:right w:val="single" w:sz="8" w:color="231F20"/>
            </w:tcBorders>
          </w:tcPr>
          <w:p>
            <w:pPr>
              <w:spacing w:after="0"/>
              <w:rPr>
                <w:sz w:val="22"/>
                <w:szCs w:val="22"/>
                <w:color w:val="auto"/>
              </w:rPr>
            </w:pPr>
          </w:p>
        </w:tc>
      </w:tr>
      <w:tr>
        <w:trPr>
          <w:trHeight w:val="264"/>
        </w:trPr>
        <w:tc>
          <w:tcPr>
            <w:tcW w:w="5560" w:type="dxa"/>
            <w:vAlign w:val="bottom"/>
            <w:tcBorders>
              <w:left w:val="single" w:sz="8" w:color="231F20"/>
              <w:bottom w:val="single" w:sz="8" w:color="2360A6"/>
              <w:right w:val="single" w:sz="8" w:color="2360A6"/>
            </w:tcBorders>
          </w:tcPr>
          <w:p>
            <w:pPr>
              <w:ind w:left="280"/>
              <w:spacing w:after="0"/>
              <w:rPr>
                <w:sz w:val="20"/>
                <w:szCs w:val="20"/>
                <w:color w:val="auto"/>
              </w:rPr>
            </w:pPr>
            <w:r>
              <w:rPr>
                <w:rFonts w:ascii="Arial" w:cs="Arial" w:eastAsia="Arial" w:hAnsi="Arial"/>
                <w:sz w:val="14"/>
                <w:szCs w:val="14"/>
                <w:color w:val="231F20"/>
              </w:rPr>
              <w:t>Shareholders of the Parent Company</w:t>
            </w:r>
          </w:p>
        </w:tc>
        <w:tc>
          <w:tcPr>
            <w:tcW w:w="1280" w:type="dxa"/>
            <w:vAlign w:val="bottom"/>
            <w:tcBorders>
              <w:bottom w:val="single" w:sz="8" w:color="2360A6"/>
              <w:right w:val="single" w:sz="8" w:color="2360A6"/>
            </w:tcBorders>
          </w:tcPr>
          <w:p>
            <w:pPr>
              <w:spacing w:after="0"/>
              <w:rPr>
                <w:sz w:val="22"/>
                <w:szCs w:val="22"/>
                <w:color w:val="auto"/>
              </w:rPr>
            </w:pP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281.3</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45.1</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436.6</w:t>
            </w:r>
          </w:p>
        </w:tc>
      </w:tr>
      <w:tr>
        <w:trPr>
          <w:trHeight w:val="264"/>
        </w:trPr>
        <w:tc>
          <w:tcPr>
            <w:tcW w:w="5560" w:type="dxa"/>
            <w:vAlign w:val="bottom"/>
            <w:tcBorders>
              <w:left w:val="single" w:sz="8" w:color="231F20"/>
              <w:bottom w:val="single" w:sz="8" w:color="2360A6"/>
              <w:right w:val="single" w:sz="8" w:color="2360A6"/>
            </w:tcBorders>
          </w:tcPr>
          <w:p>
            <w:pPr>
              <w:ind w:left="280"/>
              <w:spacing w:after="0"/>
              <w:rPr>
                <w:sz w:val="20"/>
                <w:szCs w:val="20"/>
                <w:color w:val="auto"/>
              </w:rPr>
            </w:pPr>
            <w:r>
              <w:rPr>
                <w:rFonts w:ascii="Arial" w:cs="Arial" w:eastAsia="Arial" w:hAnsi="Arial"/>
                <w:sz w:val="14"/>
                <w:szCs w:val="14"/>
                <w:color w:val="231F20"/>
              </w:rPr>
              <w:t>Non-Controlling Interests</w:t>
            </w:r>
          </w:p>
        </w:tc>
        <w:tc>
          <w:tcPr>
            <w:tcW w:w="1280" w:type="dxa"/>
            <w:vAlign w:val="bottom"/>
            <w:tcBorders>
              <w:bottom w:val="single" w:sz="8" w:color="2360A6"/>
              <w:right w:val="single" w:sz="8" w:color="2360A6"/>
            </w:tcBorders>
          </w:tcPr>
          <w:p>
            <w:pPr>
              <w:spacing w:after="0"/>
              <w:rPr>
                <w:sz w:val="22"/>
                <w:szCs w:val="22"/>
                <w:color w:val="auto"/>
              </w:rPr>
            </w:pP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(31.2)</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11.1</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5.8</w:t>
            </w:r>
          </w:p>
        </w:tc>
      </w:tr>
      <w:tr>
        <w:trPr>
          <w:trHeight w:val="237"/>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 xml:space="preserve">Earnings per Share </w:t>
            </w:r>
            <w:r>
              <w:rPr>
                <w:rFonts w:ascii="Arial" w:cs="Arial" w:eastAsia="Arial" w:hAnsi="Arial"/>
                <w:sz w:val="14"/>
                <w:szCs w:val="14"/>
                <w:i w:val="1"/>
                <w:iCs w:val="1"/>
                <w:color w:val="231F20"/>
              </w:rPr>
              <w:t>(in Euro)</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color w:val="231F20"/>
              </w:rPr>
              <w:t>8</w:t>
            </w: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2.36</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0.39</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3.89</w:t>
            </w:r>
          </w:p>
        </w:tc>
      </w:tr>
      <w:tr>
        <w:trPr>
          <w:trHeight w:val="237"/>
        </w:trPr>
        <w:tc>
          <w:tcPr>
            <w:tcW w:w="556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 xml:space="preserve">Diluted Earnings per Share </w:t>
            </w:r>
            <w:r>
              <w:rPr>
                <w:rFonts w:ascii="Arial" w:cs="Arial" w:eastAsia="Arial" w:hAnsi="Arial"/>
                <w:sz w:val="14"/>
                <w:szCs w:val="14"/>
                <w:i w:val="1"/>
                <w:iCs w:val="1"/>
                <w:color w:val="231F20"/>
              </w:rPr>
              <w:t>(in Euro)</w:t>
            </w:r>
          </w:p>
        </w:tc>
        <w:tc>
          <w:tcPr>
            <w:tcW w:w="12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4"/>
                <w:szCs w:val="14"/>
                <w:color w:val="231F20"/>
              </w:rPr>
              <w:t>8</w:t>
            </w:r>
          </w:p>
        </w:tc>
        <w:tc>
          <w:tcPr>
            <w:tcW w:w="12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2.34</w:t>
            </w: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0.39</w:t>
            </w:r>
          </w:p>
        </w:tc>
        <w:tc>
          <w:tcPr>
            <w:tcW w:w="126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3.65</w:t>
            </w:r>
          </w:p>
        </w:tc>
      </w:tr>
    </w:tbl>
    <w:p>
      <w:pPr>
        <w:sectPr>
          <w:pgSz w:w="11900" w:h="16838" w:orient="portrait"/>
          <w:cols w:equalWidth="0" w:num="1">
            <w:col w:w="10980"/>
          </w:cols>
          <w:pgMar w:left="320" w:top="1045" w:right="599" w:bottom="1440" w:gutter="0" w:footer="0" w:header="0"/>
        </w:sectPr>
      </w:pPr>
    </w:p>
    <w:bookmarkStart w:id="74" w:name="page75"/>
    <w:bookmarkEnd w:id="74"/>
    <w:p>
      <w:pPr>
        <w:spacing w:after="0"/>
        <w:rPr>
          <w:sz w:val="20"/>
          <w:szCs w:val="20"/>
          <w:color w:val="auto"/>
        </w:rPr>
      </w:pPr>
      <w:r>
        <w:rPr>
          <w:rFonts w:ascii="Arial" w:cs="Arial" w:eastAsia="Arial" w:hAnsi="Arial"/>
          <w:sz w:val="22"/>
          <w:szCs w:val="22"/>
          <w:b w:val="1"/>
          <w:bCs w:val="1"/>
          <w:color w:val="2360A6"/>
        </w:rPr>
        <w:t>2. Consolidated Statement of Other Comprehensive Income</w:t>
      </w:r>
    </w:p>
    <w:p>
      <w:pPr>
        <w:spacing w:after="0" w:line="354" w:lineRule="exact"/>
        <w:rPr>
          <w:sz w:val="20"/>
          <w:szCs w:val="20"/>
          <w:color w:val="auto"/>
        </w:rPr>
      </w:pPr>
    </w:p>
    <w:tbl>
      <w:tblPr>
        <w:tblLayout w:type="fixed"/>
        <w:tblInd w:w="330" w:type="dxa"/>
        <w:tblCellMar>
          <w:top w:w="0" w:type="dxa"/>
          <w:left w:w="0" w:type="dxa"/>
          <w:bottom w:w="0" w:type="dxa"/>
          <w:right w:w="0" w:type="dxa"/>
        </w:tblCellMar>
      </w:tblPr>
      <w:tr>
        <w:trPr>
          <w:trHeight w:val="278"/>
        </w:trPr>
        <w:tc>
          <w:tcPr>
            <w:tcW w:w="5560" w:type="dxa"/>
            <w:vAlign w:val="bottom"/>
            <w:tcBorders>
              <w:top w:val="single" w:sz="8" w:color="2360A6"/>
              <w:left w:val="single" w:sz="8" w:color="231F20"/>
              <w:right w:val="single" w:sz="8" w:color="231F20"/>
            </w:tcBorders>
          </w:tcPr>
          <w:p>
            <w:pPr>
              <w:spacing w:after="0"/>
              <w:rPr>
                <w:sz w:val="24"/>
                <w:szCs w:val="24"/>
                <w:color w:val="auto"/>
              </w:rPr>
            </w:pPr>
          </w:p>
        </w:tc>
        <w:tc>
          <w:tcPr>
            <w:tcW w:w="1280" w:type="dxa"/>
            <w:vAlign w:val="bottom"/>
            <w:tcBorders>
              <w:top w:val="single" w:sz="8" w:color="2360A6"/>
              <w:bottom w:val="single" w:sz="8" w:color="2360A6"/>
              <w:right w:val="single" w:sz="8" w:color="231F20"/>
            </w:tcBorders>
          </w:tcPr>
          <w:p>
            <w:pPr>
              <w:spacing w:after="0"/>
              <w:rPr>
                <w:sz w:val="24"/>
                <w:szCs w:val="24"/>
                <w:color w:val="auto"/>
              </w:rPr>
            </w:pPr>
          </w:p>
        </w:tc>
        <w:tc>
          <w:tcPr>
            <w:tcW w:w="1280" w:type="dxa"/>
            <w:vAlign w:val="bottom"/>
            <w:tcBorders>
              <w:top w:val="single" w:sz="8" w:color="2360A6"/>
              <w:bottom w:val="single" w:sz="8" w:color="2360A6"/>
            </w:tcBorders>
          </w:tcPr>
          <w:p>
            <w:pPr>
              <w:spacing w:after="0"/>
              <w:rPr>
                <w:sz w:val="24"/>
                <w:szCs w:val="24"/>
                <w:color w:val="auto"/>
              </w:rPr>
            </w:pPr>
          </w:p>
        </w:tc>
        <w:tc>
          <w:tcPr>
            <w:tcW w:w="1280" w:type="dxa"/>
            <w:vAlign w:val="bottom"/>
            <w:tcBorders>
              <w:top w:val="single" w:sz="8" w:color="2360A6"/>
              <w:bottom w:val="single" w:sz="8" w:color="2360A6"/>
            </w:tcBorders>
          </w:tcPr>
          <w:p>
            <w:pPr>
              <w:jc w:val="right"/>
              <w:ind w:right="228"/>
              <w:spacing w:after="0"/>
              <w:rPr>
                <w:sz w:val="20"/>
                <w:szCs w:val="20"/>
                <w:color w:val="auto"/>
              </w:rPr>
            </w:pPr>
            <w:r>
              <w:rPr>
                <w:rFonts w:ascii="Arial" w:cs="Arial" w:eastAsia="Arial" w:hAnsi="Arial"/>
                <w:sz w:val="14"/>
                <w:szCs w:val="14"/>
                <w:b w:val="1"/>
                <w:bCs w:val="1"/>
                <w:color w:val="2360A6"/>
              </w:rPr>
              <w:t>12 months</w:t>
            </w:r>
          </w:p>
        </w:tc>
        <w:tc>
          <w:tcPr>
            <w:tcW w:w="1260" w:type="dxa"/>
            <w:vAlign w:val="bottom"/>
            <w:tcBorders>
              <w:top w:val="single" w:sz="8" w:color="2360A6"/>
              <w:bottom w:val="single" w:sz="8" w:color="2360A6"/>
              <w:right w:val="single" w:sz="8" w:color="231F20"/>
            </w:tcBorders>
          </w:tcPr>
          <w:p>
            <w:pPr>
              <w:spacing w:after="0"/>
              <w:rPr>
                <w:sz w:val="24"/>
                <w:szCs w:val="24"/>
                <w:color w:val="auto"/>
              </w:rPr>
            </w:pP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28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b w:val="1"/>
                <w:bCs w:val="1"/>
                <w:color w:val="2360A6"/>
              </w:rPr>
              <w:t>Notes</w:t>
            </w:r>
          </w:p>
        </w:tc>
        <w:tc>
          <w:tcPr>
            <w:tcW w:w="1280" w:type="dxa"/>
            <w:vAlign w:val="bottom"/>
            <w:tcBorders>
              <w:bottom w:val="single" w:sz="8" w:color="2360A6"/>
              <w:right w:val="single" w:sz="8" w:color="231F20"/>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2016</w:t>
            </w:r>
          </w:p>
        </w:tc>
        <w:tc>
          <w:tcPr>
            <w:tcW w:w="12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2015</w:t>
            </w:r>
          </w:p>
        </w:tc>
        <w:tc>
          <w:tcPr>
            <w:tcW w:w="1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64"/>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Net Income/(Loss) for the Year</w:t>
            </w:r>
          </w:p>
        </w:tc>
        <w:tc>
          <w:tcPr>
            <w:tcW w:w="128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1F20"/>
              </w:rPr>
              <w:t>250.1</w:t>
            </w:r>
          </w:p>
        </w:tc>
        <w:tc>
          <w:tcPr>
            <w:tcW w:w="12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1F20"/>
              </w:rPr>
              <w:t>56.2</w:t>
            </w:r>
          </w:p>
        </w:tc>
        <w:tc>
          <w:tcPr>
            <w:tcW w:w="1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1F20"/>
              </w:rPr>
              <w:t>442.4</w:t>
            </w:r>
          </w:p>
        </w:tc>
      </w:tr>
      <w:tr>
        <w:trPr>
          <w:trHeight w:val="264"/>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Other Comprehensive Income</w:t>
            </w:r>
          </w:p>
        </w:tc>
        <w:tc>
          <w:tcPr>
            <w:tcW w:w="128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spacing w:after="0"/>
              <w:rPr>
                <w:sz w:val="22"/>
                <w:szCs w:val="22"/>
                <w:color w:val="auto"/>
              </w:rPr>
            </w:pPr>
          </w:p>
        </w:tc>
        <w:tc>
          <w:tcPr>
            <w:tcW w:w="1280" w:type="dxa"/>
            <w:vAlign w:val="bottom"/>
            <w:tcBorders>
              <w:bottom w:val="single" w:sz="8" w:color="2360A6"/>
              <w:right w:val="single" w:sz="8" w:color="231F20"/>
            </w:tcBorders>
          </w:tcPr>
          <w:p>
            <w:pPr>
              <w:spacing w:after="0"/>
              <w:rPr>
                <w:sz w:val="22"/>
                <w:szCs w:val="22"/>
                <w:color w:val="auto"/>
              </w:rPr>
            </w:pPr>
          </w:p>
        </w:tc>
        <w:tc>
          <w:tcPr>
            <w:tcW w:w="1260" w:type="dxa"/>
            <w:vAlign w:val="bottom"/>
            <w:tcBorders>
              <w:bottom w:val="single" w:sz="8" w:color="2360A6"/>
              <w:right w:val="single" w:sz="8" w:color="231F20"/>
            </w:tcBorders>
          </w:tcPr>
          <w:p>
            <w:pPr>
              <w:spacing w:after="0"/>
              <w:rPr>
                <w:sz w:val="22"/>
                <w:szCs w:val="22"/>
                <w:color w:val="auto"/>
              </w:rPr>
            </w:pPr>
          </w:p>
        </w:tc>
      </w:tr>
      <w:tr>
        <w:trPr>
          <w:trHeight w:val="179"/>
        </w:trPr>
        <w:tc>
          <w:tcPr>
            <w:tcW w:w="556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Other Comprehensive Income to be Reclassified to Statement of Income in</w:t>
            </w:r>
          </w:p>
        </w:tc>
        <w:tc>
          <w:tcPr>
            <w:tcW w:w="1280" w:type="dxa"/>
            <w:vAlign w:val="bottom"/>
            <w:tcBorders>
              <w:right w:val="single" w:sz="8" w:color="231F20"/>
            </w:tcBorders>
          </w:tcPr>
          <w:p>
            <w:pPr>
              <w:spacing w:after="0"/>
              <w:rPr>
                <w:sz w:val="15"/>
                <w:szCs w:val="15"/>
                <w:color w:val="auto"/>
              </w:rPr>
            </w:pPr>
          </w:p>
        </w:tc>
        <w:tc>
          <w:tcPr>
            <w:tcW w:w="1280" w:type="dxa"/>
            <w:vAlign w:val="bottom"/>
            <w:tcBorders>
              <w:right w:val="single" w:sz="8" w:color="231F20"/>
            </w:tcBorders>
            <w:shd w:val="clear" w:color="auto" w:fill="EDEDEE"/>
          </w:tcPr>
          <w:p>
            <w:pPr>
              <w:spacing w:after="0"/>
              <w:rPr>
                <w:sz w:val="15"/>
                <w:szCs w:val="15"/>
                <w:color w:val="auto"/>
              </w:rPr>
            </w:pPr>
          </w:p>
        </w:tc>
        <w:tc>
          <w:tcPr>
            <w:tcW w:w="1280" w:type="dxa"/>
            <w:vAlign w:val="bottom"/>
            <w:tcBorders>
              <w:right w:val="single" w:sz="8" w:color="231F20"/>
            </w:tcBorders>
          </w:tcPr>
          <w:p>
            <w:pPr>
              <w:spacing w:after="0"/>
              <w:rPr>
                <w:sz w:val="15"/>
                <w:szCs w:val="15"/>
                <w:color w:val="auto"/>
              </w:rPr>
            </w:pPr>
          </w:p>
        </w:tc>
        <w:tc>
          <w:tcPr>
            <w:tcW w:w="1260" w:type="dxa"/>
            <w:vAlign w:val="bottom"/>
            <w:tcBorders>
              <w:right w:val="single" w:sz="8" w:color="231F20"/>
            </w:tcBorders>
          </w:tcPr>
          <w:p>
            <w:pPr>
              <w:spacing w:after="0"/>
              <w:rPr>
                <w:sz w:val="15"/>
                <w:szCs w:val="15"/>
                <w:color w:val="auto"/>
              </w:rPr>
            </w:pPr>
          </w:p>
        </w:tc>
      </w:tr>
      <w:tr>
        <w:trPr>
          <w:trHeight w:val="192"/>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Subsequent Periods:</w:t>
            </w:r>
          </w:p>
        </w:tc>
        <w:tc>
          <w:tcPr>
            <w:tcW w:w="1280" w:type="dxa"/>
            <w:vAlign w:val="bottom"/>
            <w:tcBorders>
              <w:bottom w:val="single" w:sz="8" w:color="2360A6"/>
              <w:right w:val="single" w:sz="8" w:color="231F20"/>
            </w:tcBorders>
          </w:tcPr>
          <w:p>
            <w:pPr>
              <w:spacing w:after="0"/>
              <w:rPr>
                <w:sz w:val="16"/>
                <w:szCs w:val="16"/>
                <w:color w:val="auto"/>
              </w:rPr>
            </w:pPr>
          </w:p>
        </w:tc>
        <w:tc>
          <w:tcPr>
            <w:tcW w:w="128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i w:val="1"/>
                <w:iCs w:val="1"/>
                <w:color w:val="231F20"/>
              </w:rPr>
              <w:t>242.5</w:t>
            </w:r>
          </w:p>
        </w:tc>
        <w:tc>
          <w:tcPr>
            <w:tcW w:w="12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i w:val="1"/>
                <w:iCs w:val="1"/>
                <w:color w:val="231F20"/>
              </w:rPr>
              <w:t>49.5</w:t>
            </w:r>
          </w:p>
        </w:tc>
        <w:tc>
          <w:tcPr>
            <w:tcW w:w="1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i w:val="1"/>
                <w:iCs w:val="1"/>
                <w:color w:val="231F20"/>
              </w:rPr>
              <w:t>16.5</w:t>
            </w:r>
          </w:p>
        </w:tc>
      </w:tr>
      <w:tr>
        <w:trPr>
          <w:trHeight w:val="264"/>
        </w:trPr>
        <w:tc>
          <w:tcPr>
            <w:tcW w:w="5560" w:type="dxa"/>
            <w:vAlign w:val="bottom"/>
            <w:tcBorders>
              <w:left w:val="single" w:sz="8" w:color="231F20"/>
              <w:bottom w:val="single" w:sz="8" w:color="2360A6"/>
              <w:right w:val="single" w:sz="8" w:color="231F20"/>
            </w:tcBorders>
          </w:tcPr>
          <w:p>
            <w:pPr>
              <w:ind w:left="300"/>
              <w:spacing w:after="0"/>
              <w:rPr>
                <w:sz w:val="20"/>
                <w:szCs w:val="20"/>
                <w:color w:val="auto"/>
              </w:rPr>
            </w:pPr>
            <w:r>
              <w:rPr>
                <w:rFonts w:ascii="Arial" w:cs="Arial" w:eastAsia="Arial" w:hAnsi="Arial"/>
                <w:sz w:val="14"/>
                <w:szCs w:val="14"/>
                <w:color w:val="231F20"/>
              </w:rPr>
              <w:t>Exchange Differences on Translating Entities Operating in Foreign Currency</w:t>
            </w:r>
          </w:p>
        </w:tc>
        <w:tc>
          <w:tcPr>
            <w:tcW w:w="128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95.0</w:t>
            </w:r>
          </w:p>
        </w:tc>
        <w:tc>
          <w:tcPr>
            <w:tcW w:w="12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122.1</w:t>
            </w:r>
          </w:p>
        </w:tc>
        <w:tc>
          <w:tcPr>
            <w:tcW w:w="1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239.6</w:t>
            </w:r>
          </w:p>
        </w:tc>
      </w:tr>
      <w:tr>
        <w:trPr>
          <w:trHeight w:val="270"/>
        </w:trPr>
        <w:tc>
          <w:tcPr>
            <w:tcW w:w="5560" w:type="dxa"/>
            <w:vAlign w:val="bottom"/>
            <w:tcBorders>
              <w:left w:val="single" w:sz="8" w:color="231F20"/>
              <w:bottom w:val="single" w:sz="8" w:color="2360A6"/>
              <w:right w:val="single" w:sz="8" w:color="231F20"/>
            </w:tcBorders>
          </w:tcPr>
          <w:p>
            <w:pPr>
              <w:spacing w:after="0"/>
              <w:rPr>
                <w:sz w:val="23"/>
                <w:szCs w:val="23"/>
                <w:color w:val="auto"/>
              </w:rPr>
            </w:pPr>
          </w:p>
        </w:tc>
        <w:tc>
          <w:tcPr>
            <w:tcW w:w="1280" w:type="dxa"/>
            <w:vAlign w:val="bottom"/>
            <w:tcBorders>
              <w:bottom w:val="single" w:sz="8" w:color="2360A6"/>
              <w:right w:val="single" w:sz="8" w:color="231F20"/>
            </w:tcBorders>
          </w:tcPr>
          <w:p>
            <w:pPr>
              <w:spacing w:after="0"/>
              <w:rPr>
                <w:sz w:val="23"/>
                <w:szCs w:val="23"/>
                <w:color w:val="auto"/>
              </w:rPr>
            </w:pPr>
          </w:p>
        </w:tc>
        <w:tc>
          <w:tcPr>
            <w:tcW w:w="1280" w:type="dxa"/>
            <w:vAlign w:val="bottom"/>
            <w:tcBorders>
              <w:bottom w:val="single" w:sz="8" w:color="2360A6"/>
              <w:right w:val="single" w:sz="8" w:color="231F20"/>
            </w:tcBorders>
            <w:shd w:val="clear" w:color="auto" w:fill="EDEDEE"/>
          </w:tcPr>
          <w:p>
            <w:pPr>
              <w:spacing w:after="0"/>
              <w:rPr>
                <w:sz w:val="23"/>
                <w:szCs w:val="23"/>
                <w:color w:val="auto"/>
              </w:rPr>
            </w:pPr>
          </w:p>
        </w:tc>
        <w:tc>
          <w:tcPr>
            <w:tcW w:w="1280" w:type="dxa"/>
            <w:vAlign w:val="bottom"/>
            <w:tcBorders>
              <w:bottom w:val="single" w:sz="8" w:color="2360A6"/>
              <w:right w:val="single" w:sz="8" w:color="231F20"/>
            </w:tcBorders>
          </w:tcPr>
          <w:p>
            <w:pPr>
              <w:spacing w:after="0"/>
              <w:rPr>
                <w:sz w:val="23"/>
                <w:szCs w:val="23"/>
                <w:color w:val="auto"/>
              </w:rPr>
            </w:pPr>
          </w:p>
        </w:tc>
        <w:tc>
          <w:tcPr>
            <w:tcW w:w="1260" w:type="dxa"/>
            <w:vAlign w:val="bottom"/>
            <w:tcBorders>
              <w:bottom w:val="single" w:sz="8" w:color="2360A6"/>
              <w:right w:val="single" w:sz="8" w:color="231F20"/>
            </w:tcBorders>
          </w:tcPr>
          <w:p>
            <w:pPr>
              <w:spacing w:after="0"/>
              <w:rPr>
                <w:sz w:val="23"/>
                <w:szCs w:val="23"/>
                <w:color w:val="auto"/>
              </w:rPr>
            </w:pPr>
          </w:p>
        </w:tc>
      </w:tr>
      <w:tr>
        <w:trPr>
          <w:trHeight w:val="204"/>
        </w:trPr>
        <w:tc>
          <w:tcPr>
            <w:tcW w:w="5560" w:type="dxa"/>
            <w:vAlign w:val="bottom"/>
            <w:tcBorders>
              <w:left w:val="single" w:sz="8" w:color="231F20"/>
              <w:bottom w:val="single" w:sz="8" w:color="2360A6"/>
              <w:right w:val="single" w:sz="8" w:color="231F20"/>
            </w:tcBorders>
          </w:tcPr>
          <w:p>
            <w:pPr>
              <w:ind w:left="280"/>
              <w:spacing w:after="0"/>
              <w:rPr>
                <w:sz w:val="20"/>
                <w:szCs w:val="20"/>
                <w:color w:val="auto"/>
              </w:rPr>
            </w:pPr>
            <w:r>
              <w:rPr>
                <w:rFonts w:ascii="Arial" w:cs="Arial" w:eastAsia="Arial" w:hAnsi="Arial"/>
                <w:sz w:val="14"/>
                <w:szCs w:val="14"/>
                <w:color w:val="231F20"/>
              </w:rPr>
              <w:t>Fair Value Adjustment on Available-for-Sale Financial Assets</w:t>
            </w:r>
          </w:p>
        </w:tc>
        <w:tc>
          <w:tcPr>
            <w:tcW w:w="128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w w:val="97"/>
              </w:rPr>
              <w:t>20(d)</w:t>
            </w:r>
          </w:p>
        </w:tc>
        <w:tc>
          <w:tcPr>
            <w:tcW w:w="128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19.7</w:t>
            </w:r>
          </w:p>
        </w:tc>
      </w:tr>
      <w:tr>
        <w:trPr>
          <w:trHeight w:val="210"/>
        </w:trPr>
        <w:tc>
          <w:tcPr>
            <w:tcW w:w="5560" w:type="dxa"/>
            <w:vAlign w:val="bottom"/>
            <w:tcBorders>
              <w:left w:val="single" w:sz="8" w:color="231F20"/>
              <w:bottom w:val="single" w:sz="8" w:color="2360A6"/>
              <w:right w:val="single" w:sz="8" w:color="231F20"/>
            </w:tcBorders>
          </w:tcPr>
          <w:p>
            <w:pPr>
              <w:ind w:left="280"/>
              <w:spacing w:after="0"/>
              <w:rPr>
                <w:sz w:val="20"/>
                <w:szCs w:val="20"/>
                <w:color w:val="auto"/>
              </w:rPr>
            </w:pPr>
            <w:r>
              <w:rPr>
                <w:rFonts w:ascii="Arial" w:cs="Arial" w:eastAsia="Arial" w:hAnsi="Arial"/>
                <w:sz w:val="14"/>
                <w:szCs w:val="14"/>
                <w:color w:val="231F20"/>
              </w:rPr>
              <w:t>Income Tax Effect</w:t>
            </w:r>
          </w:p>
        </w:tc>
        <w:tc>
          <w:tcPr>
            <w:tcW w:w="128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w w:val="97"/>
              </w:rPr>
              <w:t>20(d)</w:t>
            </w:r>
          </w:p>
        </w:tc>
        <w:tc>
          <w:tcPr>
            <w:tcW w:w="128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(0.7)</w:t>
            </w:r>
          </w:p>
        </w:tc>
      </w:tr>
      <w:tr>
        <w:trPr>
          <w:trHeight w:val="210"/>
        </w:trPr>
        <w:tc>
          <w:tcPr>
            <w:tcW w:w="5560" w:type="dxa"/>
            <w:vAlign w:val="bottom"/>
            <w:tcBorders>
              <w:left w:val="single" w:sz="8" w:color="231F20"/>
              <w:bottom w:val="single" w:sz="8" w:color="2360A6"/>
              <w:right w:val="single" w:sz="8" w:color="231F20"/>
            </w:tcBorders>
          </w:tcPr>
          <w:p>
            <w:pPr>
              <w:ind w:left="280"/>
              <w:spacing w:after="0"/>
              <w:rPr>
                <w:sz w:val="20"/>
                <w:szCs w:val="20"/>
                <w:color w:val="auto"/>
              </w:rPr>
            </w:pPr>
            <w:r>
              <w:rPr>
                <w:rFonts w:ascii="Arial" w:cs="Arial" w:eastAsia="Arial" w:hAnsi="Arial"/>
                <w:sz w:val="14"/>
                <w:szCs w:val="14"/>
                <w:color w:val="231F20"/>
              </w:rPr>
              <w:t>Cash Flow Hedging</w:t>
            </w:r>
          </w:p>
        </w:tc>
        <w:tc>
          <w:tcPr>
            <w:tcW w:w="128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w w:val="97"/>
              </w:rPr>
              <w:t>20(d)</w:t>
            </w:r>
          </w:p>
        </w:tc>
        <w:tc>
          <w:tcPr>
            <w:tcW w:w="128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200.7</w:t>
            </w:r>
          </w:p>
        </w:tc>
        <w:tc>
          <w:tcPr>
            <w:tcW w:w="12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(91.0)</w:t>
            </w:r>
          </w:p>
        </w:tc>
        <w:tc>
          <w:tcPr>
            <w:tcW w:w="1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(348.1)</w:t>
            </w:r>
          </w:p>
        </w:tc>
      </w:tr>
      <w:tr>
        <w:trPr>
          <w:trHeight w:val="210"/>
        </w:trPr>
        <w:tc>
          <w:tcPr>
            <w:tcW w:w="5560" w:type="dxa"/>
            <w:vAlign w:val="bottom"/>
            <w:tcBorders>
              <w:left w:val="single" w:sz="8" w:color="231F20"/>
              <w:bottom w:val="single" w:sz="8" w:color="2360A6"/>
              <w:right w:val="single" w:sz="8" w:color="231F20"/>
            </w:tcBorders>
          </w:tcPr>
          <w:p>
            <w:pPr>
              <w:ind w:left="280"/>
              <w:spacing w:after="0"/>
              <w:rPr>
                <w:sz w:val="20"/>
                <w:szCs w:val="20"/>
                <w:color w:val="auto"/>
              </w:rPr>
            </w:pPr>
            <w:r>
              <w:rPr>
                <w:rFonts w:ascii="Arial" w:cs="Arial" w:eastAsia="Arial" w:hAnsi="Arial"/>
                <w:sz w:val="14"/>
                <w:szCs w:val="14"/>
                <w:color w:val="231F20"/>
              </w:rPr>
              <w:t>Income Tax Effect</w:t>
            </w:r>
          </w:p>
        </w:tc>
        <w:tc>
          <w:tcPr>
            <w:tcW w:w="128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w w:val="97"/>
              </w:rPr>
              <w:t>20(d)</w:t>
            </w:r>
          </w:p>
        </w:tc>
        <w:tc>
          <w:tcPr>
            <w:tcW w:w="128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(53.2)</w:t>
            </w:r>
          </w:p>
        </w:tc>
        <w:tc>
          <w:tcPr>
            <w:tcW w:w="12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18.4</w:t>
            </w:r>
          </w:p>
        </w:tc>
        <w:tc>
          <w:tcPr>
            <w:tcW w:w="1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106.0</w:t>
            </w:r>
          </w:p>
        </w:tc>
      </w:tr>
      <w:tr>
        <w:trPr>
          <w:trHeight w:val="220"/>
        </w:trPr>
        <w:tc>
          <w:tcPr>
            <w:tcW w:w="5560" w:type="dxa"/>
            <w:vAlign w:val="bottom"/>
            <w:tcBorders>
              <w:left w:val="single" w:sz="8" w:color="231F20"/>
              <w:right w:val="single" w:sz="8" w:color="231F20"/>
            </w:tcBorders>
          </w:tcPr>
          <w:p>
            <w:pPr>
              <w:ind w:left="100"/>
              <w:spacing w:after="0"/>
              <w:rPr>
                <w:sz w:val="20"/>
                <w:szCs w:val="20"/>
                <w:color w:val="auto"/>
              </w:rPr>
            </w:pPr>
            <w:r>
              <w:rPr>
                <w:rFonts w:ascii="Arial" w:cs="Arial" w:eastAsia="Arial" w:hAnsi="Arial"/>
                <w:sz w:val="14"/>
                <w:szCs w:val="14"/>
                <w:i w:val="1"/>
                <w:iCs w:val="1"/>
                <w:color w:val="231F20"/>
              </w:rPr>
              <w:t>Other Comprehensive Income not being Reclassified to Statement of</w:t>
            </w:r>
          </w:p>
        </w:tc>
        <w:tc>
          <w:tcPr>
            <w:tcW w:w="1280" w:type="dxa"/>
            <w:vAlign w:val="bottom"/>
            <w:tcBorders>
              <w:right w:val="single" w:sz="8" w:color="231F20"/>
            </w:tcBorders>
          </w:tcPr>
          <w:p>
            <w:pPr>
              <w:spacing w:after="0"/>
              <w:rPr>
                <w:sz w:val="19"/>
                <w:szCs w:val="19"/>
                <w:color w:val="auto"/>
              </w:rPr>
            </w:pPr>
          </w:p>
        </w:tc>
        <w:tc>
          <w:tcPr>
            <w:tcW w:w="1280" w:type="dxa"/>
            <w:vAlign w:val="bottom"/>
            <w:tcBorders>
              <w:right w:val="single" w:sz="8" w:color="231F20"/>
            </w:tcBorders>
            <w:shd w:val="clear" w:color="auto" w:fill="EDEDEE"/>
          </w:tcPr>
          <w:p>
            <w:pPr>
              <w:spacing w:after="0"/>
              <w:rPr>
                <w:sz w:val="19"/>
                <w:szCs w:val="19"/>
                <w:color w:val="auto"/>
              </w:rPr>
            </w:pPr>
          </w:p>
        </w:tc>
        <w:tc>
          <w:tcPr>
            <w:tcW w:w="1280" w:type="dxa"/>
            <w:vAlign w:val="bottom"/>
            <w:tcBorders>
              <w:right w:val="single" w:sz="8" w:color="231F20"/>
            </w:tcBorders>
          </w:tcPr>
          <w:p>
            <w:pPr>
              <w:spacing w:after="0"/>
              <w:rPr>
                <w:sz w:val="19"/>
                <w:szCs w:val="19"/>
                <w:color w:val="auto"/>
              </w:rPr>
            </w:pPr>
          </w:p>
        </w:tc>
        <w:tc>
          <w:tcPr>
            <w:tcW w:w="1260" w:type="dxa"/>
            <w:vAlign w:val="bottom"/>
            <w:tcBorders>
              <w:right w:val="single" w:sz="8" w:color="231F20"/>
            </w:tcBorders>
          </w:tcPr>
          <w:p>
            <w:pPr>
              <w:spacing w:after="0"/>
              <w:rPr>
                <w:sz w:val="19"/>
                <w:szCs w:val="19"/>
                <w:color w:val="auto"/>
              </w:rPr>
            </w:pPr>
          </w:p>
        </w:tc>
      </w:tr>
      <w:tr>
        <w:trPr>
          <w:trHeight w:val="192"/>
        </w:trPr>
        <w:tc>
          <w:tcPr>
            <w:tcW w:w="5560" w:type="dxa"/>
            <w:vAlign w:val="bottom"/>
            <w:tcBorders>
              <w:left w:val="single" w:sz="8" w:color="231F20"/>
              <w:bottom w:val="single" w:sz="8" w:color="2360A6"/>
              <w:right w:val="single" w:sz="8" w:color="231F20"/>
            </w:tcBorders>
          </w:tcPr>
          <w:p>
            <w:pPr>
              <w:ind w:left="100"/>
              <w:spacing w:after="0"/>
              <w:rPr>
                <w:sz w:val="20"/>
                <w:szCs w:val="20"/>
                <w:color w:val="auto"/>
              </w:rPr>
            </w:pPr>
            <w:r>
              <w:rPr>
                <w:rFonts w:ascii="Arial" w:cs="Arial" w:eastAsia="Arial" w:hAnsi="Arial"/>
                <w:sz w:val="14"/>
                <w:szCs w:val="14"/>
                <w:i w:val="1"/>
                <w:iCs w:val="1"/>
                <w:color w:val="231F20"/>
              </w:rPr>
              <w:t>Income in Subsequent Periods:</w:t>
            </w:r>
          </w:p>
        </w:tc>
        <w:tc>
          <w:tcPr>
            <w:tcW w:w="1280" w:type="dxa"/>
            <w:vAlign w:val="bottom"/>
            <w:tcBorders>
              <w:bottom w:val="single" w:sz="8" w:color="2360A6"/>
              <w:right w:val="single" w:sz="8" w:color="231F20"/>
            </w:tcBorders>
          </w:tcPr>
          <w:p>
            <w:pPr>
              <w:spacing w:after="0"/>
              <w:rPr>
                <w:sz w:val="16"/>
                <w:szCs w:val="16"/>
                <w:color w:val="auto"/>
              </w:rPr>
            </w:pPr>
          </w:p>
        </w:tc>
        <w:tc>
          <w:tcPr>
            <w:tcW w:w="128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i w:val="1"/>
                <w:iCs w:val="1"/>
                <w:color w:val="231F20"/>
              </w:rPr>
              <w:t>(2.5)</w:t>
            </w:r>
          </w:p>
        </w:tc>
        <w:tc>
          <w:tcPr>
            <w:tcW w:w="12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i w:val="1"/>
                <w:iCs w:val="1"/>
                <w:color w:val="231F20"/>
              </w:rPr>
              <w:t>12.2</w:t>
            </w:r>
          </w:p>
        </w:tc>
        <w:tc>
          <w:tcPr>
            <w:tcW w:w="1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i w:val="1"/>
                <w:iCs w:val="1"/>
                <w:color w:val="231F20"/>
              </w:rPr>
              <w:t>(71.3)</w:t>
            </w:r>
          </w:p>
        </w:tc>
      </w:tr>
      <w:tr>
        <w:trPr>
          <w:trHeight w:val="210"/>
        </w:trPr>
        <w:tc>
          <w:tcPr>
            <w:tcW w:w="5560" w:type="dxa"/>
            <w:vAlign w:val="bottom"/>
            <w:tcBorders>
              <w:left w:val="single" w:sz="8" w:color="231F20"/>
              <w:bottom w:val="single" w:sz="8" w:color="2360A6"/>
              <w:right w:val="single" w:sz="8" w:color="231F20"/>
            </w:tcBorders>
          </w:tcPr>
          <w:p>
            <w:pPr>
              <w:ind w:left="280"/>
              <w:spacing w:after="0"/>
              <w:rPr>
                <w:sz w:val="20"/>
                <w:szCs w:val="20"/>
                <w:color w:val="auto"/>
              </w:rPr>
            </w:pPr>
            <w:r>
              <w:rPr>
                <w:rFonts w:ascii="Arial" w:cs="Arial" w:eastAsia="Arial" w:hAnsi="Arial"/>
                <w:sz w:val="14"/>
                <w:szCs w:val="14"/>
                <w:color w:val="231F20"/>
              </w:rPr>
              <w:t>Actuarial Gains/(Losses) on Defined Benefit Plans</w:t>
            </w:r>
          </w:p>
        </w:tc>
        <w:tc>
          <w:tcPr>
            <w:tcW w:w="128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w w:val="97"/>
              </w:rPr>
              <w:t>20(d)</w:t>
            </w:r>
          </w:p>
        </w:tc>
        <w:tc>
          <w:tcPr>
            <w:tcW w:w="128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(3.7)</w:t>
            </w:r>
          </w:p>
        </w:tc>
        <w:tc>
          <w:tcPr>
            <w:tcW w:w="12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17.1</w:t>
            </w:r>
          </w:p>
        </w:tc>
        <w:tc>
          <w:tcPr>
            <w:tcW w:w="1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(89.0)</w:t>
            </w:r>
          </w:p>
        </w:tc>
      </w:tr>
      <w:tr>
        <w:trPr>
          <w:trHeight w:val="210"/>
        </w:trPr>
        <w:tc>
          <w:tcPr>
            <w:tcW w:w="5560" w:type="dxa"/>
            <w:vAlign w:val="bottom"/>
            <w:tcBorders>
              <w:left w:val="single" w:sz="8" w:color="231F20"/>
              <w:bottom w:val="single" w:sz="8" w:color="2360A6"/>
              <w:right w:val="single" w:sz="8" w:color="231F20"/>
            </w:tcBorders>
          </w:tcPr>
          <w:p>
            <w:pPr>
              <w:ind w:left="280"/>
              <w:spacing w:after="0"/>
              <w:rPr>
                <w:sz w:val="20"/>
                <w:szCs w:val="20"/>
                <w:color w:val="auto"/>
              </w:rPr>
            </w:pPr>
            <w:r>
              <w:rPr>
                <w:rFonts w:ascii="Arial" w:cs="Arial" w:eastAsia="Arial" w:hAnsi="Arial"/>
                <w:sz w:val="14"/>
                <w:szCs w:val="14"/>
                <w:color w:val="231F20"/>
              </w:rPr>
              <w:t>Income Tax Effect</w:t>
            </w:r>
          </w:p>
        </w:tc>
        <w:tc>
          <w:tcPr>
            <w:tcW w:w="128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w w:val="97"/>
              </w:rPr>
              <w:t>20(d)</w:t>
            </w:r>
          </w:p>
        </w:tc>
        <w:tc>
          <w:tcPr>
            <w:tcW w:w="128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1.2</w:t>
            </w:r>
          </w:p>
        </w:tc>
        <w:tc>
          <w:tcPr>
            <w:tcW w:w="12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(4.9)</w:t>
            </w:r>
          </w:p>
        </w:tc>
        <w:tc>
          <w:tcPr>
            <w:tcW w:w="1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17.7</w:t>
            </w:r>
          </w:p>
        </w:tc>
      </w:tr>
      <w:tr>
        <w:trPr>
          <w:trHeight w:val="264"/>
        </w:trPr>
        <w:tc>
          <w:tcPr>
            <w:tcW w:w="556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COMPREHENSIVE INCOME FOR THE YEAR</w:t>
            </w:r>
          </w:p>
        </w:tc>
        <w:tc>
          <w:tcPr>
            <w:tcW w:w="1280" w:type="dxa"/>
            <w:vAlign w:val="bottom"/>
            <w:tcBorders>
              <w:bottom w:val="single" w:sz="8" w:color="2360A6"/>
              <w:right w:val="single" w:sz="8" w:color="231F20"/>
            </w:tcBorders>
            <w:shd w:val="clear" w:color="auto" w:fill="D2DEEC"/>
          </w:tcPr>
          <w:p>
            <w:pPr>
              <w:spacing w:after="0"/>
              <w:rPr>
                <w:sz w:val="22"/>
                <w:szCs w:val="22"/>
                <w:color w:val="auto"/>
              </w:rPr>
            </w:pPr>
          </w:p>
        </w:tc>
        <w:tc>
          <w:tcPr>
            <w:tcW w:w="1280" w:type="dxa"/>
            <w:vAlign w:val="bottom"/>
            <w:tcBorders>
              <w:bottom w:val="single" w:sz="8" w:color="2360A6"/>
              <w:right w:val="single" w:sz="8" w:color="231F20"/>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490.1</w:t>
            </w:r>
          </w:p>
        </w:tc>
        <w:tc>
          <w:tcPr>
            <w:tcW w:w="128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117.9</w:t>
            </w:r>
          </w:p>
        </w:tc>
        <w:tc>
          <w:tcPr>
            <w:tcW w:w="126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387.6</w:t>
            </w:r>
          </w:p>
        </w:tc>
      </w:tr>
      <w:tr>
        <w:trPr>
          <w:trHeight w:val="264"/>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Attributable to:</w:t>
            </w:r>
          </w:p>
        </w:tc>
        <w:tc>
          <w:tcPr>
            <w:tcW w:w="128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spacing w:after="0"/>
              <w:rPr>
                <w:sz w:val="22"/>
                <w:szCs w:val="22"/>
                <w:color w:val="auto"/>
              </w:rPr>
            </w:pPr>
          </w:p>
        </w:tc>
        <w:tc>
          <w:tcPr>
            <w:tcW w:w="1280" w:type="dxa"/>
            <w:vAlign w:val="bottom"/>
            <w:tcBorders>
              <w:bottom w:val="single" w:sz="8" w:color="2360A6"/>
              <w:right w:val="single" w:sz="8" w:color="231F20"/>
            </w:tcBorders>
          </w:tcPr>
          <w:p>
            <w:pPr>
              <w:spacing w:after="0"/>
              <w:rPr>
                <w:sz w:val="22"/>
                <w:szCs w:val="22"/>
                <w:color w:val="auto"/>
              </w:rPr>
            </w:pPr>
          </w:p>
        </w:tc>
        <w:tc>
          <w:tcPr>
            <w:tcW w:w="1260" w:type="dxa"/>
            <w:vAlign w:val="bottom"/>
            <w:tcBorders>
              <w:bottom w:val="single" w:sz="8" w:color="2360A6"/>
              <w:right w:val="single" w:sz="8" w:color="231F20"/>
            </w:tcBorders>
          </w:tcPr>
          <w:p>
            <w:pPr>
              <w:spacing w:after="0"/>
              <w:rPr>
                <w:sz w:val="22"/>
                <w:szCs w:val="22"/>
                <w:color w:val="auto"/>
              </w:rPr>
            </w:pPr>
          </w:p>
        </w:tc>
      </w:tr>
      <w:tr>
        <w:trPr>
          <w:trHeight w:val="264"/>
        </w:trPr>
        <w:tc>
          <w:tcPr>
            <w:tcW w:w="5560" w:type="dxa"/>
            <w:vAlign w:val="bottom"/>
            <w:tcBorders>
              <w:left w:val="single" w:sz="8" w:color="231F20"/>
              <w:bottom w:val="single" w:sz="8" w:color="2360A6"/>
              <w:right w:val="single" w:sz="8" w:color="231F20"/>
            </w:tcBorders>
          </w:tcPr>
          <w:p>
            <w:pPr>
              <w:ind w:left="280"/>
              <w:spacing w:after="0"/>
              <w:rPr>
                <w:sz w:val="20"/>
                <w:szCs w:val="20"/>
                <w:color w:val="auto"/>
              </w:rPr>
            </w:pPr>
            <w:r>
              <w:rPr>
                <w:rFonts w:ascii="Arial" w:cs="Arial" w:eastAsia="Arial" w:hAnsi="Arial"/>
                <w:sz w:val="14"/>
                <w:szCs w:val="14"/>
                <w:color w:val="231F20"/>
              </w:rPr>
              <w:t>Shareholders of the Parent Company</w:t>
            </w:r>
          </w:p>
        </w:tc>
        <w:tc>
          <w:tcPr>
            <w:tcW w:w="128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509.7</w:t>
            </w:r>
          </w:p>
        </w:tc>
        <w:tc>
          <w:tcPr>
            <w:tcW w:w="12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119.4</w:t>
            </w:r>
          </w:p>
        </w:tc>
        <w:tc>
          <w:tcPr>
            <w:tcW w:w="1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381.4</w:t>
            </w:r>
          </w:p>
        </w:tc>
      </w:tr>
      <w:tr>
        <w:trPr>
          <w:trHeight w:val="264"/>
        </w:trPr>
        <w:tc>
          <w:tcPr>
            <w:tcW w:w="5560" w:type="dxa"/>
            <w:vAlign w:val="bottom"/>
            <w:tcBorders>
              <w:left w:val="single" w:sz="8" w:color="231F20"/>
              <w:bottom w:val="single" w:sz="8" w:color="2360A6"/>
              <w:right w:val="single" w:sz="8" w:color="231F20"/>
            </w:tcBorders>
          </w:tcPr>
          <w:p>
            <w:pPr>
              <w:ind w:left="280"/>
              <w:spacing w:after="0"/>
              <w:rPr>
                <w:sz w:val="20"/>
                <w:szCs w:val="20"/>
                <w:color w:val="auto"/>
              </w:rPr>
            </w:pPr>
            <w:r>
              <w:rPr>
                <w:rFonts w:ascii="Arial" w:cs="Arial" w:eastAsia="Arial" w:hAnsi="Arial"/>
                <w:sz w:val="14"/>
                <w:szCs w:val="14"/>
                <w:color w:val="231F20"/>
              </w:rPr>
              <w:t>Non-Controlling Interests</w:t>
            </w:r>
          </w:p>
        </w:tc>
        <w:tc>
          <w:tcPr>
            <w:tcW w:w="128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(19.6)</w:t>
            </w:r>
          </w:p>
        </w:tc>
        <w:tc>
          <w:tcPr>
            <w:tcW w:w="12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(1.5)</w:t>
            </w:r>
          </w:p>
        </w:tc>
        <w:tc>
          <w:tcPr>
            <w:tcW w:w="1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6.2</w:t>
            </w:r>
          </w:p>
        </w:tc>
      </w:tr>
    </w:tbl>
    <w:p>
      <w:pPr>
        <w:sectPr>
          <w:pgSz w:w="11900" w:h="16838" w:orient="portrait"/>
          <w:cols w:equalWidth="0" w:num="1">
            <w:col w:w="10980"/>
          </w:cols>
          <w:pgMar w:left="320" w:top="634" w:right="599" w:bottom="1440" w:gutter="0" w:footer="0" w:header="0"/>
        </w:sectPr>
      </w:pPr>
    </w:p>
    <w:bookmarkStart w:id="75" w:name="page76"/>
    <w:bookmarkEnd w:id="75"/>
    <w:p>
      <w:pPr>
        <w:spacing w:after="0"/>
        <w:rPr>
          <w:sz w:val="20"/>
          <w:szCs w:val="20"/>
          <w:color w:val="auto"/>
        </w:rPr>
      </w:pPr>
      <w:r>
        <w:rPr>
          <w:rFonts w:ascii="Arial" w:cs="Arial" w:eastAsia="Arial" w:hAnsi="Arial"/>
          <w:sz w:val="22"/>
          <w:szCs w:val="22"/>
          <w:b w:val="1"/>
          <w:bCs w:val="1"/>
          <w:color w:val="2360A6"/>
        </w:rPr>
        <w:t>3. Consolidated Statement of Financial Position</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2360A6"/>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102870</wp:posOffset>
            </wp:positionV>
            <wp:extent cx="6783705" cy="31559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83705" cy="3155950"/>
                    </a:xfrm>
                    <a:prstGeom prst="rect">
                      <a:avLst/>
                    </a:prstGeom>
                    <a:noFill/>
                  </pic:spPr>
                </pic:pic>
              </a:graphicData>
            </a:graphic>
          </wp:anchor>
        </w:drawing>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3780" w:type="dxa"/>
            <w:vAlign w:val="bottom"/>
            <w:tcBorders>
              <w:top w:val="single" w:sz="8" w:color="2360A6"/>
            </w:tcBorders>
          </w:tcPr>
          <w:p>
            <w:pPr>
              <w:spacing w:after="0"/>
              <w:rPr>
                <w:sz w:val="16"/>
                <w:szCs w:val="16"/>
                <w:color w:val="auto"/>
              </w:rPr>
            </w:pPr>
          </w:p>
        </w:tc>
        <w:tc>
          <w:tcPr>
            <w:tcW w:w="2120" w:type="dxa"/>
            <w:vAlign w:val="bottom"/>
            <w:tcBorders>
              <w:top w:val="single" w:sz="8" w:color="2360A6"/>
            </w:tcBorders>
          </w:tcPr>
          <w:p>
            <w:pPr>
              <w:spacing w:after="0"/>
              <w:rPr>
                <w:sz w:val="16"/>
                <w:szCs w:val="16"/>
                <w:color w:val="auto"/>
              </w:rPr>
            </w:pPr>
          </w:p>
        </w:tc>
        <w:tc>
          <w:tcPr>
            <w:tcW w:w="1580" w:type="dxa"/>
            <w:vAlign w:val="bottom"/>
            <w:tcBorders>
              <w:top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w:t>
            </w:r>
          </w:p>
        </w:tc>
        <w:tc>
          <w:tcPr>
            <w:tcW w:w="1900" w:type="dxa"/>
            <w:vAlign w:val="bottom"/>
            <w:tcBorders>
              <w:top w:val="single" w:sz="8" w:color="2360A6"/>
            </w:tcBorders>
          </w:tcPr>
          <w:p>
            <w:pPr>
              <w:jc w:val="right"/>
              <w:ind w:right="268"/>
              <w:spacing w:after="0"/>
              <w:rPr>
                <w:sz w:val="20"/>
                <w:szCs w:val="20"/>
                <w:color w:val="auto"/>
              </w:rPr>
            </w:pPr>
            <w:r>
              <w:rPr>
                <w:rFonts w:ascii="Arial" w:cs="Arial" w:eastAsia="Arial" w:hAnsi="Arial"/>
                <w:sz w:val="14"/>
                <w:szCs w:val="14"/>
                <w:b w:val="1"/>
                <w:bCs w:val="1"/>
                <w:color w:val="006EBF"/>
              </w:rPr>
              <w:t>As of</w:t>
            </w:r>
          </w:p>
        </w:tc>
        <w:tc>
          <w:tcPr>
            <w:tcW w:w="1320" w:type="dxa"/>
            <w:vAlign w:val="bottom"/>
            <w:tcBorders>
              <w:top w:val="single" w:sz="8" w:color="2360A6"/>
              <w:right w:val="single" w:sz="8" w:color="auto"/>
            </w:tcBorders>
          </w:tcPr>
          <w:p>
            <w:pPr>
              <w:jc w:val="right"/>
              <w:spacing w:after="0"/>
              <w:rPr>
                <w:sz w:val="20"/>
                <w:szCs w:val="20"/>
                <w:color w:val="auto"/>
              </w:rPr>
            </w:pPr>
            <w:r>
              <w:rPr>
                <w:rFonts w:ascii="Arial" w:cs="Arial" w:eastAsia="Arial" w:hAnsi="Arial"/>
                <w:sz w:val="14"/>
                <w:szCs w:val="14"/>
                <w:b w:val="1"/>
                <w:bCs w:val="1"/>
                <w:color w:val="006EBF"/>
              </w:rPr>
              <w:t>As of</w:t>
            </w:r>
          </w:p>
        </w:tc>
      </w:tr>
      <w:tr>
        <w:trPr>
          <w:trHeight w:val="162"/>
        </w:trPr>
        <w:tc>
          <w:tcPr>
            <w:tcW w:w="37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80" w:type="dxa"/>
            <w:vAlign w:val="bottom"/>
            <w:shd w:val="clear" w:color="auto" w:fill="2360A6"/>
          </w:tcPr>
          <w:p>
            <w:pPr>
              <w:jc w:val="right"/>
              <w:spacing w:after="0"/>
              <w:rPr>
                <w:sz w:val="20"/>
                <w:szCs w:val="20"/>
                <w:color w:val="auto"/>
              </w:rPr>
            </w:pPr>
            <w:r>
              <w:rPr>
                <w:rFonts w:ascii="Arial" w:cs="Arial" w:eastAsia="Arial" w:hAnsi="Arial"/>
                <w:sz w:val="14"/>
                <w:szCs w:val="14"/>
                <w:b w:val="1"/>
                <w:bCs w:val="1"/>
                <w:color w:val="FFFFFF"/>
              </w:rPr>
              <w:t>December 31,</w:t>
            </w:r>
          </w:p>
        </w:tc>
        <w:tc>
          <w:tcPr>
            <w:tcW w:w="1900" w:type="dxa"/>
            <w:vAlign w:val="bottom"/>
          </w:tcPr>
          <w:p>
            <w:pPr>
              <w:jc w:val="right"/>
              <w:ind w:right="268"/>
              <w:spacing w:after="0"/>
              <w:rPr>
                <w:sz w:val="20"/>
                <w:szCs w:val="20"/>
                <w:color w:val="auto"/>
              </w:rPr>
            </w:pPr>
            <w:r>
              <w:rPr>
                <w:rFonts w:ascii="Arial" w:cs="Arial" w:eastAsia="Arial" w:hAnsi="Arial"/>
                <w:sz w:val="14"/>
                <w:szCs w:val="14"/>
                <w:b w:val="1"/>
                <w:bCs w:val="1"/>
                <w:color w:val="006EBF"/>
              </w:rPr>
              <w:t>December 31,</w:t>
            </w: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006EBF"/>
              </w:rPr>
              <w:t>December 31,</w:t>
            </w:r>
          </w:p>
        </w:tc>
      </w:tr>
      <w:tr>
        <w:trPr>
          <w:trHeight w:val="196"/>
        </w:trPr>
        <w:tc>
          <w:tcPr>
            <w:tcW w:w="3780" w:type="dxa"/>
            <w:vAlign w:val="bottom"/>
            <w:tcBorders>
              <w:bottom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2120" w:type="dxa"/>
            <w:vAlign w:val="bottom"/>
            <w:tcBorders>
              <w:bottom w:val="single" w:sz="8" w:color="2360A6"/>
            </w:tcBorders>
          </w:tcPr>
          <w:p>
            <w:pPr>
              <w:ind w:left="1480"/>
              <w:spacing w:after="0"/>
              <w:rPr>
                <w:sz w:val="20"/>
                <w:szCs w:val="20"/>
                <w:color w:val="auto"/>
              </w:rPr>
            </w:pPr>
            <w:r>
              <w:rPr>
                <w:rFonts w:ascii="Arial" w:cs="Arial" w:eastAsia="Arial" w:hAnsi="Arial"/>
                <w:sz w:val="14"/>
                <w:szCs w:val="14"/>
                <w:b w:val="1"/>
                <w:bCs w:val="1"/>
                <w:color w:val="2360A6"/>
              </w:rPr>
              <w:t>Notes</w:t>
            </w:r>
          </w:p>
        </w:tc>
        <w:tc>
          <w:tcPr>
            <w:tcW w:w="1580" w:type="dxa"/>
            <w:vAlign w:val="bottom"/>
            <w:tcBorders>
              <w:bottom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900" w:type="dxa"/>
            <w:vAlign w:val="bottom"/>
            <w:tcBorders>
              <w:bottom w:val="single" w:sz="8" w:color="2360A6"/>
            </w:tcBorders>
          </w:tcPr>
          <w:p>
            <w:pPr>
              <w:jc w:val="right"/>
              <w:ind w:right="268"/>
              <w:spacing w:after="0"/>
              <w:rPr>
                <w:sz w:val="20"/>
                <w:szCs w:val="20"/>
                <w:color w:val="auto"/>
              </w:rPr>
            </w:pPr>
            <w:r>
              <w:rPr>
                <w:rFonts w:ascii="Arial" w:cs="Arial" w:eastAsia="Arial" w:hAnsi="Arial"/>
                <w:sz w:val="14"/>
                <w:szCs w:val="14"/>
                <w:b w:val="1"/>
                <w:bCs w:val="1"/>
                <w:color w:val="006EBF"/>
              </w:rPr>
              <w:t>2015</w:t>
            </w:r>
          </w:p>
        </w:tc>
        <w:tc>
          <w:tcPr>
            <w:tcW w:w="1320" w:type="dxa"/>
            <w:vAlign w:val="bottom"/>
            <w:tcBorders>
              <w:bottom w:val="single" w:sz="8" w:color="2360A6"/>
              <w:right w:val="single" w:sz="8" w:color="auto"/>
            </w:tcBorders>
          </w:tcPr>
          <w:p>
            <w:pPr>
              <w:jc w:val="right"/>
              <w:spacing w:after="0"/>
              <w:rPr>
                <w:sz w:val="20"/>
                <w:szCs w:val="20"/>
                <w:color w:val="auto"/>
              </w:rPr>
            </w:pPr>
            <w:r>
              <w:rPr>
                <w:rFonts w:ascii="Arial" w:cs="Arial" w:eastAsia="Arial" w:hAnsi="Arial"/>
                <w:sz w:val="14"/>
                <w:szCs w:val="14"/>
                <w:b w:val="1"/>
                <w:bCs w:val="1"/>
                <w:color w:val="006EBF"/>
              </w:rPr>
              <w:t>2014</w:t>
            </w:r>
          </w:p>
        </w:tc>
      </w:tr>
      <w:tr>
        <w:trPr>
          <w:trHeight w:val="210"/>
        </w:trPr>
        <w:tc>
          <w:tcPr>
            <w:tcW w:w="3780" w:type="dxa"/>
            <w:vAlign w:val="bottom"/>
            <w:tcBorders>
              <w:bottom w:val="single" w:sz="8" w:color="2360A6"/>
            </w:tcBorders>
          </w:tcPr>
          <w:p>
            <w:pPr>
              <w:ind w:left="40"/>
              <w:spacing w:after="0"/>
              <w:rPr>
                <w:sz w:val="20"/>
                <w:szCs w:val="20"/>
                <w:color w:val="auto"/>
              </w:rPr>
            </w:pPr>
            <w:r>
              <w:rPr>
                <w:rFonts w:ascii="Arial" w:cs="Arial" w:eastAsia="Arial" w:hAnsi="Arial"/>
                <w:sz w:val="14"/>
                <w:szCs w:val="14"/>
                <w:color w:val="231F20"/>
              </w:rPr>
              <w:t>Property, Plant and Equipment, Net</w:t>
            </w:r>
          </w:p>
        </w:tc>
        <w:tc>
          <w:tcPr>
            <w:tcW w:w="2120" w:type="dxa"/>
            <w:vAlign w:val="bottom"/>
            <w:tcBorders>
              <w:bottom w:val="single" w:sz="8" w:color="2360A6"/>
            </w:tcBorders>
          </w:tcPr>
          <w:p>
            <w:pPr>
              <w:jc w:val="center"/>
              <w:ind w:left="1168"/>
              <w:spacing w:after="0"/>
              <w:rPr>
                <w:sz w:val="20"/>
                <w:szCs w:val="20"/>
                <w:color w:val="auto"/>
              </w:rPr>
            </w:pPr>
            <w:r>
              <w:rPr>
                <w:rFonts w:ascii="Arial" w:cs="Arial" w:eastAsia="Arial" w:hAnsi="Arial"/>
                <w:sz w:val="14"/>
                <w:szCs w:val="14"/>
                <w:color w:val="231F20"/>
              </w:rPr>
              <w:t>9</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2,485.6</w:t>
            </w:r>
          </w:p>
        </w:tc>
        <w:tc>
          <w:tcPr>
            <w:tcW w:w="1900" w:type="dxa"/>
            <w:vAlign w:val="bottom"/>
            <w:tcBorders>
              <w:bottom w:val="single" w:sz="8" w:color="2360A6"/>
            </w:tcBorders>
          </w:tcPr>
          <w:p>
            <w:pPr>
              <w:jc w:val="right"/>
              <w:ind w:right="268"/>
              <w:spacing w:after="0"/>
              <w:rPr>
                <w:sz w:val="20"/>
                <w:szCs w:val="20"/>
                <w:color w:val="auto"/>
              </w:rPr>
            </w:pPr>
            <w:r>
              <w:rPr>
                <w:rFonts w:ascii="Arial" w:cs="Arial" w:eastAsia="Arial" w:hAnsi="Arial"/>
                <w:sz w:val="14"/>
                <w:szCs w:val="14"/>
                <w:color w:val="231F20"/>
              </w:rPr>
              <w:t>2,574.9</w:t>
            </w:r>
          </w:p>
        </w:tc>
        <w:tc>
          <w:tcPr>
            <w:tcW w:w="132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2,500.8</w:t>
            </w:r>
          </w:p>
        </w:tc>
      </w:tr>
      <w:tr>
        <w:trPr>
          <w:trHeight w:val="210"/>
        </w:trPr>
        <w:tc>
          <w:tcPr>
            <w:tcW w:w="3780" w:type="dxa"/>
            <w:vAlign w:val="bottom"/>
            <w:tcBorders>
              <w:bottom w:val="single" w:sz="8" w:color="2360A6"/>
            </w:tcBorders>
          </w:tcPr>
          <w:p>
            <w:pPr>
              <w:ind w:left="40"/>
              <w:spacing w:after="0"/>
              <w:rPr>
                <w:sz w:val="20"/>
                <w:szCs w:val="20"/>
                <w:color w:val="auto"/>
              </w:rPr>
            </w:pPr>
            <w:r>
              <w:rPr>
                <w:rFonts w:ascii="Arial" w:cs="Arial" w:eastAsia="Arial" w:hAnsi="Arial"/>
                <w:sz w:val="14"/>
                <w:szCs w:val="14"/>
                <w:color w:val="231F20"/>
              </w:rPr>
              <w:t>Intangible Assets, Net</w:t>
            </w:r>
          </w:p>
        </w:tc>
        <w:tc>
          <w:tcPr>
            <w:tcW w:w="2120" w:type="dxa"/>
            <w:vAlign w:val="bottom"/>
            <w:tcBorders>
              <w:bottom w:val="single" w:sz="8" w:color="2360A6"/>
            </w:tcBorders>
          </w:tcPr>
          <w:p>
            <w:pPr>
              <w:jc w:val="center"/>
              <w:ind w:left="1168"/>
              <w:spacing w:after="0"/>
              <w:rPr>
                <w:sz w:val="20"/>
                <w:szCs w:val="20"/>
                <w:color w:val="auto"/>
              </w:rPr>
            </w:pPr>
            <w:r>
              <w:rPr>
                <w:rFonts w:ascii="Arial" w:cs="Arial" w:eastAsia="Arial" w:hAnsi="Arial"/>
                <w:sz w:val="14"/>
                <w:szCs w:val="14"/>
                <w:color w:val="231F20"/>
              </w:rPr>
              <w:t>10</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3,769.8</w:t>
            </w:r>
          </w:p>
        </w:tc>
        <w:tc>
          <w:tcPr>
            <w:tcW w:w="1900" w:type="dxa"/>
            <w:vAlign w:val="bottom"/>
            <w:tcBorders>
              <w:bottom w:val="single" w:sz="8" w:color="2360A6"/>
            </w:tcBorders>
          </w:tcPr>
          <w:p>
            <w:pPr>
              <w:jc w:val="right"/>
              <w:ind w:right="268"/>
              <w:spacing w:after="0"/>
              <w:rPr>
                <w:sz w:val="20"/>
                <w:szCs w:val="20"/>
                <w:color w:val="auto"/>
              </w:rPr>
            </w:pPr>
            <w:r>
              <w:rPr>
                <w:rFonts w:ascii="Arial" w:cs="Arial" w:eastAsia="Arial" w:hAnsi="Arial"/>
                <w:sz w:val="14"/>
                <w:szCs w:val="14"/>
                <w:color w:val="231F20"/>
              </w:rPr>
              <w:t>3,582.5</w:t>
            </w:r>
          </w:p>
        </w:tc>
        <w:tc>
          <w:tcPr>
            <w:tcW w:w="132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3,496.5</w:t>
            </w:r>
          </w:p>
        </w:tc>
      </w:tr>
      <w:tr>
        <w:trPr>
          <w:trHeight w:val="210"/>
        </w:trPr>
        <w:tc>
          <w:tcPr>
            <w:tcW w:w="3780" w:type="dxa"/>
            <w:vAlign w:val="bottom"/>
            <w:tcBorders>
              <w:bottom w:val="single" w:sz="8" w:color="2360A6"/>
            </w:tcBorders>
          </w:tcPr>
          <w:p>
            <w:pPr>
              <w:ind w:left="40"/>
              <w:spacing w:after="0"/>
              <w:rPr>
                <w:sz w:val="20"/>
                <w:szCs w:val="20"/>
                <w:color w:val="auto"/>
              </w:rPr>
            </w:pPr>
            <w:r>
              <w:rPr>
                <w:rFonts w:ascii="Arial" w:cs="Arial" w:eastAsia="Arial" w:hAnsi="Arial"/>
                <w:sz w:val="14"/>
                <w:szCs w:val="14"/>
                <w:color w:val="231F20"/>
              </w:rPr>
              <w:t>Investments in Equity Affiliates</w:t>
            </w:r>
          </w:p>
        </w:tc>
        <w:tc>
          <w:tcPr>
            <w:tcW w:w="2120" w:type="dxa"/>
            <w:vAlign w:val="bottom"/>
            <w:tcBorders>
              <w:bottom w:val="single" w:sz="8" w:color="2360A6"/>
            </w:tcBorders>
          </w:tcPr>
          <w:p>
            <w:pPr>
              <w:jc w:val="center"/>
              <w:ind w:left="1168"/>
              <w:spacing w:after="0"/>
              <w:rPr>
                <w:sz w:val="20"/>
                <w:szCs w:val="20"/>
                <w:color w:val="auto"/>
              </w:rPr>
            </w:pPr>
            <w:r>
              <w:rPr>
                <w:rFonts w:ascii="Arial" w:cs="Arial" w:eastAsia="Arial" w:hAnsi="Arial"/>
                <w:sz w:val="14"/>
                <w:szCs w:val="14"/>
                <w:color w:val="231F20"/>
              </w:rPr>
              <w:t>11</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168.7</w:t>
            </w:r>
          </w:p>
        </w:tc>
        <w:tc>
          <w:tcPr>
            <w:tcW w:w="1900" w:type="dxa"/>
            <w:vAlign w:val="bottom"/>
            <w:tcBorders>
              <w:bottom w:val="single" w:sz="8" w:color="2360A6"/>
            </w:tcBorders>
          </w:tcPr>
          <w:p>
            <w:pPr>
              <w:jc w:val="right"/>
              <w:ind w:right="268"/>
              <w:spacing w:after="0"/>
              <w:rPr>
                <w:sz w:val="20"/>
                <w:szCs w:val="20"/>
                <w:color w:val="auto"/>
              </w:rPr>
            </w:pPr>
            <w:r>
              <w:rPr>
                <w:rFonts w:ascii="Arial" w:cs="Arial" w:eastAsia="Arial" w:hAnsi="Arial"/>
                <w:sz w:val="14"/>
                <w:szCs w:val="14"/>
                <w:color w:val="231F20"/>
              </w:rPr>
              <w:t>131.4</w:t>
            </w:r>
          </w:p>
        </w:tc>
        <w:tc>
          <w:tcPr>
            <w:tcW w:w="132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195.6</w:t>
            </w:r>
          </w:p>
        </w:tc>
      </w:tr>
      <w:tr>
        <w:trPr>
          <w:trHeight w:val="210"/>
        </w:trPr>
        <w:tc>
          <w:tcPr>
            <w:tcW w:w="3780" w:type="dxa"/>
            <w:vAlign w:val="bottom"/>
            <w:tcBorders>
              <w:bottom w:val="single" w:sz="8" w:color="2360A6"/>
            </w:tcBorders>
          </w:tcPr>
          <w:p>
            <w:pPr>
              <w:ind w:left="40"/>
              <w:spacing w:after="0"/>
              <w:rPr>
                <w:sz w:val="20"/>
                <w:szCs w:val="20"/>
                <w:color w:val="auto"/>
              </w:rPr>
            </w:pPr>
            <w:r>
              <w:rPr>
                <w:rFonts w:ascii="Arial" w:cs="Arial" w:eastAsia="Arial" w:hAnsi="Arial"/>
                <w:sz w:val="14"/>
                <w:szCs w:val="14"/>
                <w:color w:val="231F20"/>
              </w:rPr>
              <w:t>Other Financial Assets</w:t>
            </w:r>
          </w:p>
        </w:tc>
        <w:tc>
          <w:tcPr>
            <w:tcW w:w="2120" w:type="dxa"/>
            <w:vAlign w:val="bottom"/>
            <w:tcBorders>
              <w:bottom w:val="single" w:sz="8" w:color="2360A6"/>
            </w:tcBorders>
          </w:tcPr>
          <w:p>
            <w:pPr>
              <w:jc w:val="center"/>
              <w:ind w:left="1168"/>
              <w:spacing w:after="0"/>
              <w:rPr>
                <w:sz w:val="20"/>
                <w:szCs w:val="20"/>
                <w:color w:val="auto"/>
              </w:rPr>
            </w:pPr>
            <w:r>
              <w:rPr>
                <w:rFonts w:ascii="Arial" w:cs="Arial" w:eastAsia="Arial" w:hAnsi="Arial"/>
                <w:sz w:val="14"/>
                <w:szCs w:val="14"/>
                <w:color w:val="231F20"/>
              </w:rPr>
              <w:t>12</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210.8</w:t>
            </w:r>
          </w:p>
        </w:tc>
        <w:tc>
          <w:tcPr>
            <w:tcW w:w="1900" w:type="dxa"/>
            <w:vAlign w:val="bottom"/>
            <w:tcBorders>
              <w:bottom w:val="single" w:sz="8" w:color="2360A6"/>
            </w:tcBorders>
          </w:tcPr>
          <w:p>
            <w:pPr>
              <w:jc w:val="right"/>
              <w:ind w:right="268"/>
              <w:spacing w:after="0"/>
              <w:rPr>
                <w:sz w:val="20"/>
                <w:szCs w:val="20"/>
                <w:color w:val="auto"/>
              </w:rPr>
            </w:pPr>
            <w:r>
              <w:rPr>
                <w:rFonts w:ascii="Arial" w:cs="Arial" w:eastAsia="Arial" w:hAnsi="Arial"/>
                <w:sz w:val="14"/>
                <w:szCs w:val="14"/>
                <w:color w:val="231F20"/>
              </w:rPr>
              <w:t>221.2</w:t>
            </w:r>
          </w:p>
        </w:tc>
        <w:tc>
          <w:tcPr>
            <w:tcW w:w="132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202.6</w:t>
            </w:r>
          </w:p>
        </w:tc>
      </w:tr>
      <w:tr>
        <w:trPr>
          <w:trHeight w:val="210"/>
        </w:trPr>
        <w:tc>
          <w:tcPr>
            <w:tcW w:w="3780" w:type="dxa"/>
            <w:vAlign w:val="bottom"/>
            <w:tcBorders>
              <w:bottom w:val="single" w:sz="8" w:color="2360A6"/>
            </w:tcBorders>
          </w:tcPr>
          <w:p>
            <w:pPr>
              <w:ind w:left="40"/>
              <w:spacing w:after="0"/>
              <w:rPr>
                <w:sz w:val="20"/>
                <w:szCs w:val="20"/>
                <w:color w:val="auto"/>
              </w:rPr>
            </w:pPr>
            <w:r>
              <w:rPr>
                <w:rFonts w:ascii="Arial" w:cs="Arial" w:eastAsia="Arial" w:hAnsi="Arial"/>
                <w:sz w:val="14"/>
                <w:szCs w:val="14"/>
                <w:color w:val="231F20"/>
              </w:rPr>
              <w:t>Deferred Tax Assets</w:t>
            </w:r>
          </w:p>
        </w:tc>
        <w:tc>
          <w:tcPr>
            <w:tcW w:w="2120" w:type="dxa"/>
            <w:vAlign w:val="bottom"/>
            <w:tcBorders>
              <w:bottom w:val="single" w:sz="8" w:color="2360A6"/>
            </w:tcBorders>
          </w:tcPr>
          <w:p>
            <w:pPr>
              <w:jc w:val="center"/>
              <w:ind w:left="1168"/>
              <w:spacing w:after="0"/>
              <w:rPr>
                <w:sz w:val="20"/>
                <w:szCs w:val="20"/>
                <w:color w:val="auto"/>
              </w:rPr>
            </w:pPr>
            <w:r>
              <w:rPr>
                <w:rFonts w:ascii="Arial" w:cs="Arial" w:eastAsia="Arial" w:hAnsi="Arial"/>
                <w:sz w:val="14"/>
                <w:szCs w:val="14"/>
                <w:color w:val="231F20"/>
                <w:w w:val="99"/>
              </w:rPr>
              <w:t>6(c)</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560.7</w:t>
            </w:r>
          </w:p>
        </w:tc>
        <w:tc>
          <w:tcPr>
            <w:tcW w:w="1900" w:type="dxa"/>
            <w:vAlign w:val="bottom"/>
            <w:tcBorders>
              <w:bottom w:val="single" w:sz="8" w:color="2360A6"/>
            </w:tcBorders>
          </w:tcPr>
          <w:p>
            <w:pPr>
              <w:jc w:val="right"/>
              <w:ind w:right="268"/>
              <w:spacing w:after="0"/>
              <w:rPr>
                <w:sz w:val="20"/>
                <w:szCs w:val="20"/>
                <w:color w:val="auto"/>
              </w:rPr>
            </w:pPr>
            <w:r>
              <w:rPr>
                <w:rFonts w:ascii="Arial" w:cs="Arial" w:eastAsia="Arial" w:hAnsi="Arial"/>
                <w:sz w:val="14"/>
                <w:szCs w:val="14"/>
                <w:color w:val="231F20"/>
              </w:rPr>
              <w:t>430.4</w:t>
            </w:r>
          </w:p>
        </w:tc>
        <w:tc>
          <w:tcPr>
            <w:tcW w:w="132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366.0</w:t>
            </w:r>
          </w:p>
        </w:tc>
      </w:tr>
      <w:tr>
        <w:trPr>
          <w:trHeight w:val="204"/>
        </w:trPr>
        <w:tc>
          <w:tcPr>
            <w:tcW w:w="3780" w:type="dxa"/>
            <w:vAlign w:val="bottom"/>
          </w:tcPr>
          <w:p>
            <w:pPr>
              <w:ind w:left="40"/>
              <w:spacing w:after="0"/>
              <w:rPr>
                <w:sz w:val="20"/>
                <w:szCs w:val="20"/>
                <w:color w:val="auto"/>
              </w:rPr>
            </w:pPr>
            <w:r>
              <w:rPr>
                <w:rFonts w:ascii="Arial" w:cs="Arial" w:eastAsia="Arial" w:hAnsi="Arial"/>
                <w:sz w:val="14"/>
                <w:szCs w:val="14"/>
                <w:color w:val="231F20"/>
              </w:rPr>
              <w:t>Available-for-Sale Financial Assets</w:t>
            </w:r>
          </w:p>
        </w:tc>
        <w:tc>
          <w:tcPr>
            <w:tcW w:w="2120" w:type="dxa"/>
            <w:vAlign w:val="bottom"/>
          </w:tcPr>
          <w:p>
            <w:pPr>
              <w:jc w:val="center"/>
              <w:ind w:left="1168"/>
              <w:spacing w:after="0"/>
              <w:rPr>
                <w:sz w:val="20"/>
                <w:szCs w:val="20"/>
                <w:color w:val="auto"/>
              </w:rPr>
            </w:pPr>
            <w:r>
              <w:rPr>
                <w:rFonts w:ascii="Arial" w:cs="Arial" w:eastAsia="Arial" w:hAnsi="Arial"/>
                <w:sz w:val="14"/>
                <w:szCs w:val="14"/>
                <w:color w:val="231F20"/>
              </w:rPr>
              <w:t>13</w:t>
            </w:r>
          </w:p>
        </w:tc>
        <w:tc>
          <w:tcPr>
            <w:tcW w:w="1580" w:type="dxa"/>
            <w:vAlign w:val="bottom"/>
          </w:tcPr>
          <w:p>
            <w:pPr>
              <w:jc w:val="right"/>
              <w:spacing w:after="0"/>
              <w:rPr>
                <w:sz w:val="20"/>
                <w:szCs w:val="20"/>
                <w:color w:val="auto"/>
              </w:rPr>
            </w:pPr>
            <w:r>
              <w:rPr>
                <w:rFonts w:ascii="Arial" w:cs="Arial" w:eastAsia="Arial" w:hAnsi="Arial"/>
                <w:sz w:val="14"/>
                <w:szCs w:val="14"/>
                <w:color w:val="auto"/>
              </w:rPr>
              <w:t>26.5</w:t>
            </w:r>
          </w:p>
        </w:tc>
        <w:tc>
          <w:tcPr>
            <w:tcW w:w="1900" w:type="dxa"/>
            <w:vAlign w:val="bottom"/>
          </w:tcPr>
          <w:p>
            <w:pPr>
              <w:jc w:val="right"/>
              <w:ind w:right="268"/>
              <w:spacing w:after="0"/>
              <w:rPr>
                <w:sz w:val="20"/>
                <w:szCs w:val="20"/>
                <w:color w:val="auto"/>
              </w:rPr>
            </w:pPr>
            <w:r>
              <w:rPr>
                <w:rFonts w:ascii="Arial" w:cs="Arial" w:eastAsia="Arial" w:hAnsi="Arial"/>
                <w:sz w:val="14"/>
                <w:szCs w:val="14"/>
                <w:color w:val="231F20"/>
              </w:rPr>
              <w:t>29.0</w:t>
            </w:r>
          </w:p>
        </w:tc>
        <w:tc>
          <w:tcPr>
            <w:tcW w:w="1320" w:type="dxa"/>
            <w:vAlign w:val="bottom"/>
          </w:tcPr>
          <w:p>
            <w:pPr>
              <w:jc w:val="right"/>
              <w:spacing w:after="0"/>
              <w:rPr>
                <w:sz w:val="20"/>
                <w:szCs w:val="20"/>
                <w:color w:val="auto"/>
              </w:rPr>
            </w:pPr>
            <w:r>
              <w:rPr>
                <w:rFonts w:ascii="Arial" w:cs="Arial" w:eastAsia="Arial" w:hAnsi="Arial"/>
                <w:sz w:val="14"/>
                <w:szCs w:val="14"/>
                <w:color w:val="231F20"/>
              </w:rPr>
              <w:t>57.0</w:t>
            </w:r>
          </w:p>
        </w:tc>
      </w:tr>
    </w:tbl>
    <w:p>
      <w:pPr>
        <w:spacing w:after="0" w:line="93" w:lineRule="exact"/>
        <w:rPr>
          <w:sz w:val="20"/>
          <w:szCs w:val="20"/>
          <w:color w:val="auto"/>
        </w:rPr>
      </w:pPr>
    </w:p>
    <w:tbl>
      <w:tblPr>
        <w:tblLayout w:type="fixed"/>
        <w:tblInd w:w="140" w:type="dxa"/>
        <w:tblCellMar>
          <w:top w:w="0" w:type="dxa"/>
          <w:left w:w="0" w:type="dxa"/>
          <w:bottom w:w="0" w:type="dxa"/>
          <w:right w:w="0" w:type="dxa"/>
        </w:tblCellMar>
      </w:tblPr>
      <w:tr>
        <w:trPr>
          <w:trHeight w:val="196"/>
        </w:trPr>
        <w:tc>
          <w:tcPr>
            <w:tcW w:w="180" w:type="dxa"/>
            <w:vAlign w:val="bottom"/>
          </w:tcPr>
          <w:p>
            <w:pPr>
              <w:spacing w:after="0"/>
              <w:rPr>
                <w:sz w:val="17"/>
                <w:szCs w:val="17"/>
                <w:color w:val="auto"/>
              </w:rPr>
            </w:pPr>
          </w:p>
        </w:tc>
        <w:tc>
          <w:tcPr>
            <w:tcW w:w="5040" w:type="dxa"/>
            <w:vAlign w:val="bottom"/>
            <w:tcBorders>
              <w:bottom w:val="single" w:sz="8" w:color="2360A6"/>
            </w:tcBorders>
          </w:tcPr>
          <w:p>
            <w:pPr>
              <w:ind w:left="20"/>
              <w:spacing w:after="0"/>
              <w:rPr>
                <w:sz w:val="20"/>
                <w:szCs w:val="20"/>
                <w:color w:val="auto"/>
              </w:rPr>
            </w:pPr>
            <w:r>
              <w:rPr>
                <w:rFonts w:ascii="Arial" w:cs="Arial" w:eastAsia="Arial" w:hAnsi="Arial"/>
                <w:sz w:val="14"/>
                <w:szCs w:val="14"/>
                <w:b w:val="1"/>
                <w:bCs w:val="1"/>
                <w:color w:val="2360A6"/>
              </w:rPr>
              <w:t>Total Non-Current Assets</w:t>
            </w:r>
          </w:p>
        </w:tc>
        <w:tc>
          <w:tcPr>
            <w:tcW w:w="860" w:type="dxa"/>
            <w:vAlign w:val="bottom"/>
            <w:tcBorders>
              <w:bottom w:val="single" w:sz="8" w:color="2360A6"/>
            </w:tcBorders>
          </w:tcPr>
          <w:p>
            <w:pPr>
              <w:spacing w:after="0"/>
              <w:rPr>
                <w:sz w:val="17"/>
                <w:szCs w:val="17"/>
                <w:color w:val="auto"/>
              </w:rPr>
            </w:pP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7,222.1</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6,969.4</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6,818.5</w:t>
            </w:r>
          </w:p>
        </w:tc>
        <w:tc>
          <w:tcPr>
            <w:tcW w:w="20" w:type="dxa"/>
            <w:vAlign w:val="bottom"/>
            <w:tcBorders>
              <w:bottom w:val="single" w:sz="8" w:color="2360A6"/>
            </w:tcBorders>
          </w:tcPr>
          <w:p>
            <w:pPr>
              <w:spacing w:after="0"/>
              <w:rPr>
                <w:sz w:val="17"/>
                <w:szCs w:val="17"/>
                <w:color w:val="auto"/>
              </w:rPr>
            </w:pPr>
          </w:p>
        </w:tc>
      </w:tr>
      <w:tr>
        <w:trPr>
          <w:trHeight w:val="210"/>
        </w:trPr>
        <w:tc>
          <w:tcPr>
            <w:tcW w:w="180" w:type="dxa"/>
            <w:vAlign w:val="bottom"/>
          </w:tcPr>
          <w:p>
            <w:pPr>
              <w:spacing w:after="0"/>
              <w:rPr>
                <w:sz w:val="18"/>
                <w:szCs w:val="18"/>
                <w:color w:val="auto"/>
              </w:rPr>
            </w:pPr>
          </w:p>
        </w:tc>
        <w:tc>
          <w:tcPr>
            <w:tcW w:w="5040" w:type="dxa"/>
            <w:vAlign w:val="bottom"/>
            <w:tcBorders>
              <w:bottom w:val="single" w:sz="8" w:color="2360A6"/>
            </w:tcBorders>
          </w:tcPr>
          <w:p>
            <w:pPr>
              <w:ind w:left="20"/>
              <w:spacing w:after="0"/>
              <w:rPr>
                <w:sz w:val="20"/>
                <w:szCs w:val="20"/>
                <w:color w:val="auto"/>
              </w:rPr>
            </w:pPr>
            <w:r>
              <w:rPr>
                <w:rFonts w:ascii="Arial" w:cs="Arial" w:eastAsia="Arial" w:hAnsi="Arial"/>
                <w:sz w:val="14"/>
                <w:szCs w:val="14"/>
                <w:color w:val="231F20"/>
              </w:rPr>
              <w:t>Inventories</w:t>
            </w:r>
          </w:p>
        </w:tc>
        <w:tc>
          <w:tcPr>
            <w:tcW w:w="860" w:type="dxa"/>
            <w:vAlign w:val="bottom"/>
            <w:tcBorders>
              <w:bottom w:val="single" w:sz="8" w:color="2360A6"/>
            </w:tcBorders>
          </w:tcPr>
          <w:p>
            <w:pPr>
              <w:jc w:val="center"/>
              <w:spacing w:after="0"/>
              <w:rPr>
                <w:sz w:val="20"/>
                <w:szCs w:val="20"/>
                <w:color w:val="auto"/>
              </w:rPr>
            </w:pPr>
            <w:r>
              <w:rPr>
                <w:rFonts w:ascii="Arial" w:cs="Arial" w:eastAsia="Arial" w:hAnsi="Arial"/>
                <w:sz w:val="14"/>
                <w:szCs w:val="14"/>
                <w:color w:val="231F20"/>
              </w:rPr>
              <w:t>14</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317.5</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431.3</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355.7</w:t>
            </w:r>
          </w:p>
        </w:tc>
        <w:tc>
          <w:tcPr>
            <w:tcW w:w="20" w:type="dxa"/>
            <w:vAlign w:val="bottom"/>
            <w:tcBorders>
              <w:bottom w:val="single" w:sz="8" w:color="2360A6"/>
            </w:tcBorders>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5040" w:type="dxa"/>
            <w:vAlign w:val="bottom"/>
            <w:tcBorders>
              <w:bottom w:val="single" w:sz="8" w:color="2360A6"/>
            </w:tcBorders>
          </w:tcPr>
          <w:p>
            <w:pPr>
              <w:ind w:left="20"/>
              <w:spacing w:after="0"/>
              <w:rPr>
                <w:sz w:val="20"/>
                <w:szCs w:val="20"/>
                <w:color w:val="auto"/>
              </w:rPr>
            </w:pPr>
            <w:r>
              <w:rPr>
                <w:rFonts w:ascii="Arial" w:cs="Arial" w:eastAsia="Arial" w:hAnsi="Arial"/>
                <w:sz w:val="14"/>
                <w:szCs w:val="14"/>
                <w:color w:val="231F20"/>
              </w:rPr>
              <w:t>Construction Contracts - Amounts in Assets</w:t>
            </w:r>
          </w:p>
        </w:tc>
        <w:tc>
          <w:tcPr>
            <w:tcW w:w="860" w:type="dxa"/>
            <w:vAlign w:val="bottom"/>
            <w:tcBorders>
              <w:bottom w:val="single" w:sz="8" w:color="2360A6"/>
            </w:tcBorders>
          </w:tcPr>
          <w:p>
            <w:pPr>
              <w:jc w:val="center"/>
              <w:spacing w:after="0"/>
              <w:rPr>
                <w:sz w:val="20"/>
                <w:szCs w:val="20"/>
                <w:color w:val="auto"/>
              </w:rPr>
            </w:pPr>
            <w:r>
              <w:rPr>
                <w:rFonts w:ascii="Arial" w:cs="Arial" w:eastAsia="Arial" w:hAnsi="Arial"/>
                <w:sz w:val="14"/>
                <w:szCs w:val="14"/>
                <w:color w:val="231F20"/>
              </w:rPr>
              <w:t>15</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460.8</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637.6</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755.1</w:t>
            </w:r>
          </w:p>
        </w:tc>
        <w:tc>
          <w:tcPr>
            <w:tcW w:w="20" w:type="dxa"/>
            <w:vAlign w:val="bottom"/>
            <w:tcBorders>
              <w:bottom w:val="single" w:sz="8" w:color="2360A6"/>
            </w:tcBorders>
          </w:tcPr>
          <w:p>
            <w:pPr>
              <w:spacing w:after="0"/>
              <w:rPr>
                <w:sz w:val="18"/>
                <w:szCs w:val="18"/>
                <w:color w:val="auto"/>
              </w:rPr>
            </w:pPr>
          </w:p>
        </w:tc>
      </w:tr>
      <w:tr>
        <w:trPr>
          <w:trHeight w:val="264"/>
        </w:trPr>
        <w:tc>
          <w:tcPr>
            <w:tcW w:w="180" w:type="dxa"/>
            <w:vAlign w:val="bottom"/>
          </w:tcPr>
          <w:p>
            <w:pPr>
              <w:spacing w:after="0"/>
              <w:rPr>
                <w:sz w:val="22"/>
                <w:szCs w:val="22"/>
                <w:color w:val="auto"/>
              </w:rPr>
            </w:pPr>
          </w:p>
        </w:tc>
        <w:tc>
          <w:tcPr>
            <w:tcW w:w="5040" w:type="dxa"/>
            <w:vAlign w:val="bottom"/>
            <w:tcBorders>
              <w:bottom w:val="single" w:sz="8" w:color="2360A6"/>
            </w:tcBorders>
          </w:tcPr>
          <w:p>
            <w:pPr>
              <w:ind w:left="20"/>
              <w:spacing w:after="0"/>
              <w:rPr>
                <w:sz w:val="20"/>
                <w:szCs w:val="20"/>
                <w:color w:val="auto"/>
              </w:rPr>
            </w:pPr>
            <w:r>
              <w:rPr>
                <w:rFonts w:ascii="Arial" w:cs="Arial" w:eastAsia="Arial" w:hAnsi="Arial"/>
                <w:sz w:val="14"/>
                <w:szCs w:val="14"/>
                <w:color w:val="231F20"/>
              </w:rPr>
              <w:t>Advances Paid to Suppliers</w:t>
            </w:r>
          </w:p>
        </w:tc>
        <w:tc>
          <w:tcPr>
            <w:tcW w:w="860" w:type="dxa"/>
            <w:vAlign w:val="bottom"/>
            <w:tcBorders>
              <w:bottom w:val="single" w:sz="8" w:color="2360A6"/>
            </w:tcBorders>
          </w:tcPr>
          <w:p>
            <w:pPr>
              <w:spacing w:after="0"/>
              <w:rPr>
                <w:sz w:val="22"/>
                <w:szCs w:val="22"/>
                <w:color w:val="auto"/>
              </w:rPr>
            </w:pP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675.0</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160.4</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294.7</w:t>
            </w:r>
          </w:p>
        </w:tc>
        <w:tc>
          <w:tcPr>
            <w:tcW w:w="20" w:type="dxa"/>
            <w:vAlign w:val="bottom"/>
            <w:tcBorders>
              <w:bottom w:val="single" w:sz="8" w:color="2360A6"/>
            </w:tcBorders>
          </w:tcPr>
          <w:p>
            <w:pPr>
              <w:spacing w:after="0"/>
              <w:rPr>
                <w:sz w:val="22"/>
                <w:szCs w:val="22"/>
                <w:color w:val="auto"/>
              </w:rPr>
            </w:pPr>
          </w:p>
        </w:tc>
      </w:tr>
      <w:tr>
        <w:trPr>
          <w:trHeight w:val="210"/>
        </w:trPr>
        <w:tc>
          <w:tcPr>
            <w:tcW w:w="180" w:type="dxa"/>
            <w:vAlign w:val="bottom"/>
          </w:tcPr>
          <w:p>
            <w:pPr>
              <w:spacing w:after="0"/>
              <w:rPr>
                <w:sz w:val="18"/>
                <w:szCs w:val="18"/>
                <w:color w:val="auto"/>
              </w:rPr>
            </w:pPr>
          </w:p>
        </w:tc>
        <w:tc>
          <w:tcPr>
            <w:tcW w:w="5040" w:type="dxa"/>
            <w:vAlign w:val="bottom"/>
            <w:tcBorders>
              <w:bottom w:val="single" w:sz="8" w:color="2360A6"/>
            </w:tcBorders>
          </w:tcPr>
          <w:p>
            <w:pPr>
              <w:ind w:left="20"/>
              <w:spacing w:after="0"/>
              <w:rPr>
                <w:sz w:val="20"/>
                <w:szCs w:val="20"/>
                <w:color w:val="auto"/>
              </w:rPr>
            </w:pPr>
            <w:r>
              <w:rPr>
                <w:rFonts w:ascii="Arial" w:cs="Arial" w:eastAsia="Arial" w:hAnsi="Arial"/>
                <w:sz w:val="14"/>
                <w:szCs w:val="14"/>
                <w:color w:val="231F20"/>
              </w:rPr>
              <w:t>Financial Instruments</w:t>
            </w:r>
          </w:p>
        </w:tc>
        <w:tc>
          <w:tcPr>
            <w:tcW w:w="860" w:type="dxa"/>
            <w:vAlign w:val="bottom"/>
            <w:tcBorders>
              <w:bottom w:val="single" w:sz="8" w:color="2360A6"/>
            </w:tcBorders>
          </w:tcPr>
          <w:p>
            <w:pPr>
              <w:jc w:val="center"/>
              <w:spacing w:after="0"/>
              <w:rPr>
                <w:sz w:val="20"/>
                <w:szCs w:val="20"/>
                <w:color w:val="auto"/>
              </w:rPr>
            </w:pPr>
            <w:r>
              <w:rPr>
                <w:rFonts w:ascii="Arial" w:cs="Arial" w:eastAsia="Arial" w:hAnsi="Arial"/>
                <w:sz w:val="14"/>
                <w:szCs w:val="14"/>
                <w:color w:val="231F20"/>
              </w:rPr>
              <w:t>26</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225.8</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47.1</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46.6</w:t>
            </w:r>
          </w:p>
        </w:tc>
        <w:tc>
          <w:tcPr>
            <w:tcW w:w="20" w:type="dxa"/>
            <w:vAlign w:val="bottom"/>
            <w:tcBorders>
              <w:bottom w:val="single" w:sz="8" w:color="2360A6"/>
            </w:tcBorders>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5040" w:type="dxa"/>
            <w:vAlign w:val="bottom"/>
            <w:tcBorders>
              <w:bottom w:val="single" w:sz="8" w:color="2360A6"/>
            </w:tcBorders>
          </w:tcPr>
          <w:p>
            <w:pPr>
              <w:ind w:left="20"/>
              <w:spacing w:after="0"/>
              <w:rPr>
                <w:sz w:val="20"/>
                <w:szCs w:val="20"/>
                <w:color w:val="auto"/>
              </w:rPr>
            </w:pPr>
            <w:r>
              <w:rPr>
                <w:rFonts w:ascii="Arial" w:cs="Arial" w:eastAsia="Arial" w:hAnsi="Arial"/>
                <w:sz w:val="14"/>
                <w:szCs w:val="14"/>
                <w:color w:val="231F20"/>
              </w:rPr>
              <w:t>Trade Receivables</w:t>
            </w:r>
          </w:p>
        </w:tc>
        <w:tc>
          <w:tcPr>
            <w:tcW w:w="860" w:type="dxa"/>
            <w:vAlign w:val="bottom"/>
            <w:tcBorders>
              <w:bottom w:val="single" w:sz="8" w:color="2360A6"/>
            </w:tcBorders>
          </w:tcPr>
          <w:p>
            <w:pPr>
              <w:jc w:val="center"/>
              <w:spacing w:after="0"/>
              <w:rPr>
                <w:sz w:val="20"/>
                <w:szCs w:val="20"/>
                <w:color w:val="auto"/>
              </w:rPr>
            </w:pPr>
            <w:r>
              <w:rPr>
                <w:rFonts w:ascii="Arial" w:cs="Arial" w:eastAsia="Arial" w:hAnsi="Arial"/>
                <w:sz w:val="14"/>
                <w:szCs w:val="14"/>
                <w:color w:val="231F20"/>
              </w:rPr>
              <w:t>16</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1,920.6</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1,668.2</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1,719.9</w:t>
            </w:r>
          </w:p>
        </w:tc>
        <w:tc>
          <w:tcPr>
            <w:tcW w:w="20" w:type="dxa"/>
            <w:vAlign w:val="bottom"/>
            <w:tcBorders>
              <w:bottom w:val="single" w:sz="8" w:color="2360A6"/>
            </w:tcBorders>
          </w:tcPr>
          <w:p>
            <w:pPr>
              <w:spacing w:after="0"/>
              <w:rPr>
                <w:sz w:val="18"/>
                <w:szCs w:val="18"/>
                <w:color w:val="auto"/>
              </w:rPr>
            </w:pPr>
          </w:p>
        </w:tc>
      </w:tr>
      <w:tr>
        <w:trPr>
          <w:trHeight w:val="264"/>
        </w:trPr>
        <w:tc>
          <w:tcPr>
            <w:tcW w:w="180" w:type="dxa"/>
            <w:vAlign w:val="bottom"/>
          </w:tcPr>
          <w:p>
            <w:pPr>
              <w:spacing w:after="0"/>
              <w:rPr>
                <w:sz w:val="22"/>
                <w:szCs w:val="22"/>
                <w:color w:val="auto"/>
              </w:rPr>
            </w:pPr>
          </w:p>
        </w:tc>
        <w:tc>
          <w:tcPr>
            <w:tcW w:w="5040" w:type="dxa"/>
            <w:vAlign w:val="bottom"/>
            <w:tcBorders>
              <w:bottom w:val="single" w:sz="8" w:color="2360A6"/>
            </w:tcBorders>
          </w:tcPr>
          <w:p>
            <w:pPr>
              <w:ind w:left="20"/>
              <w:spacing w:after="0"/>
              <w:rPr>
                <w:sz w:val="20"/>
                <w:szCs w:val="20"/>
                <w:color w:val="auto"/>
              </w:rPr>
            </w:pPr>
            <w:r>
              <w:rPr>
                <w:rFonts w:ascii="Arial" w:cs="Arial" w:eastAsia="Arial" w:hAnsi="Arial"/>
                <w:sz w:val="14"/>
                <w:szCs w:val="14"/>
                <w:color w:val="231F20"/>
              </w:rPr>
              <w:t>Current Income Tax Receivables</w:t>
            </w:r>
          </w:p>
        </w:tc>
        <w:tc>
          <w:tcPr>
            <w:tcW w:w="860" w:type="dxa"/>
            <w:vAlign w:val="bottom"/>
            <w:tcBorders>
              <w:bottom w:val="single" w:sz="8" w:color="2360A6"/>
            </w:tcBorders>
          </w:tcPr>
          <w:p>
            <w:pPr>
              <w:spacing w:after="0"/>
              <w:rPr>
                <w:sz w:val="22"/>
                <w:szCs w:val="22"/>
                <w:color w:val="auto"/>
              </w:rPr>
            </w:pP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251.4</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220.3</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158.9</w:t>
            </w:r>
          </w:p>
        </w:tc>
        <w:tc>
          <w:tcPr>
            <w:tcW w:w="20" w:type="dxa"/>
            <w:vAlign w:val="bottom"/>
            <w:tcBorders>
              <w:bottom w:val="single" w:sz="8" w:color="2360A6"/>
            </w:tcBorders>
          </w:tcPr>
          <w:p>
            <w:pPr>
              <w:spacing w:after="0"/>
              <w:rPr>
                <w:sz w:val="22"/>
                <w:szCs w:val="22"/>
                <w:color w:val="auto"/>
              </w:rPr>
            </w:pPr>
          </w:p>
        </w:tc>
      </w:tr>
      <w:tr>
        <w:trPr>
          <w:trHeight w:val="210"/>
        </w:trPr>
        <w:tc>
          <w:tcPr>
            <w:tcW w:w="180" w:type="dxa"/>
            <w:vAlign w:val="bottom"/>
          </w:tcPr>
          <w:p>
            <w:pPr>
              <w:spacing w:after="0"/>
              <w:rPr>
                <w:sz w:val="18"/>
                <w:szCs w:val="18"/>
                <w:color w:val="auto"/>
              </w:rPr>
            </w:pPr>
          </w:p>
        </w:tc>
        <w:tc>
          <w:tcPr>
            <w:tcW w:w="5040" w:type="dxa"/>
            <w:vAlign w:val="bottom"/>
            <w:tcBorders>
              <w:bottom w:val="single" w:sz="8" w:color="2360A6"/>
            </w:tcBorders>
          </w:tcPr>
          <w:p>
            <w:pPr>
              <w:ind w:left="20"/>
              <w:spacing w:after="0"/>
              <w:rPr>
                <w:sz w:val="20"/>
                <w:szCs w:val="20"/>
                <w:color w:val="auto"/>
              </w:rPr>
            </w:pPr>
            <w:r>
              <w:rPr>
                <w:rFonts w:ascii="Arial" w:cs="Arial" w:eastAsia="Arial" w:hAnsi="Arial"/>
                <w:sz w:val="14"/>
                <w:szCs w:val="14"/>
                <w:color w:val="231F20"/>
              </w:rPr>
              <w:t>Other Current Receivables</w:t>
            </w:r>
          </w:p>
        </w:tc>
        <w:tc>
          <w:tcPr>
            <w:tcW w:w="860" w:type="dxa"/>
            <w:vAlign w:val="bottom"/>
            <w:tcBorders>
              <w:bottom w:val="single" w:sz="8" w:color="2360A6"/>
            </w:tcBorders>
          </w:tcPr>
          <w:p>
            <w:pPr>
              <w:jc w:val="center"/>
              <w:spacing w:after="0"/>
              <w:rPr>
                <w:sz w:val="20"/>
                <w:szCs w:val="20"/>
                <w:color w:val="auto"/>
              </w:rPr>
            </w:pPr>
            <w:r>
              <w:rPr>
                <w:rFonts w:ascii="Arial" w:cs="Arial" w:eastAsia="Arial" w:hAnsi="Arial"/>
                <w:sz w:val="14"/>
                <w:szCs w:val="14"/>
                <w:color w:val="231F20"/>
              </w:rPr>
              <w:t>17</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756.1</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589.2</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581.6</w:t>
            </w:r>
          </w:p>
        </w:tc>
        <w:tc>
          <w:tcPr>
            <w:tcW w:w="20" w:type="dxa"/>
            <w:vAlign w:val="bottom"/>
            <w:tcBorders>
              <w:bottom w:val="single" w:sz="8" w:color="2360A6"/>
            </w:tcBorders>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5040" w:type="dxa"/>
            <w:vAlign w:val="bottom"/>
            <w:tcBorders>
              <w:bottom w:val="single" w:sz="8" w:color="2360A6"/>
            </w:tcBorders>
          </w:tcPr>
          <w:p>
            <w:pPr>
              <w:ind w:left="20"/>
              <w:spacing w:after="0"/>
              <w:rPr>
                <w:sz w:val="20"/>
                <w:szCs w:val="20"/>
                <w:color w:val="auto"/>
              </w:rPr>
            </w:pPr>
            <w:r>
              <w:rPr>
                <w:rFonts w:ascii="Arial" w:cs="Arial" w:eastAsia="Arial" w:hAnsi="Arial"/>
                <w:sz w:val="14"/>
                <w:szCs w:val="14"/>
                <w:color w:val="231F20"/>
              </w:rPr>
              <w:t>Cash and Cash Equivalents</w:t>
            </w:r>
          </w:p>
        </w:tc>
        <w:tc>
          <w:tcPr>
            <w:tcW w:w="860" w:type="dxa"/>
            <w:vAlign w:val="bottom"/>
            <w:tcBorders>
              <w:bottom w:val="single" w:sz="8" w:color="2360A6"/>
            </w:tcBorders>
          </w:tcPr>
          <w:p>
            <w:pPr>
              <w:jc w:val="center"/>
              <w:spacing w:after="0"/>
              <w:rPr>
                <w:sz w:val="20"/>
                <w:szCs w:val="20"/>
                <w:color w:val="auto"/>
              </w:rPr>
            </w:pPr>
            <w:r>
              <w:rPr>
                <w:rFonts w:ascii="Arial" w:cs="Arial" w:eastAsia="Arial" w:hAnsi="Arial"/>
                <w:sz w:val="14"/>
                <w:szCs w:val="14"/>
                <w:color w:val="231F20"/>
              </w:rPr>
              <w:t>18</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5,947.6</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2,919.1</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2,685.6</w:t>
            </w:r>
          </w:p>
        </w:tc>
        <w:tc>
          <w:tcPr>
            <w:tcW w:w="20" w:type="dxa"/>
            <w:vAlign w:val="bottom"/>
            <w:tcBorders>
              <w:bottom w:val="single" w:sz="8" w:color="2360A6"/>
            </w:tcBorders>
          </w:tcPr>
          <w:p>
            <w:pPr>
              <w:spacing w:after="0"/>
              <w:rPr>
                <w:sz w:val="18"/>
                <w:szCs w:val="18"/>
                <w:color w:val="auto"/>
              </w:rPr>
            </w:pPr>
          </w:p>
        </w:tc>
      </w:tr>
      <w:tr>
        <w:trPr>
          <w:trHeight w:val="264"/>
        </w:trPr>
        <w:tc>
          <w:tcPr>
            <w:tcW w:w="180" w:type="dxa"/>
            <w:vAlign w:val="bottom"/>
          </w:tcPr>
          <w:p>
            <w:pPr>
              <w:spacing w:after="0"/>
              <w:rPr>
                <w:sz w:val="22"/>
                <w:szCs w:val="22"/>
                <w:color w:val="auto"/>
              </w:rPr>
            </w:pPr>
          </w:p>
        </w:tc>
        <w:tc>
          <w:tcPr>
            <w:tcW w:w="5040" w:type="dxa"/>
            <w:vAlign w:val="bottom"/>
            <w:tcBorders>
              <w:bottom w:val="single" w:sz="8" w:color="2360A6"/>
            </w:tcBorders>
          </w:tcPr>
          <w:p>
            <w:pPr>
              <w:ind w:left="20"/>
              <w:spacing w:after="0"/>
              <w:rPr>
                <w:sz w:val="20"/>
                <w:szCs w:val="20"/>
                <w:color w:val="auto"/>
              </w:rPr>
            </w:pPr>
            <w:r>
              <w:rPr>
                <w:rFonts w:ascii="Arial" w:cs="Arial" w:eastAsia="Arial" w:hAnsi="Arial"/>
                <w:sz w:val="14"/>
                <w:szCs w:val="14"/>
                <w:b w:val="1"/>
                <w:bCs w:val="1"/>
                <w:color w:val="2360A6"/>
              </w:rPr>
              <w:t>Total Current Assets</w:t>
            </w:r>
          </w:p>
        </w:tc>
        <w:tc>
          <w:tcPr>
            <w:tcW w:w="860" w:type="dxa"/>
            <w:vAlign w:val="bottom"/>
            <w:tcBorders>
              <w:bottom w:val="single" w:sz="8" w:color="2360A6"/>
            </w:tcBorders>
          </w:tcPr>
          <w:p>
            <w:pPr>
              <w:spacing w:after="0"/>
              <w:rPr>
                <w:sz w:val="22"/>
                <w:szCs w:val="22"/>
                <w:color w:val="auto"/>
              </w:rPr>
            </w:pP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10,554.8</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6,673.2</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6,598.1</w:t>
            </w:r>
          </w:p>
        </w:tc>
        <w:tc>
          <w:tcPr>
            <w:tcW w:w="20" w:type="dxa"/>
            <w:vAlign w:val="bottom"/>
            <w:tcBorders>
              <w:bottom w:val="single" w:sz="8" w:color="2360A6"/>
            </w:tcBorders>
          </w:tcPr>
          <w:p>
            <w:pPr>
              <w:spacing w:after="0"/>
              <w:rPr>
                <w:sz w:val="22"/>
                <w:szCs w:val="22"/>
                <w:color w:val="auto"/>
              </w:rPr>
            </w:pPr>
          </w:p>
        </w:tc>
      </w:tr>
      <w:tr>
        <w:trPr>
          <w:trHeight w:val="210"/>
        </w:trPr>
        <w:tc>
          <w:tcPr>
            <w:tcW w:w="180" w:type="dxa"/>
            <w:vAlign w:val="bottom"/>
          </w:tcPr>
          <w:p>
            <w:pPr>
              <w:spacing w:after="0"/>
              <w:rPr>
                <w:sz w:val="18"/>
                <w:szCs w:val="18"/>
                <w:color w:val="auto"/>
              </w:rPr>
            </w:pPr>
          </w:p>
        </w:tc>
        <w:tc>
          <w:tcPr>
            <w:tcW w:w="5040" w:type="dxa"/>
            <w:vAlign w:val="bottom"/>
            <w:tcBorders>
              <w:bottom w:val="single" w:sz="8" w:color="2360A6"/>
            </w:tcBorders>
          </w:tcPr>
          <w:p>
            <w:pPr>
              <w:ind w:left="20"/>
              <w:spacing w:after="0"/>
              <w:rPr>
                <w:sz w:val="20"/>
                <w:szCs w:val="20"/>
                <w:color w:val="auto"/>
              </w:rPr>
            </w:pPr>
            <w:r>
              <w:rPr>
                <w:rFonts w:ascii="Arial" w:cs="Arial" w:eastAsia="Arial" w:hAnsi="Arial"/>
                <w:sz w:val="14"/>
                <w:szCs w:val="14"/>
                <w:color w:val="231F20"/>
              </w:rPr>
              <w:t>Assets Classified as Held for Sale</w:t>
            </w:r>
          </w:p>
        </w:tc>
        <w:tc>
          <w:tcPr>
            <w:tcW w:w="860" w:type="dxa"/>
            <w:vAlign w:val="bottom"/>
            <w:tcBorders>
              <w:bottom w:val="single" w:sz="8" w:color="2360A6"/>
            </w:tcBorders>
          </w:tcPr>
          <w:p>
            <w:pPr>
              <w:jc w:val="center"/>
              <w:spacing w:after="0"/>
              <w:rPr>
                <w:sz w:val="20"/>
                <w:szCs w:val="20"/>
                <w:color w:val="auto"/>
              </w:rPr>
            </w:pPr>
            <w:r>
              <w:rPr>
                <w:rFonts w:ascii="Arial" w:cs="Arial" w:eastAsia="Arial" w:hAnsi="Arial"/>
                <w:sz w:val="14"/>
                <w:szCs w:val="14"/>
                <w:color w:val="231F20"/>
              </w:rPr>
              <w:t>19</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2.1</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26.4</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3.2</w:t>
            </w:r>
          </w:p>
        </w:tc>
        <w:tc>
          <w:tcPr>
            <w:tcW w:w="20" w:type="dxa"/>
            <w:vAlign w:val="bottom"/>
            <w:tcBorders>
              <w:bottom w:val="single" w:sz="8" w:color="2360A6"/>
            </w:tcBorders>
          </w:tcPr>
          <w:p>
            <w:pPr>
              <w:spacing w:after="0"/>
              <w:rPr>
                <w:sz w:val="18"/>
                <w:szCs w:val="18"/>
                <w:color w:val="auto"/>
              </w:rPr>
            </w:pPr>
          </w:p>
        </w:tc>
      </w:tr>
      <w:tr>
        <w:trPr>
          <w:trHeight w:val="264"/>
        </w:trPr>
        <w:tc>
          <w:tcPr>
            <w:tcW w:w="180" w:type="dxa"/>
            <w:vAlign w:val="bottom"/>
            <w:tcBorders>
              <w:right w:val="single" w:sz="8" w:color="D2DEEC"/>
            </w:tcBorders>
          </w:tcPr>
          <w:p>
            <w:pPr>
              <w:spacing w:after="0"/>
              <w:rPr>
                <w:sz w:val="22"/>
                <w:szCs w:val="22"/>
                <w:color w:val="auto"/>
              </w:rPr>
            </w:pPr>
          </w:p>
        </w:tc>
        <w:tc>
          <w:tcPr>
            <w:tcW w:w="5040" w:type="dxa"/>
            <w:vAlign w:val="bottom"/>
            <w:tcBorders>
              <w:bottom w:val="single" w:sz="8" w:color="2360A6"/>
              <w:right w:val="single" w:sz="8" w:color="D2DEEC"/>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ASSETS</w:t>
            </w:r>
          </w:p>
        </w:tc>
        <w:tc>
          <w:tcPr>
            <w:tcW w:w="860" w:type="dxa"/>
            <w:vAlign w:val="bottom"/>
            <w:tcBorders>
              <w:bottom w:val="single" w:sz="8" w:color="2360A6"/>
              <w:right w:val="single" w:sz="8" w:color="D2DEEC"/>
            </w:tcBorders>
            <w:shd w:val="clear" w:color="auto" w:fill="D2DEEC"/>
          </w:tcPr>
          <w:p>
            <w:pPr>
              <w:spacing w:after="0"/>
              <w:rPr>
                <w:sz w:val="22"/>
                <w:szCs w:val="22"/>
                <w:color w:val="auto"/>
              </w:rPr>
            </w:pPr>
          </w:p>
        </w:tc>
        <w:tc>
          <w:tcPr>
            <w:tcW w:w="1580" w:type="dxa"/>
            <w:vAlign w:val="bottom"/>
            <w:tcBorders>
              <w:bottom w:val="single" w:sz="8" w:color="2360A6"/>
              <w:right w:val="single" w:sz="8" w:color="D2DEEC"/>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17,779.0</w:t>
            </w:r>
          </w:p>
        </w:tc>
        <w:tc>
          <w:tcPr>
            <w:tcW w:w="1600" w:type="dxa"/>
            <w:vAlign w:val="bottom"/>
            <w:tcBorders>
              <w:bottom w:val="single" w:sz="8" w:color="2360A6"/>
              <w:right w:val="single" w:sz="8" w:color="D2DEEC"/>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13,669.0</w:t>
            </w:r>
          </w:p>
        </w:tc>
        <w:tc>
          <w:tcPr>
            <w:tcW w:w="1600" w:type="dxa"/>
            <w:vAlign w:val="bottom"/>
            <w:tcBorders>
              <w:bottom w:val="single" w:sz="8" w:color="2360A6"/>
              <w:right w:val="single" w:sz="8" w:color="D2DEEC"/>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13,419.8</w:t>
            </w:r>
          </w:p>
        </w:tc>
        <w:tc>
          <w:tcPr>
            <w:tcW w:w="20" w:type="dxa"/>
            <w:vAlign w:val="bottom"/>
            <w:tcBorders>
              <w:bottom w:val="single" w:sz="8" w:color="2360A6"/>
            </w:tcBorders>
          </w:tcPr>
          <w:p>
            <w:pPr>
              <w:spacing w:after="0"/>
              <w:rPr>
                <w:sz w:val="22"/>
                <w:szCs w:val="22"/>
                <w:color w:val="auto"/>
              </w:rPr>
            </w:pPr>
          </w:p>
        </w:tc>
      </w:tr>
      <w:tr>
        <w:trPr>
          <w:trHeight w:val="287"/>
        </w:trPr>
        <w:tc>
          <w:tcPr>
            <w:tcW w:w="5220" w:type="dxa"/>
            <w:vAlign w:val="bottom"/>
            <w:gridSpan w:val="2"/>
          </w:tcPr>
          <w:p>
            <w:pPr>
              <w:spacing w:after="0"/>
              <w:rPr>
                <w:sz w:val="20"/>
                <w:szCs w:val="20"/>
                <w:color w:val="auto"/>
              </w:rPr>
            </w:pPr>
            <w:r>
              <w:rPr>
                <w:rFonts w:ascii="Arial" w:cs="Arial" w:eastAsia="Arial" w:hAnsi="Arial"/>
                <w:sz w:val="20"/>
                <w:szCs w:val="20"/>
                <w:b w:val="1"/>
                <w:bCs w:val="1"/>
                <w:color w:val="2360A6"/>
              </w:rPr>
              <w:t>Equity and Liabilities</w:t>
            </w: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1"/>
        </w:trPr>
        <w:tc>
          <w:tcPr>
            <w:tcW w:w="180" w:type="dxa"/>
            <w:vAlign w:val="bottom"/>
          </w:tcPr>
          <w:p>
            <w:pPr>
              <w:spacing w:after="0"/>
              <w:rPr>
                <w:sz w:val="11"/>
                <w:szCs w:val="11"/>
                <w:color w:val="auto"/>
              </w:rPr>
            </w:pPr>
          </w:p>
        </w:tc>
        <w:tc>
          <w:tcPr>
            <w:tcW w:w="5040" w:type="dxa"/>
            <w:vAlign w:val="bottom"/>
            <w:tcBorders>
              <w:bottom w:val="single" w:sz="8" w:color="2360A6"/>
            </w:tcBorders>
          </w:tcPr>
          <w:p>
            <w:pPr>
              <w:spacing w:after="0"/>
              <w:rPr>
                <w:sz w:val="11"/>
                <w:szCs w:val="11"/>
                <w:color w:val="auto"/>
              </w:rPr>
            </w:pPr>
          </w:p>
        </w:tc>
        <w:tc>
          <w:tcPr>
            <w:tcW w:w="860" w:type="dxa"/>
            <w:vAlign w:val="bottom"/>
            <w:tcBorders>
              <w:bottom w:val="single" w:sz="8" w:color="2360A6"/>
            </w:tcBorders>
          </w:tcPr>
          <w:p>
            <w:pPr>
              <w:spacing w:after="0"/>
              <w:rPr>
                <w:sz w:val="11"/>
                <w:szCs w:val="11"/>
                <w:color w:val="auto"/>
              </w:rPr>
            </w:pPr>
          </w:p>
        </w:tc>
        <w:tc>
          <w:tcPr>
            <w:tcW w:w="1580" w:type="dxa"/>
            <w:vAlign w:val="bottom"/>
            <w:tcBorders>
              <w:bottom w:val="single" w:sz="8" w:color="2360A6"/>
            </w:tcBorders>
          </w:tcPr>
          <w:p>
            <w:pPr>
              <w:spacing w:after="0"/>
              <w:rPr>
                <w:sz w:val="11"/>
                <w:szCs w:val="11"/>
                <w:color w:val="auto"/>
              </w:rPr>
            </w:pPr>
          </w:p>
        </w:tc>
        <w:tc>
          <w:tcPr>
            <w:tcW w:w="1600" w:type="dxa"/>
            <w:vAlign w:val="bottom"/>
            <w:tcBorders>
              <w:bottom w:val="single" w:sz="8" w:color="2360A6"/>
            </w:tcBorders>
          </w:tcPr>
          <w:p>
            <w:pPr>
              <w:spacing w:after="0"/>
              <w:rPr>
                <w:sz w:val="11"/>
                <w:szCs w:val="11"/>
                <w:color w:val="auto"/>
              </w:rPr>
            </w:pPr>
          </w:p>
        </w:tc>
        <w:tc>
          <w:tcPr>
            <w:tcW w:w="1600" w:type="dxa"/>
            <w:vAlign w:val="bottom"/>
            <w:tcBorders>
              <w:bottom w:val="single" w:sz="8" w:color="2360A6"/>
            </w:tcBorders>
          </w:tcPr>
          <w:p>
            <w:pPr>
              <w:spacing w:after="0"/>
              <w:rPr>
                <w:sz w:val="11"/>
                <w:szCs w:val="11"/>
                <w:color w:val="auto"/>
              </w:rPr>
            </w:pPr>
          </w:p>
        </w:tc>
        <w:tc>
          <w:tcPr>
            <w:tcW w:w="20" w:type="dxa"/>
            <w:vAlign w:val="bottom"/>
            <w:tcBorders>
              <w:bottom w:val="single" w:sz="8" w:color="2360A6"/>
            </w:tcBorders>
          </w:tcPr>
          <w:p>
            <w:pPr>
              <w:spacing w:after="0"/>
              <w:rPr>
                <w:sz w:val="11"/>
                <w:szCs w:val="11"/>
                <w:color w:val="auto"/>
              </w:rPr>
            </w:pPr>
          </w:p>
        </w:tc>
      </w:tr>
      <w:tr>
        <w:trPr>
          <w:trHeight w:val="169"/>
        </w:trPr>
        <w:tc>
          <w:tcPr>
            <w:tcW w:w="180" w:type="dxa"/>
            <w:vAlign w:val="bottom"/>
            <w:tcBorders>
              <w:right w:val="single" w:sz="8" w:color="231F20"/>
            </w:tcBorders>
          </w:tcPr>
          <w:p>
            <w:pPr>
              <w:spacing w:after="0"/>
              <w:rPr>
                <w:sz w:val="14"/>
                <w:szCs w:val="14"/>
                <w:color w:val="auto"/>
              </w:rPr>
            </w:pPr>
          </w:p>
        </w:tc>
        <w:tc>
          <w:tcPr>
            <w:tcW w:w="5040" w:type="dxa"/>
            <w:vAlign w:val="bottom"/>
            <w:tcBorders>
              <w:right w:val="single" w:sz="8" w:color="231F20"/>
            </w:tcBorders>
          </w:tcPr>
          <w:p>
            <w:pPr>
              <w:spacing w:after="0"/>
              <w:rPr>
                <w:sz w:val="14"/>
                <w:szCs w:val="14"/>
                <w:color w:val="auto"/>
              </w:rPr>
            </w:pPr>
          </w:p>
        </w:tc>
        <w:tc>
          <w:tcPr>
            <w:tcW w:w="860" w:type="dxa"/>
            <w:vAlign w:val="bottom"/>
            <w:tcBorders>
              <w:right w:val="single" w:sz="8" w:color="231F20"/>
            </w:tcBorders>
          </w:tcPr>
          <w:p>
            <w:pPr>
              <w:spacing w:after="0"/>
              <w:rPr>
                <w:sz w:val="14"/>
                <w:szCs w:val="14"/>
                <w:color w:val="auto"/>
              </w:rPr>
            </w:pPr>
          </w:p>
        </w:tc>
        <w:tc>
          <w:tcPr>
            <w:tcW w:w="1580" w:type="dxa"/>
            <w:vAlign w:val="bottom"/>
            <w:tcBorders>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w:t>
            </w:r>
          </w:p>
        </w:tc>
        <w:tc>
          <w:tcPr>
            <w:tcW w:w="1600" w:type="dxa"/>
            <w:vAlign w:val="bottom"/>
            <w:tcBorders>
              <w:right w:val="single" w:sz="8" w:color="231F20"/>
            </w:tcBorders>
          </w:tcPr>
          <w:p>
            <w:pPr>
              <w:jc w:val="right"/>
              <w:spacing w:after="0"/>
              <w:rPr>
                <w:sz w:val="20"/>
                <w:szCs w:val="20"/>
                <w:color w:val="auto"/>
              </w:rPr>
            </w:pPr>
            <w:r>
              <w:rPr>
                <w:rFonts w:ascii="Arial" w:cs="Arial" w:eastAsia="Arial" w:hAnsi="Arial"/>
                <w:sz w:val="14"/>
                <w:szCs w:val="14"/>
                <w:b w:val="1"/>
                <w:bCs w:val="1"/>
                <w:color w:val="006EBF"/>
              </w:rPr>
              <w:t>As of</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006EBF"/>
              </w:rPr>
              <w:t>As of</w:t>
            </w:r>
          </w:p>
        </w:tc>
        <w:tc>
          <w:tcPr>
            <w:tcW w:w="20" w:type="dxa"/>
            <w:vAlign w:val="bottom"/>
            <w:shd w:val="clear" w:color="auto" w:fill="000000"/>
          </w:tcPr>
          <w:p>
            <w:pPr>
              <w:spacing w:after="0"/>
              <w:rPr>
                <w:sz w:val="14"/>
                <w:szCs w:val="14"/>
                <w:color w:val="auto"/>
              </w:rPr>
            </w:pPr>
          </w:p>
        </w:tc>
      </w:tr>
      <w:tr>
        <w:trPr>
          <w:trHeight w:val="162"/>
        </w:trPr>
        <w:tc>
          <w:tcPr>
            <w:tcW w:w="180" w:type="dxa"/>
            <w:vAlign w:val="bottom"/>
            <w:tcBorders>
              <w:right w:val="single" w:sz="8" w:color="231F20"/>
            </w:tcBorders>
          </w:tcPr>
          <w:p>
            <w:pPr>
              <w:spacing w:after="0"/>
              <w:rPr>
                <w:sz w:val="14"/>
                <w:szCs w:val="14"/>
                <w:color w:val="auto"/>
              </w:rPr>
            </w:pPr>
          </w:p>
        </w:tc>
        <w:tc>
          <w:tcPr>
            <w:tcW w:w="5040" w:type="dxa"/>
            <w:vAlign w:val="bottom"/>
            <w:tcBorders>
              <w:right w:val="single" w:sz="8" w:color="231F20"/>
            </w:tcBorders>
          </w:tcPr>
          <w:p>
            <w:pPr>
              <w:spacing w:after="0"/>
              <w:rPr>
                <w:sz w:val="14"/>
                <w:szCs w:val="14"/>
                <w:color w:val="auto"/>
              </w:rPr>
            </w:pPr>
          </w:p>
        </w:tc>
        <w:tc>
          <w:tcPr>
            <w:tcW w:w="860" w:type="dxa"/>
            <w:vAlign w:val="bottom"/>
            <w:tcBorders>
              <w:right w:val="single" w:sz="8" w:color="231F20"/>
            </w:tcBorders>
          </w:tcPr>
          <w:p>
            <w:pPr>
              <w:spacing w:after="0"/>
              <w:rPr>
                <w:sz w:val="14"/>
                <w:szCs w:val="14"/>
                <w:color w:val="auto"/>
              </w:rPr>
            </w:pPr>
          </w:p>
        </w:tc>
        <w:tc>
          <w:tcPr>
            <w:tcW w:w="1580" w:type="dxa"/>
            <w:vAlign w:val="bottom"/>
            <w:tcBorders>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December 31,</w:t>
            </w:r>
          </w:p>
        </w:tc>
        <w:tc>
          <w:tcPr>
            <w:tcW w:w="1600" w:type="dxa"/>
            <w:vAlign w:val="bottom"/>
            <w:tcBorders>
              <w:right w:val="single" w:sz="8" w:color="231F20"/>
            </w:tcBorders>
          </w:tcPr>
          <w:p>
            <w:pPr>
              <w:jc w:val="right"/>
              <w:spacing w:after="0"/>
              <w:rPr>
                <w:sz w:val="20"/>
                <w:szCs w:val="20"/>
                <w:color w:val="auto"/>
              </w:rPr>
            </w:pPr>
            <w:r>
              <w:rPr>
                <w:rFonts w:ascii="Arial" w:cs="Arial" w:eastAsia="Arial" w:hAnsi="Arial"/>
                <w:sz w:val="14"/>
                <w:szCs w:val="14"/>
                <w:b w:val="1"/>
                <w:bCs w:val="1"/>
                <w:color w:val="006EBF"/>
              </w:rPr>
              <w:t>December 31,</w:t>
            </w:r>
          </w:p>
        </w:tc>
        <w:tc>
          <w:tcPr>
            <w:tcW w:w="1600" w:type="dxa"/>
            <w:vAlign w:val="bottom"/>
          </w:tcPr>
          <w:p>
            <w:pPr>
              <w:jc w:val="right"/>
              <w:spacing w:after="0"/>
              <w:rPr>
                <w:sz w:val="20"/>
                <w:szCs w:val="20"/>
                <w:color w:val="auto"/>
              </w:rPr>
            </w:pPr>
            <w:r>
              <w:rPr>
                <w:rFonts w:ascii="Arial" w:cs="Arial" w:eastAsia="Arial" w:hAnsi="Arial"/>
                <w:sz w:val="14"/>
                <w:szCs w:val="14"/>
                <w:b w:val="1"/>
                <w:bCs w:val="1"/>
                <w:color w:val="006EBF"/>
              </w:rPr>
              <w:t>December 31,</w:t>
            </w:r>
          </w:p>
        </w:tc>
        <w:tc>
          <w:tcPr>
            <w:tcW w:w="20" w:type="dxa"/>
            <w:vAlign w:val="bottom"/>
            <w:shd w:val="clear" w:color="auto" w:fill="000000"/>
          </w:tcPr>
          <w:p>
            <w:pPr>
              <w:spacing w:after="0"/>
              <w:rPr>
                <w:sz w:val="14"/>
                <w:szCs w:val="14"/>
                <w:color w:val="auto"/>
              </w:rPr>
            </w:pPr>
          </w:p>
        </w:tc>
      </w:tr>
      <w:tr>
        <w:trPr>
          <w:trHeight w:val="196"/>
        </w:trPr>
        <w:tc>
          <w:tcPr>
            <w:tcW w:w="180" w:type="dxa"/>
            <w:vAlign w:val="bottom"/>
            <w:tcBorders>
              <w:right w:val="single" w:sz="8" w:color="231F20"/>
            </w:tcBorders>
          </w:tcPr>
          <w:p>
            <w:pPr>
              <w:spacing w:after="0"/>
              <w:rPr>
                <w:sz w:val="17"/>
                <w:szCs w:val="17"/>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860" w:type="dxa"/>
            <w:vAlign w:val="bottom"/>
            <w:tcBorders>
              <w:bottom w:val="single" w:sz="8" w:color="2360A6"/>
              <w:right w:val="single" w:sz="8" w:color="231F20"/>
            </w:tcBorders>
          </w:tcPr>
          <w:p>
            <w:pPr>
              <w:ind w:left="200"/>
              <w:spacing w:after="0"/>
              <w:rPr>
                <w:sz w:val="20"/>
                <w:szCs w:val="20"/>
                <w:color w:val="auto"/>
              </w:rPr>
            </w:pPr>
            <w:r>
              <w:rPr>
                <w:rFonts w:ascii="Arial" w:cs="Arial" w:eastAsia="Arial" w:hAnsi="Arial"/>
                <w:sz w:val="14"/>
                <w:szCs w:val="14"/>
                <w:b w:val="1"/>
                <w:bCs w:val="1"/>
                <w:color w:val="2360A6"/>
              </w:rPr>
              <w:t>Notes</w:t>
            </w:r>
          </w:p>
        </w:tc>
        <w:tc>
          <w:tcPr>
            <w:tcW w:w="1580" w:type="dxa"/>
            <w:vAlign w:val="bottom"/>
            <w:tcBorders>
              <w:bottom w:val="single" w:sz="8" w:color="2360A6"/>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006EBF"/>
              </w:rPr>
              <w:t>2015</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006EBF"/>
              </w:rPr>
              <w:t>2014</w:t>
            </w:r>
          </w:p>
        </w:tc>
        <w:tc>
          <w:tcPr>
            <w:tcW w:w="20" w:type="dxa"/>
            <w:vAlign w:val="bottom"/>
            <w:tcBorders>
              <w:bottom w:val="single" w:sz="8" w:color="auto"/>
            </w:tcBorders>
            <w:shd w:val="clear" w:color="auto" w:fill="000000"/>
          </w:tcPr>
          <w:p>
            <w:pPr>
              <w:spacing w:after="0"/>
              <w:rPr>
                <w:sz w:val="17"/>
                <w:szCs w:val="17"/>
                <w:color w:val="auto"/>
              </w:rPr>
            </w:pPr>
          </w:p>
        </w:tc>
      </w:tr>
      <w:tr>
        <w:trPr>
          <w:trHeight w:val="210"/>
        </w:trPr>
        <w:tc>
          <w:tcPr>
            <w:tcW w:w="180" w:type="dxa"/>
            <w:vAlign w:val="bottom"/>
            <w:tcBorders>
              <w:right w:val="single" w:sz="8" w:color="231F20"/>
            </w:tcBorders>
          </w:tcPr>
          <w:p>
            <w:pPr>
              <w:spacing w:after="0"/>
              <w:rPr>
                <w:sz w:val="18"/>
                <w:szCs w:val="18"/>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Share Capital</w:t>
            </w:r>
          </w:p>
        </w:tc>
        <w:tc>
          <w:tcPr>
            <w:tcW w:w="8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20(a)</w:t>
            </w: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90.9</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90.8</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86.9</w:t>
            </w:r>
          </w:p>
        </w:tc>
        <w:tc>
          <w:tcPr>
            <w:tcW w:w="20" w:type="dxa"/>
            <w:vAlign w:val="bottom"/>
            <w:tcBorders>
              <w:bottom w:val="single" w:sz="8" w:color="231F20"/>
            </w:tcBorders>
            <w:shd w:val="clear" w:color="auto" w:fill="231F20"/>
          </w:tcPr>
          <w:p>
            <w:pPr>
              <w:spacing w:after="0"/>
              <w:rPr>
                <w:sz w:val="18"/>
                <w:szCs w:val="18"/>
                <w:color w:val="auto"/>
              </w:rPr>
            </w:pPr>
          </w:p>
        </w:tc>
      </w:tr>
      <w:tr>
        <w:trPr>
          <w:trHeight w:val="264"/>
        </w:trPr>
        <w:tc>
          <w:tcPr>
            <w:tcW w:w="180" w:type="dxa"/>
            <w:vAlign w:val="bottom"/>
            <w:tcBorders>
              <w:right w:val="single" w:sz="8" w:color="231F20"/>
            </w:tcBorders>
          </w:tcPr>
          <w:p>
            <w:pPr>
              <w:spacing w:after="0"/>
              <w:rPr>
                <w:sz w:val="22"/>
                <w:szCs w:val="22"/>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Share Premium</w:t>
            </w:r>
          </w:p>
        </w:tc>
        <w:tc>
          <w:tcPr>
            <w:tcW w:w="860" w:type="dxa"/>
            <w:vAlign w:val="bottom"/>
            <w:tcBorders>
              <w:bottom w:val="single" w:sz="8" w:color="2360A6"/>
              <w:right w:val="single" w:sz="8" w:color="231F20"/>
            </w:tcBorders>
          </w:tcPr>
          <w:p>
            <w:pPr>
              <w:spacing w:after="0"/>
              <w:rPr>
                <w:sz w:val="22"/>
                <w:szCs w:val="22"/>
                <w:color w:val="auto"/>
              </w:rPr>
            </w:pP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2,136.6</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2,162.1</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1,934.8</w:t>
            </w:r>
          </w:p>
        </w:tc>
        <w:tc>
          <w:tcPr>
            <w:tcW w:w="20" w:type="dxa"/>
            <w:vAlign w:val="bottom"/>
            <w:tcBorders>
              <w:bottom w:val="single" w:sz="8" w:color="231F20"/>
            </w:tcBorders>
            <w:shd w:val="clear" w:color="auto" w:fill="231F20"/>
          </w:tcPr>
          <w:p>
            <w:pPr>
              <w:spacing w:after="0"/>
              <w:rPr>
                <w:sz w:val="22"/>
                <w:szCs w:val="22"/>
                <w:color w:val="auto"/>
              </w:rPr>
            </w:pPr>
          </w:p>
        </w:tc>
      </w:tr>
      <w:tr>
        <w:trPr>
          <w:trHeight w:val="264"/>
        </w:trPr>
        <w:tc>
          <w:tcPr>
            <w:tcW w:w="180" w:type="dxa"/>
            <w:vAlign w:val="bottom"/>
            <w:tcBorders>
              <w:right w:val="single" w:sz="8" w:color="231F20"/>
            </w:tcBorders>
          </w:tcPr>
          <w:p>
            <w:pPr>
              <w:spacing w:after="0"/>
              <w:rPr>
                <w:sz w:val="22"/>
                <w:szCs w:val="22"/>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Retained Earnings</w:t>
            </w:r>
          </w:p>
        </w:tc>
        <w:tc>
          <w:tcPr>
            <w:tcW w:w="860" w:type="dxa"/>
            <w:vAlign w:val="bottom"/>
            <w:tcBorders>
              <w:bottom w:val="single" w:sz="8" w:color="2360A6"/>
              <w:right w:val="single" w:sz="8" w:color="231F20"/>
            </w:tcBorders>
          </w:tcPr>
          <w:p>
            <w:pPr>
              <w:spacing w:after="0"/>
              <w:rPr>
                <w:sz w:val="22"/>
                <w:szCs w:val="22"/>
                <w:color w:val="auto"/>
              </w:rPr>
            </w:pP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2,273.3</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2,477.4</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2,260.1</w:t>
            </w:r>
          </w:p>
        </w:tc>
        <w:tc>
          <w:tcPr>
            <w:tcW w:w="20" w:type="dxa"/>
            <w:vAlign w:val="bottom"/>
            <w:tcBorders>
              <w:bottom w:val="single" w:sz="8" w:color="231F20"/>
            </w:tcBorders>
            <w:shd w:val="clear" w:color="auto" w:fill="231F20"/>
          </w:tcPr>
          <w:p>
            <w:pPr>
              <w:spacing w:after="0"/>
              <w:rPr>
                <w:sz w:val="22"/>
                <w:szCs w:val="22"/>
                <w:color w:val="auto"/>
              </w:rPr>
            </w:pPr>
          </w:p>
        </w:tc>
      </w:tr>
      <w:tr>
        <w:trPr>
          <w:trHeight w:val="210"/>
        </w:trPr>
        <w:tc>
          <w:tcPr>
            <w:tcW w:w="180" w:type="dxa"/>
            <w:vAlign w:val="bottom"/>
            <w:tcBorders>
              <w:right w:val="single" w:sz="8" w:color="231F20"/>
            </w:tcBorders>
          </w:tcPr>
          <w:p>
            <w:pPr>
              <w:spacing w:after="0"/>
              <w:rPr>
                <w:sz w:val="18"/>
                <w:szCs w:val="18"/>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Treasury Shares</w:t>
            </w:r>
          </w:p>
        </w:tc>
        <w:tc>
          <w:tcPr>
            <w:tcW w:w="8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20(c)</w:t>
            </w: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(22.1)</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(55.2)</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(96.9)</w:t>
            </w:r>
          </w:p>
        </w:tc>
        <w:tc>
          <w:tcPr>
            <w:tcW w:w="20" w:type="dxa"/>
            <w:vAlign w:val="bottom"/>
            <w:tcBorders>
              <w:bottom w:val="single" w:sz="8" w:color="231F20"/>
            </w:tcBorders>
            <w:shd w:val="clear" w:color="auto" w:fill="231F20"/>
          </w:tcPr>
          <w:p>
            <w:pPr>
              <w:spacing w:after="0"/>
              <w:rPr>
                <w:sz w:val="18"/>
                <w:szCs w:val="18"/>
                <w:color w:val="auto"/>
              </w:rPr>
            </w:pPr>
          </w:p>
        </w:tc>
      </w:tr>
      <w:tr>
        <w:trPr>
          <w:trHeight w:val="264"/>
        </w:trPr>
        <w:tc>
          <w:tcPr>
            <w:tcW w:w="180" w:type="dxa"/>
            <w:vAlign w:val="bottom"/>
            <w:tcBorders>
              <w:right w:val="single" w:sz="8" w:color="231F20"/>
            </w:tcBorders>
          </w:tcPr>
          <w:p>
            <w:pPr>
              <w:spacing w:after="0"/>
              <w:rPr>
                <w:sz w:val="22"/>
                <w:szCs w:val="22"/>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Foreign Currency Translation Reserves</w:t>
            </w:r>
          </w:p>
        </w:tc>
        <w:tc>
          <w:tcPr>
            <w:tcW w:w="860" w:type="dxa"/>
            <w:vAlign w:val="bottom"/>
            <w:tcBorders>
              <w:bottom w:val="single" w:sz="8" w:color="2360A6"/>
              <w:right w:val="single" w:sz="8" w:color="231F20"/>
            </w:tcBorders>
          </w:tcPr>
          <w:p>
            <w:pPr>
              <w:spacing w:after="0"/>
              <w:rPr>
                <w:sz w:val="22"/>
                <w:szCs w:val="22"/>
                <w:color w:val="auto"/>
              </w:rPr>
            </w:pP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199.0</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103.8</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(19.2)</w:t>
            </w:r>
          </w:p>
        </w:tc>
        <w:tc>
          <w:tcPr>
            <w:tcW w:w="20" w:type="dxa"/>
            <w:vAlign w:val="bottom"/>
            <w:tcBorders>
              <w:bottom w:val="single" w:sz="8" w:color="231F20"/>
            </w:tcBorders>
            <w:shd w:val="clear" w:color="auto" w:fill="231F20"/>
          </w:tcPr>
          <w:p>
            <w:pPr>
              <w:spacing w:after="0"/>
              <w:rPr>
                <w:sz w:val="22"/>
                <w:szCs w:val="22"/>
                <w:color w:val="auto"/>
              </w:rPr>
            </w:pPr>
          </w:p>
        </w:tc>
      </w:tr>
      <w:tr>
        <w:trPr>
          <w:trHeight w:val="210"/>
        </w:trPr>
        <w:tc>
          <w:tcPr>
            <w:tcW w:w="180" w:type="dxa"/>
            <w:vAlign w:val="bottom"/>
            <w:tcBorders>
              <w:right w:val="single" w:sz="8" w:color="231F20"/>
            </w:tcBorders>
          </w:tcPr>
          <w:p>
            <w:pPr>
              <w:spacing w:after="0"/>
              <w:rPr>
                <w:sz w:val="18"/>
                <w:szCs w:val="18"/>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Fair Value Reserves</w:t>
            </w:r>
          </w:p>
        </w:tc>
        <w:tc>
          <w:tcPr>
            <w:tcW w:w="8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20(d)</w:t>
            </w: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(154.4)</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(287.6)</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(238.9)</w:t>
            </w:r>
          </w:p>
        </w:tc>
        <w:tc>
          <w:tcPr>
            <w:tcW w:w="20" w:type="dxa"/>
            <w:vAlign w:val="bottom"/>
            <w:tcBorders>
              <w:bottom w:val="single" w:sz="8" w:color="231F20"/>
            </w:tcBorders>
            <w:shd w:val="clear" w:color="auto" w:fill="231F20"/>
          </w:tcPr>
          <w:p>
            <w:pPr>
              <w:spacing w:after="0"/>
              <w:rPr>
                <w:sz w:val="18"/>
                <w:szCs w:val="18"/>
                <w:color w:val="auto"/>
              </w:rPr>
            </w:pPr>
          </w:p>
        </w:tc>
      </w:tr>
      <w:tr>
        <w:trPr>
          <w:trHeight w:val="264"/>
        </w:trPr>
        <w:tc>
          <w:tcPr>
            <w:tcW w:w="180" w:type="dxa"/>
            <w:vAlign w:val="bottom"/>
            <w:tcBorders>
              <w:right w:val="single" w:sz="8" w:color="231F20"/>
            </w:tcBorders>
          </w:tcPr>
          <w:p>
            <w:pPr>
              <w:spacing w:after="0"/>
              <w:rPr>
                <w:sz w:val="22"/>
                <w:szCs w:val="22"/>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Net Income</w:t>
            </w:r>
          </w:p>
        </w:tc>
        <w:tc>
          <w:tcPr>
            <w:tcW w:w="860" w:type="dxa"/>
            <w:vAlign w:val="bottom"/>
            <w:tcBorders>
              <w:bottom w:val="single" w:sz="8" w:color="2360A6"/>
              <w:right w:val="single" w:sz="8" w:color="231F20"/>
            </w:tcBorders>
          </w:tcPr>
          <w:p>
            <w:pPr>
              <w:spacing w:after="0"/>
              <w:rPr>
                <w:sz w:val="22"/>
                <w:szCs w:val="22"/>
                <w:color w:val="auto"/>
              </w:rPr>
            </w:pP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281.3</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45.1</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436.6</w:t>
            </w:r>
          </w:p>
        </w:tc>
        <w:tc>
          <w:tcPr>
            <w:tcW w:w="20" w:type="dxa"/>
            <w:vAlign w:val="bottom"/>
            <w:tcBorders>
              <w:bottom w:val="single" w:sz="8" w:color="231F20"/>
            </w:tcBorders>
            <w:shd w:val="clear" w:color="auto" w:fill="231F20"/>
          </w:tcPr>
          <w:p>
            <w:pPr>
              <w:spacing w:after="0"/>
              <w:rPr>
                <w:sz w:val="22"/>
                <w:szCs w:val="22"/>
                <w:color w:val="auto"/>
              </w:rPr>
            </w:pPr>
          </w:p>
        </w:tc>
      </w:tr>
      <w:tr>
        <w:trPr>
          <w:trHeight w:val="216"/>
        </w:trPr>
        <w:tc>
          <w:tcPr>
            <w:tcW w:w="180" w:type="dxa"/>
            <w:vAlign w:val="bottom"/>
            <w:tcBorders>
              <w:right w:val="single" w:sz="8" w:color="231F20"/>
            </w:tcBorders>
          </w:tcPr>
          <w:p>
            <w:pPr>
              <w:spacing w:after="0"/>
              <w:rPr>
                <w:sz w:val="18"/>
                <w:szCs w:val="18"/>
                <w:color w:val="auto"/>
              </w:rPr>
            </w:pPr>
          </w:p>
        </w:tc>
        <w:tc>
          <w:tcPr>
            <w:tcW w:w="5040" w:type="dxa"/>
            <w:vAlign w:val="bottom"/>
            <w:tcBorders>
              <w:right w:val="single" w:sz="8" w:color="231F20"/>
            </w:tcBorders>
          </w:tcPr>
          <w:p>
            <w:pPr>
              <w:ind w:left="20"/>
              <w:spacing w:after="0"/>
              <w:rPr>
                <w:sz w:val="20"/>
                <w:szCs w:val="20"/>
                <w:color w:val="auto"/>
              </w:rPr>
            </w:pPr>
            <w:r>
              <w:rPr>
                <w:rFonts w:ascii="Arial" w:cs="Arial" w:eastAsia="Arial" w:hAnsi="Arial"/>
                <w:sz w:val="14"/>
                <w:szCs w:val="14"/>
                <w:b w:val="1"/>
                <w:bCs w:val="1"/>
                <w:color w:val="2360A6"/>
              </w:rPr>
              <w:t>Total Equity Attributable to Shareholders of the Parent</w:t>
            </w:r>
          </w:p>
        </w:tc>
        <w:tc>
          <w:tcPr>
            <w:tcW w:w="860" w:type="dxa"/>
            <w:vAlign w:val="bottom"/>
            <w:tcBorders>
              <w:right w:val="single" w:sz="8" w:color="231F20"/>
            </w:tcBorders>
          </w:tcPr>
          <w:p>
            <w:pPr>
              <w:spacing w:after="0"/>
              <w:rPr>
                <w:sz w:val="18"/>
                <w:szCs w:val="18"/>
                <w:color w:val="auto"/>
              </w:rPr>
            </w:pPr>
          </w:p>
        </w:tc>
        <w:tc>
          <w:tcPr>
            <w:tcW w:w="1580" w:type="dxa"/>
            <w:vAlign w:val="bottom"/>
            <w:tcBorders>
              <w:right w:val="single" w:sz="8" w:color="231F20"/>
            </w:tcBorders>
            <w:shd w:val="clear" w:color="auto" w:fill="EDEDEE"/>
          </w:tcPr>
          <w:p>
            <w:pPr>
              <w:spacing w:after="0"/>
              <w:rPr>
                <w:sz w:val="18"/>
                <w:szCs w:val="18"/>
                <w:color w:val="auto"/>
              </w:rPr>
            </w:pPr>
          </w:p>
        </w:tc>
        <w:tc>
          <w:tcPr>
            <w:tcW w:w="1600" w:type="dxa"/>
            <w:vAlign w:val="bottom"/>
            <w:tcBorders>
              <w:right w:val="single" w:sz="8" w:color="231F20"/>
            </w:tcBorders>
          </w:tcPr>
          <w:p>
            <w:pPr>
              <w:spacing w:after="0"/>
              <w:rPr>
                <w:sz w:val="18"/>
                <w:szCs w:val="18"/>
                <w:color w:val="auto"/>
              </w:rPr>
            </w:pPr>
          </w:p>
        </w:tc>
        <w:tc>
          <w:tcPr>
            <w:tcW w:w="1600" w:type="dxa"/>
            <w:vAlign w:val="bottom"/>
            <w:tcBorders>
              <w:right w:val="single" w:sz="8" w:color="231F20"/>
            </w:tcBorders>
          </w:tcPr>
          <w:p>
            <w:pPr>
              <w:spacing w:after="0"/>
              <w:rPr>
                <w:sz w:val="18"/>
                <w:szCs w:val="18"/>
                <w:color w:val="auto"/>
              </w:rPr>
            </w:pPr>
          </w:p>
        </w:tc>
        <w:tc>
          <w:tcPr>
            <w:tcW w:w="20" w:type="dxa"/>
            <w:vAlign w:val="bottom"/>
            <w:shd w:val="clear" w:color="auto" w:fill="231F20"/>
          </w:tcPr>
          <w:p>
            <w:pPr>
              <w:spacing w:after="0"/>
              <w:rPr>
                <w:sz w:val="18"/>
                <w:szCs w:val="18"/>
                <w:color w:val="auto"/>
              </w:rPr>
            </w:pPr>
          </w:p>
        </w:tc>
      </w:tr>
      <w:tr>
        <w:trPr>
          <w:trHeight w:val="196"/>
        </w:trPr>
        <w:tc>
          <w:tcPr>
            <w:tcW w:w="180" w:type="dxa"/>
            <w:vAlign w:val="bottom"/>
            <w:tcBorders>
              <w:right w:val="single" w:sz="8" w:color="231F20"/>
            </w:tcBorders>
          </w:tcPr>
          <w:p>
            <w:pPr>
              <w:spacing w:after="0"/>
              <w:rPr>
                <w:sz w:val="17"/>
                <w:szCs w:val="17"/>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b w:val="1"/>
                <w:bCs w:val="1"/>
                <w:color w:val="2360A6"/>
              </w:rPr>
              <w:t>Company</w:t>
            </w:r>
          </w:p>
        </w:tc>
        <w:tc>
          <w:tcPr>
            <w:tcW w:w="860" w:type="dxa"/>
            <w:vAlign w:val="bottom"/>
            <w:tcBorders>
              <w:bottom w:val="single" w:sz="8" w:color="2360A6"/>
              <w:right w:val="single" w:sz="8" w:color="231F20"/>
            </w:tcBorders>
          </w:tcPr>
          <w:p>
            <w:pPr>
              <w:spacing w:after="0"/>
              <w:rPr>
                <w:sz w:val="17"/>
                <w:szCs w:val="17"/>
                <w:color w:val="auto"/>
              </w:rPr>
            </w:pP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4,804.6</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4,536.4</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4,363.4</w:t>
            </w:r>
          </w:p>
        </w:tc>
        <w:tc>
          <w:tcPr>
            <w:tcW w:w="20" w:type="dxa"/>
            <w:vAlign w:val="bottom"/>
            <w:tcBorders>
              <w:bottom w:val="single" w:sz="8" w:color="231F20"/>
            </w:tcBorders>
            <w:shd w:val="clear" w:color="auto" w:fill="231F20"/>
          </w:tcPr>
          <w:p>
            <w:pPr>
              <w:spacing w:after="0"/>
              <w:rPr>
                <w:sz w:val="17"/>
                <w:szCs w:val="17"/>
                <w:color w:val="auto"/>
              </w:rPr>
            </w:pPr>
          </w:p>
        </w:tc>
      </w:tr>
      <w:tr>
        <w:trPr>
          <w:trHeight w:val="264"/>
        </w:trPr>
        <w:tc>
          <w:tcPr>
            <w:tcW w:w="180" w:type="dxa"/>
            <w:vAlign w:val="bottom"/>
            <w:tcBorders>
              <w:right w:val="single" w:sz="8" w:color="231F20"/>
            </w:tcBorders>
          </w:tcPr>
          <w:p>
            <w:pPr>
              <w:spacing w:after="0"/>
              <w:rPr>
                <w:sz w:val="22"/>
                <w:szCs w:val="22"/>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Non-Controlling Interests</w:t>
            </w:r>
          </w:p>
        </w:tc>
        <w:tc>
          <w:tcPr>
            <w:tcW w:w="860" w:type="dxa"/>
            <w:vAlign w:val="bottom"/>
            <w:tcBorders>
              <w:bottom w:val="single" w:sz="8" w:color="2360A6"/>
              <w:right w:val="single" w:sz="8" w:color="231F20"/>
            </w:tcBorders>
          </w:tcPr>
          <w:p>
            <w:pPr>
              <w:spacing w:after="0"/>
              <w:rPr>
                <w:sz w:val="22"/>
                <w:szCs w:val="22"/>
                <w:color w:val="auto"/>
              </w:rPr>
            </w:pP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(11.1)</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8.5</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11.8</w:t>
            </w:r>
          </w:p>
        </w:tc>
        <w:tc>
          <w:tcPr>
            <w:tcW w:w="20" w:type="dxa"/>
            <w:vAlign w:val="bottom"/>
            <w:tcBorders>
              <w:bottom w:val="single" w:sz="8" w:color="231F20"/>
            </w:tcBorders>
            <w:shd w:val="clear" w:color="auto" w:fill="231F20"/>
          </w:tcPr>
          <w:p>
            <w:pPr>
              <w:spacing w:after="0"/>
              <w:rPr>
                <w:sz w:val="22"/>
                <w:szCs w:val="22"/>
                <w:color w:val="auto"/>
              </w:rPr>
            </w:pPr>
          </w:p>
        </w:tc>
      </w:tr>
      <w:tr>
        <w:trPr>
          <w:trHeight w:val="264"/>
        </w:trPr>
        <w:tc>
          <w:tcPr>
            <w:tcW w:w="180" w:type="dxa"/>
            <w:vAlign w:val="bottom"/>
            <w:tcBorders>
              <w:right w:val="single" w:sz="8" w:color="231F20"/>
            </w:tcBorders>
          </w:tcPr>
          <w:p>
            <w:pPr>
              <w:spacing w:after="0"/>
              <w:rPr>
                <w:sz w:val="22"/>
                <w:szCs w:val="22"/>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b w:val="1"/>
                <w:bCs w:val="1"/>
                <w:color w:val="2360A6"/>
              </w:rPr>
              <w:t>Total Equity</w:t>
            </w:r>
          </w:p>
        </w:tc>
        <w:tc>
          <w:tcPr>
            <w:tcW w:w="860" w:type="dxa"/>
            <w:vAlign w:val="bottom"/>
            <w:tcBorders>
              <w:bottom w:val="single" w:sz="8" w:color="2360A6"/>
              <w:right w:val="single" w:sz="8" w:color="231F20"/>
            </w:tcBorders>
          </w:tcPr>
          <w:p>
            <w:pPr>
              <w:spacing w:after="0"/>
              <w:rPr>
                <w:sz w:val="22"/>
                <w:szCs w:val="22"/>
                <w:color w:val="auto"/>
              </w:rPr>
            </w:pP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4,793.5</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4,544.9</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4,375.2</w:t>
            </w:r>
          </w:p>
        </w:tc>
        <w:tc>
          <w:tcPr>
            <w:tcW w:w="20" w:type="dxa"/>
            <w:vAlign w:val="bottom"/>
            <w:tcBorders>
              <w:bottom w:val="single" w:sz="8" w:color="231F20"/>
            </w:tcBorders>
            <w:shd w:val="clear" w:color="auto" w:fill="231F20"/>
          </w:tcPr>
          <w:p>
            <w:pPr>
              <w:spacing w:after="0"/>
              <w:rPr>
                <w:sz w:val="22"/>
                <w:szCs w:val="22"/>
                <w:color w:val="auto"/>
              </w:rPr>
            </w:pPr>
          </w:p>
        </w:tc>
      </w:tr>
      <w:tr>
        <w:trPr>
          <w:trHeight w:val="210"/>
        </w:trPr>
        <w:tc>
          <w:tcPr>
            <w:tcW w:w="180" w:type="dxa"/>
            <w:vAlign w:val="bottom"/>
            <w:tcBorders>
              <w:right w:val="single" w:sz="8" w:color="231F20"/>
            </w:tcBorders>
          </w:tcPr>
          <w:p>
            <w:pPr>
              <w:spacing w:after="0"/>
              <w:rPr>
                <w:sz w:val="18"/>
                <w:szCs w:val="18"/>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Non-Current Financial Debts</w:t>
            </w:r>
          </w:p>
        </w:tc>
        <w:tc>
          <w:tcPr>
            <w:tcW w:w="8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21</w:t>
            </w: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1,573.4</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1,626.0</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2,356.6</w:t>
            </w:r>
          </w:p>
        </w:tc>
        <w:tc>
          <w:tcPr>
            <w:tcW w:w="20" w:type="dxa"/>
            <w:vAlign w:val="bottom"/>
            <w:tcBorders>
              <w:bottom w:val="single" w:sz="8" w:color="231F20"/>
            </w:tcBorders>
            <w:shd w:val="clear" w:color="auto" w:fill="231F20"/>
          </w:tcPr>
          <w:p>
            <w:pPr>
              <w:spacing w:after="0"/>
              <w:rPr>
                <w:sz w:val="18"/>
                <w:szCs w:val="18"/>
                <w:color w:val="auto"/>
              </w:rPr>
            </w:pPr>
          </w:p>
        </w:tc>
      </w:tr>
      <w:tr>
        <w:trPr>
          <w:trHeight w:val="210"/>
        </w:trPr>
        <w:tc>
          <w:tcPr>
            <w:tcW w:w="180" w:type="dxa"/>
            <w:vAlign w:val="bottom"/>
            <w:tcBorders>
              <w:right w:val="single" w:sz="8" w:color="231F20"/>
            </w:tcBorders>
          </w:tcPr>
          <w:p>
            <w:pPr>
              <w:spacing w:after="0"/>
              <w:rPr>
                <w:sz w:val="18"/>
                <w:szCs w:val="18"/>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Non-Current Provisions</w:t>
            </w:r>
          </w:p>
        </w:tc>
        <w:tc>
          <w:tcPr>
            <w:tcW w:w="8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22</w:t>
            </w: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276.2</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242.0</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231.6</w:t>
            </w:r>
          </w:p>
        </w:tc>
        <w:tc>
          <w:tcPr>
            <w:tcW w:w="20" w:type="dxa"/>
            <w:vAlign w:val="bottom"/>
            <w:tcBorders>
              <w:bottom w:val="single" w:sz="8" w:color="231F20"/>
            </w:tcBorders>
            <w:shd w:val="clear" w:color="auto" w:fill="231F20"/>
          </w:tcPr>
          <w:p>
            <w:pPr>
              <w:spacing w:after="0"/>
              <w:rPr>
                <w:sz w:val="18"/>
                <w:szCs w:val="18"/>
                <w:color w:val="auto"/>
              </w:rPr>
            </w:pPr>
          </w:p>
        </w:tc>
      </w:tr>
      <w:tr>
        <w:trPr>
          <w:trHeight w:val="210"/>
        </w:trPr>
        <w:tc>
          <w:tcPr>
            <w:tcW w:w="180" w:type="dxa"/>
            <w:vAlign w:val="bottom"/>
            <w:tcBorders>
              <w:right w:val="single" w:sz="8" w:color="231F20"/>
            </w:tcBorders>
          </w:tcPr>
          <w:p>
            <w:pPr>
              <w:spacing w:after="0"/>
              <w:rPr>
                <w:sz w:val="18"/>
                <w:szCs w:val="18"/>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Deferred Tax Liabilities</w:t>
            </w:r>
          </w:p>
        </w:tc>
        <w:tc>
          <w:tcPr>
            <w:tcW w:w="8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w w:val="99"/>
              </w:rPr>
              <w:t>6(c)</w:t>
            </w: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145.9</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175.4</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196.2</w:t>
            </w:r>
          </w:p>
        </w:tc>
        <w:tc>
          <w:tcPr>
            <w:tcW w:w="20" w:type="dxa"/>
            <w:vAlign w:val="bottom"/>
            <w:tcBorders>
              <w:bottom w:val="single" w:sz="8" w:color="231F20"/>
            </w:tcBorders>
            <w:shd w:val="clear" w:color="auto" w:fill="231F20"/>
          </w:tcPr>
          <w:p>
            <w:pPr>
              <w:spacing w:after="0"/>
              <w:rPr>
                <w:sz w:val="18"/>
                <w:szCs w:val="18"/>
                <w:color w:val="auto"/>
              </w:rPr>
            </w:pPr>
          </w:p>
        </w:tc>
      </w:tr>
      <w:tr>
        <w:trPr>
          <w:trHeight w:val="210"/>
        </w:trPr>
        <w:tc>
          <w:tcPr>
            <w:tcW w:w="180" w:type="dxa"/>
            <w:vAlign w:val="bottom"/>
            <w:tcBorders>
              <w:right w:val="single" w:sz="8" w:color="231F20"/>
            </w:tcBorders>
          </w:tcPr>
          <w:p>
            <w:pPr>
              <w:spacing w:after="0"/>
              <w:rPr>
                <w:sz w:val="18"/>
                <w:szCs w:val="18"/>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Other Non-Current Liabilities</w:t>
            </w:r>
          </w:p>
        </w:tc>
        <w:tc>
          <w:tcPr>
            <w:tcW w:w="8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25</w:t>
            </w: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26.8</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32.2</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40.6</w:t>
            </w:r>
          </w:p>
        </w:tc>
        <w:tc>
          <w:tcPr>
            <w:tcW w:w="20" w:type="dxa"/>
            <w:vAlign w:val="bottom"/>
            <w:tcBorders>
              <w:bottom w:val="single" w:sz="8" w:color="231F20"/>
            </w:tcBorders>
            <w:shd w:val="clear" w:color="auto" w:fill="231F20"/>
          </w:tcPr>
          <w:p>
            <w:pPr>
              <w:spacing w:after="0"/>
              <w:rPr>
                <w:sz w:val="18"/>
                <w:szCs w:val="18"/>
                <w:color w:val="auto"/>
              </w:rPr>
            </w:pPr>
          </w:p>
        </w:tc>
      </w:tr>
      <w:tr>
        <w:trPr>
          <w:trHeight w:val="264"/>
        </w:trPr>
        <w:tc>
          <w:tcPr>
            <w:tcW w:w="180" w:type="dxa"/>
            <w:vAlign w:val="bottom"/>
            <w:tcBorders>
              <w:right w:val="single" w:sz="8" w:color="231F20"/>
            </w:tcBorders>
          </w:tcPr>
          <w:p>
            <w:pPr>
              <w:spacing w:after="0"/>
              <w:rPr>
                <w:sz w:val="22"/>
                <w:szCs w:val="22"/>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b w:val="1"/>
                <w:bCs w:val="1"/>
                <w:color w:val="2360A6"/>
              </w:rPr>
              <w:t>Total Non-Current Liabilities</w:t>
            </w:r>
          </w:p>
        </w:tc>
        <w:tc>
          <w:tcPr>
            <w:tcW w:w="860" w:type="dxa"/>
            <w:vAlign w:val="bottom"/>
            <w:tcBorders>
              <w:bottom w:val="single" w:sz="8" w:color="2360A6"/>
              <w:right w:val="single" w:sz="8" w:color="231F20"/>
            </w:tcBorders>
          </w:tcPr>
          <w:p>
            <w:pPr>
              <w:spacing w:after="0"/>
              <w:rPr>
                <w:sz w:val="22"/>
                <w:szCs w:val="22"/>
                <w:color w:val="auto"/>
              </w:rPr>
            </w:pP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2,022.3</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2,075.6</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2,825.0</w:t>
            </w:r>
          </w:p>
        </w:tc>
        <w:tc>
          <w:tcPr>
            <w:tcW w:w="20" w:type="dxa"/>
            <w:vAlign w:val="bottom"/>
            <w:tcBorders>
              <w:bottom w:val="single" w:sz="8" w:color="231F20"/>
            </w:tcBorders>
            <w:shd w:val="clear" w:color="auto" w:fill="231F20"/>
          </w:tcPr>
          <w:p>
            <w:pPr>
              <w:spacing w:after="0"/>
              <w:rPr>
                <w:sz w:val="22"/>
                <w:szCs w:val="22"/>
                <w:color w:val="auto"/>
              </w:rPr>
            </w:pPr>
          </w:p>
        </w:tc>
      </w:tr>
      <w:tr>
        <w:trPr>
          <w:trHeight w:val="210"/>
        </w:trPr>
        <w:tc>
          <w:tcPr>
            <w:tcW w:w="180" w:type="dxa"/>
            <w:vAlign w:val="bottom"/>
            <w:tcBorders>
              <w:right w:val="single" w:sz="8" w:color="231F20"/>
            </w:tcBorders>
          </w:tcPr>
          <w:p>
            <w:pPr>
              <w:spacing w:after="0"/>
              <w:rPr>
                <w:sz w:val="18"/>
                <w:szCs w:val="18"/>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Current Financial Debts</w:t>
            </w:r>
          </w:p>
        </w:tc>
        <w:tc>
          <w:tcPr>
            <w:tcW w:w="8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21</w:t>
            </w: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848.5</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937.1</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256.4</w:t>
            </w:r>
          </w:p>
        </w:tc>
        <w:tc>
          <w:tcPr>
            <w:tcW w:w="20" w:type="dxa"/>
            <w:vAlign w:val="bottom"/>
            <w:tcBorders>
              <w:bottom w:val="single" w:sz="8" w:color="231F20"/>
            </w:tcBorders>
            <w:shd w:val="clear" w:color="auto" w:fill="231F20"/>
          </w:tcPr>
          <w:p>
            <w:pPr>
              <w:spacing w:after="0"/>
              <w:rPr>
                <w:sz w:val="18"/>
                <w:szCs w:val="18"/>
                <w:color w:val="auto"/>
              </w:rPr>
            </w:pPr>
          </w:p>
        </w:tc>
      </w:tr>
      <w:tr>
        <w:trPr>
          <w:trHeight w:val="210"/>
        </w:trPr>
        <w:tc>
          <w:tcPr>
            <w:tcW w:w="180" w:type="dxa"/>
            <w:vAlign w:val="bottom"/>
            <w:tcBorders>
              <w:right w:val="single" w:sz="8" w:color="231F20"/>
            </w:tcBorders>
          </w:tcPr>
          <w:p>
            <w:pPr>
              <w:spacing w:after="0"/>
              <w:rPr>
                <w:sz w:val="18"/>
                <w:szCs w:val="18"/>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Trade Payables</w:t>
            </w:r>
          </w:p>
        </w:tc>
        <w:tc>
          <w:tcPr>
            <w:tcW w:w="8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24</w:t>
            </w: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3,684.0</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2,480.4</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2,312.9</w:t>
            </w:r>
          </w:p>
        </w:tc>
        <w:tc>
          <w:tcPr>
            <w:tcW w:w="20" w:type="dxa"/>
            <w:vAlign w:val="bottom"/>
            <w:tcBorders>
              <w:bottom w:val="single" w:sz="8" w:color="231F20"/>
            </w:tcBorders>
            <w:shd w:val="clear" w:color="auto" w:fill="231F20"/>
          </w:tcPr>
          <w:p>
            <w:pPr>
              <w:spacing w:after="0"/>
              <w:rPr>
                <w:sz w:val="18"/>
                <w:szCs w:val="18"/>
                <w:color w:val="auto"/>
              </w:rPr>
            </w:pPr>
          </w:p>
        </w:tc>
      </w:tr>
      <w:tr>
        <w:trPr>
          <w:trHeight w:val="210"/>
        </w:trPr>
        <w:tc>
          <w:tcPr>
            <w:tcW w:w="180" w:type="dxa"/>
            <w:vAlign w:val="bottom"/>
            <w:tcBorders>
              <w:right w:val="single" w:sz="8" w:color="231F20"/>
            </w:tcBorders>
          </w:tcPr>
          <w:p>
            <w:pPr>
              <w:spacing w:after="0"/>
              <w:rPr>
                <w:sz w:val="18"/>
                <w:szCs w:val="18"/>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Construction Contracts - Amounts in Liabilities</w:t>
            </w:r>
          </w:p>
        </w:tc>
        <w:tc>
          <w:tcPr>
            <w:tcW w:w="8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15</w:t>
            </w: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3,191.3</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908.4</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1,256.1</w:t>
            </w:r>
          </w:p>
        </w:tc>
        <w:tc>
          <w:tcPr>
            <w:tcW w:w="20" w:type="dxa"/>
            <w:vAlign w:val="bottom"/>
            <w:tcBorders>
              <w:bottom w:val="single" w:sz="8" w:color="231F20"/>
            </w:tcBorders>
            <w:shd w:val="clear" w:color="auto" w:fill="231F20"/>
          </w:tcPr>
          <w:p>
            <w:pPr>
              <w:spacing w:after="0"/>
              <w:rPr>
                <w:sz w:val="18"/>
                <w:szCs w:val="18"/>
                <w:color w:val="auto"/>
              </w:rPr>
            </w:pPr>
          </w:p>
        </w:tc>
      </w:tr>
      <w:tr>
        <w:trPr>
          <w:trHeight w:val="210"/>
        </w:trPr>
        <w:tc>
          <w:tcPr>
            <w:tcW w:w="180" w:type="dxa"/>
            <w:vAlign w:val="bottom"/>
            <w:tcBorders>
              <w:right w:val="single" w:sz="8" w:color="231F20"/>
            </w:tcBorders>
          </w:tcPr>
          <w:p>
            <w:pPr>
              <w:spacing w:after="0"/>
              <w:rPr>
                <w:sz w:val="18"/>
                <w:szCs w:val="18"/>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Financial Instruments</w:t>
            </w:r>
          </w:p>
        </w:tc>
        <w:tc>
          <w:tcPr>
            <w:tcW w:w="8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26</w:t>
            </w: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556.6</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334.4</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300.5</w:t>
            </w:r>
          </w:p>
        </w:tc>
        <w:tc>
          <w:tcPr>
            <w:tcW w:w="20" w:type="dxa"/>
            <w:vAlign w:val="bottom"/>
            <w:tcBorders>
              <w:bottom w:val="single" w:sz="8" w:color="231F20"/>
            </w:tcBorders>
            <w:shd w:val="clear" w:color="auto" w:fill="231F20"/>
          </w:tcPr>
          <w:p>
            <w:pPr>
              <w:spacing w:after="0"/>
              <w:rPr>
                <w:sz w:val="18"/>
                <w:szCs w:val="18"/>
                <w:color w:val="auto"/>
              </w:rPr>
            </w:pPr>
          </w:p>
        </w:tc>
      </w:tr>
      <w:tr>
        <w:trPr>
          <w:trHeight w:val="210"/>
        </w:trPr>
        <w:tc>
          <w:tcPr>
            <w:tcW w:w="180" w:type="dxa"/>
            <w:vAlign w:val="bottom"/>
            <w:tcBorders>
              <w:right w:val="single" w:sz="8" w:color="231F20"/>
            </w:tcBorders>
          </w:tcPr>
          <w:p>
            <w:pPr>
              <w:spacing w:after="0"/>
              <w:rPr>
                <w:sz w:val="18"/>
                <w:szCs w:val="18"/>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Current Provisions</w:t>
            </w:r>
          </w:p>
        </w:tc>
        <w:tc>
          <w:tcPr>
            <w:tcW w:w="8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22</w:t>
            </w: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658.9</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433.7</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326.3</w:t>
            </w:r>
          </w:p>
        </w:tc>
        <w:tc>
          <w:tcPr>
            <w:tcW w:w="20" w:type="dxa"/>
            <w:vAlign w:val="bottom"/>
            <w:tcBorders>
              <w:bottom w:val="single" w:sz="8" w:color="231F20"/>
            </w:tcBorders>
            <w:shd w:val="clear" w:color="auto" w:fill="231F20"/>
          </w:tcPr>
          <w:p>
            <w:pPr>
              <w:spacing w:after="0"/>
              <w:rPr>
                <w:sz w:val="18"/>
                <w:szCs w:val="18"/>
                <w:color w:val="auto"/>
              </w:rPr>
            </w:pPr>
          </w:p>
        </w:tc>
      </w:tr>
      <w:tr>
        <w:trPr>
          <w:trHeight w:val="264"/>
        </w:trPr>
        <w:tc>
          <w:tcPr>
            <w:tcW w:w="180" w:type="dxa"/>
            <w:vAlign w:val="bottom"/>
            <w:tcBorders>
              <w:right w:val="single" w:sz="8" w:color="231F20"/>
            </w:tcBorders>
          </w:tcPr>
          <w:p>
            <w:pPr>
              <w:spacing w:after="0"/>
              <w:rPr>
                <w:sz w:val="22"/>
                <w:szCs w:val="22"/>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Current Income Tax Payables</w:t>
            </w:r>
          </w:p>
        </w:tc>
        <w:tc>
          <w:tcPr>
            <w:tcW w:w="860" w:type="dxa"/>
            <w:vAlign w:val="bottom"/>
            <w:tcBorders>
              <w:bottom w:val="single" w:sz="8" w:color="2360A6"/>
              <w:right w:val="single" w:sz="8" w:color="231F20"/>
            </w:tcBorders>
          </w:tcPr>
          <w:p>
            <w:pPr>
              <w:spacing w:after="0"/>
              <w:rPr>
                <w:sz w:val="22"/>
                <w:szCs w:val="22"/>
                <w:color w:val="auto"/>
              </w:rPr>
            </w:pP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301.2</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200.0</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137.7</w:t>
            </w:r>
          </w:p>
        </w:tc>
        <w:tc>
          <w:tcPr>
            <w:tcW w:w="20" w:type="dxa"/>
            <w:vAlign w:val="bottom"/>
            <w:tcBorders>
              <w:bottom w:val="single" w:sz="8" w:color="231F20"/>
            </w:tcBorders>
            <w:shd w:val="clear" w:color="auto" w:fill="231F20"/>
          </w:tcPr>
          <w:p>
            <w:pPr>
              <w:spacing w:after="0"/>
              <w:rPr>
                <w:sz w:val="22"/>
                <w:szCs w:val="22"/>
                <w:color w:val="auto"/>
              </w:rPr>
            </w:pPr>
          </w:p>
        </w:tc>
      </w:tr>
      <w:tr>
        <w:trPr>
          <w:trHeight w:val="210"/>
        </w:trPr>
        <w:tc>
          <w:tcPr>
            <w:tcW w:w="180" w:type="dxa"/>
            <w:vAlign w:val="bottom"/>
            <w:tcBorders>
              <w:right w:val="single" w:sz="8" w:color="231F20"/>
            </w:tcBorders>
          </w:tcPr>
          <w:p>
            <w:pPr>
              <w:spacing w:after="0"/>
              <w:rPr>
                <w:sz w:val="18"/>
                <w:szCs w:val="18"/>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Other Current Liabilities</w:t>
            </w:r>
          </w:p>
        </w:tc>
        <w:tc>
          <w:tcPr>
            <w:tcW w:w="8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25</w:t>
            </w: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1,722.7</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1,754.5</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1,629.7</w:t>
            </w:r>
          </w:p>
        </w:tc>
        <w:tc>
          <w:tcPr>
            <w:tcW w:w="20" w:type="dxa"/>
            <w:vAlign w:val="bottom"/>
            <w:tcBorders>
              <w:bottom w:val="single" w:sz="8" w:color="231F20"/>
            </w:tcBorders>
            <w:shd w:val="clear" w:color="auto" w:fill="231F20"/>
          </w:tcPr>
          <w:p>
            <w:pPr>
              <w:spacing w:after="0"/>
              <w:rPr>
                <w:sz w:val="18"/>
                <w:szCs w:val="18"/>
                <w:color w:val="auto"/>
              </w:rPr>
            </w:pPr>
          </w:p>
        </w:tc>
      </w:tr>
      <w:tr>
        <w:trPr>
          <w:trHeight w:val="264"/>
        </w:trPr>
        <w:tc>
          <w:tcPr>
            <w:tcW w:w="180" w:type="dxa"/>
            <w:vAlign w:val="bottom"/>
            <w:tcBorders>
              <w:right w:val="single" w:sz="8" w:color="231F20"/>
            </w:tcBorders>
          </w:tcPr>
          <w:p>
            <w:pPr>
              <w:spacing w:after="0"/>
              <w:rPr>
                <w:sz w:val="22"/>
                <w:szCs w:val="22"/>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b w:val="1"/>
                <w:bCs w:val="1"/>
                <w:color w:val="2360A6"/>
              </w:rPr>
              <w:t>Total Current Liabilities</w:t>
            </w:r>
          </w:p>
        </w:tc>
        <w:tc>
          <w:tcPr>
            <w:tcW w:w="860" w:type="dxa"/>
            <w:vAlign w:val="bottom"/>
            <w:tcBorders>
              <w:bottom w:val="single" w:sz="8" w:color="2360A6"/>
              <w:right w:val="single" w:sz="8" w:color="231F20"/>
            </w:tcBorders>
          </w:tcPr>
          <w:p>
            <w:pPr>
              <w:spacing w:after="0"/>
              <w:rPr>
                <w:sz w:val="22"/>
                <w:szCs w:val="22"/>
                <w:color w:val="auto"/>
              </w:rPr>
            </w:pP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10,963.2</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7,048.5</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6,219.6</w:t>
            </w:r>
          </w:p>
        </w:tc>
        <w:tc>
          <w:tcPr>
            <w:tcW w:w="20" w:type="dxa"/>
            <w:vAlign w:val="bottom"/>
            <w:tcBorders>
              <w:bottom w:val="single" w:sz="8" w:color="231F20"/>
            </w:tcBorders>
            <w:shd w:val="clear" w:color="auto" w:fill="231F20"/>
          </w:tcPr>
          <w:p>
            <w:pPr>
              <w:spacing w:after="0"/>
              <w:rPr>
                <w:sz w:val="22"/>
                <w:szCs w:val="22"/>
                <w:color w:val="auto"/>
              </w:rPr>
            </w:pPr>
          </w:p>
        </w:tc>
      </w:tr>
      <w:tr>
        <w:trPr>
          <w:trHeight w:val="264"/>
        </w:trPr>
        <w:tc>
          <w:tcPr>
            <w:tcW w:w="180" w:type="dxa"/>
            <w:vAlign w:val="bottom"/>
            <w:tcBorders>
              <w:right w:val="single" w:sz="8" w:color="231F20"/>
            </w:tcBorders>
          </w:tcPr>
          <w:p>
            <w:pPr>
              <w:spacing w:after="0"/>
              <w:rPr>
                <w:sz w:val="22"/>
                <w:szCs w:val="22"/>
                <w:color w:val="auto"/>
              </w:rPr>
            </w:pPr>
          </w:p>
        </w:tc>
        <w:tc>
          <w:tcPr>
            <w:tcW w:w="504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b w:val="1"/>
                <w:bCs w:val="1"/>
                <w:color w:val="2360A6"/>
              </w:rPr>
              <w:t>Total Liabilities</w:t>
            </w:r>
          </w:p>
        </w:tc>
        <w:tc>
          <w:tcPr>
            <w:tcW w:w="860" w:type="dxa"/>
            <w:vAlign w:val="bottom"/>
            <w:tcBorders>
              <w:bottom w:val="single" w:sz="8" w:color="2360A6"/>
              <w:right w:val="single" w:sz="8" w:color="231F20"/>
            </w:tcBorders>
          </w:tcPr>
          <w:p>
            <w:pPr>
              <w:spacing w:after="0"/>
              <w:rPr>
                <w:sz w:val="22"/>
                <w:szCs w:val="22"/>
                <w:color w:val="auto"/>
              </w:rPr>
            </w:pPr>
          </w:p>
        </w:tc>
        <w:tc>
          <w:tcPr>
            <w:tcW w:w="158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12,985.5</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9,124.1</w:t>
            </w:r>
          </w:p>
        </w:tc>
        <w:tc>
          <w:tcPr>
            <w:tcW w:w="16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9,044.6</w:t>
            </w:r>
          </w:p>
        </w:tc>
        <w:tc>
          <w:tcPr>
            <w:tcW w:w="20" w:type="dxa"/>
            <w:vAlign w:val="bottom"/>
            <w:tcBorders>
              <w:bottom w:val="single" w:sz="8" w:color="231F20"/>
            </w:tcBorders>
            <w:shd w:val="clear" w:color="auto" w:fill="231F20"/>
          </w:tcPr>
          <w:p>
            <w:pPr>
              <w:spacing w:after="0"/>
              <w:rPr>
                <w:sz w:val="22"/>
                <w:szCs w:val="22"/>
                <w:color w:val="auto"/>
              </w:rPr>
            </w:pPr>
          </w:p>
        </w:tc>
      </w:tr>
      <w:tr>
        <w:trPr>
          <w:trHeight w:val="264"/>
        </w:trPr>
        <w:tc>
          <w:tcPr>
            <w:tcW w:w="180" w:type="dxa"/>
            <w:vAlign w:val="bottom"/>
            <w:tcBorders>
              <w:right w:val="single" w:sz="8" w:color="231F20"/>
            </w:tcBorders>
          </w:tcPr>
          <w:p>
            <w:pPr>
              <w:spacing w:after="0"/>
              <w:rPr>
                <w:sz w:val="22"/>
                <w:szCs w:val="22"/>
                <w:color w:val="auto"/>
              </w:rPr>
            </w:pPr>
          </w:p>
        </w:tc>
        <w:tc>
          <w:tcPr>
            <w:tcW w:w="5040" w:type="dxa"/>
            <w:vAlign w:val="bottom"/>
            <w:tcBorders>
              <w:bottom w:val="single" w:sz="8" w:color="2360A6"/>
              <w:right w:val="single" w:sz="8" w:color="231F20"/>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EQUITY AND LIABILITIES</w:t>
            </w:r>
          </w:p>
        </w:tc>
        <w:tc>
          <w:tcPr>
            <w:tcW w:w="860" w:type="dxa"/>
            <w:vAlign w:val="bottom"/>
            <w:tcBorders>
              <w:bottom w:val="single" w:sz="8" w:color="2360A6"/>
              <w:right w:val="single" w:sz="8" w:color="231F20"/>
            </w:tcBorders>
            <w:shd w:val="clear" w:color="auto" w:fill="D2DEEC"/>
          </w:tcPr>
          <w:p>
            <w:pPr>
              <w:spacing w:after="0"/>
              <w:rPr>
                <w:sz w:val="22"/>
                <w:szCs w:val="22"/>
                <w:color w:val="auto"/>
              </w:rPr>
            </w:pPr>
          </w:p>
        </w:tc>
        <w:tc>
          <w:tcPr>
            <w:tcW w:w="158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17,779.0</w:t>
            </w:r>
          </w:p>
        </w:tc>
        <w:tc>
          <w:tcPr>
            <w:tcW w:w="16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13,669.0</w:t>
            </w:r>
          </w:p>
        </w:tc>
        <w:tc>
          <w:tcPr>
            <w:tcW w:w="16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13,419.8</w:t>
            </w:r>
          </w:p>
        </w:tc>
        <w:tc>
          <w:tcPr>
            <w:tcW w:w="20" w:type="dxa"/>
            <w:vAlign w:val="bottom"/>
            <w:tcBorders>
              <w:bottom w:val="single" w:sz="8" w:color="231F20"/>
            </w:tcBorders>
            <w:shd w:val="clear" w:color="auto" w:fill="231F20"/>
          </w:tcPr>
          <w:p>
            <w:pPr>
              <w:spacing w:after="0"/>
              <w:rPr>
                <w:sz w:val="22"/>
                <w:szCs w:val="22"/>
                <w:color w:val="auto"/>
              </w:rPr>
            </w:pPr>
          </w:p>
        </w:tc>
      </w:tr>
    </w:tbl>
    <w:p>
      <w:pPr>
        <w:sectPr>
          <w:pgSz w:w="11900" w:h="16838" w:orient="portrait"/>
          <w:cols w:equalWidth="0" w:num="1">
            <w:col w:w="10980"/>
          </w:cols>
          <w:pgMar w:left="320" w:top="634" w:right="599" w:bottom="1440" w:gutter="0" w:footer="0" w:header="0"/>
        </w:sectPr>
      </w:pPr>
    </w:p>
    <w:bookmarkStart w:id="76" w:name="page77"/>
    <w:bookmarkEnd w:id="76"/>
    <w:p>
      <w:pPr>
        <w:ind w:left="140"/>
        <w:spacing w:after="0"/>
        <w:rPr>
          <w:sz w:val="20"/>
          <w:szCs w:val="20"/>
          <w:color w:val="auto"/>
        </w:rPr>
      </w:pPr>
      <w:r>
        <w:rPr>
          <w:rFonts w:ascii="Arial" w:cs="Arial" w:eastAsia="Arial" w:hAnsi="Arial"/>
          <w:sz w:val="20"/>
          <w:szCs w:val="20"/>
          <w:b w:val="1"/>
          <w:bCs w:val="1"/>
          <w:color w:val="2360A6"/>
        </w:rPr>
        <w:t>4. Consolidated Statement of Cash Flows</w:t>
      </w:r>
    </w:p>
    <w:p>
      <w:pPr>
        <w:spacing w:after="0" w:line="358" w:lineRule="exact"/>
        <w:rPr>
          <w:sz w:val="20"/>
          <w:szCs w:val="20"/>
          <w:color w:val="auto"/>
        </w:rPr>
      </w:pPr>
    </w:p>
    <w:tbl>
      <w:tblPr>
        <w:tblLayout w:type="fixed"/>
        <w:tblInd w:w="330" w:type="dxa"/>
        <w:tblCellMar>
          <w:top w:w="0" w:type="dxa"/>
          <w:left w:w="0" w:type="dxa"/>
          <w:bottom w:w="0" w:type="dxa"/>
          <w:right w:w="0" w:type="dxa"/>
        </w:tblCellMar>
      </w:tblPr>
      <w:tr>
        <w:trPr>
          <w:trHeight w:val="278"/>
        </w:trPr>
        <w:tc>
          <w:tcPr>
            <w:tcW w:w="5860" w:type="dxa"/>
            <w:vAlign w:val="bottom"/>
            <w:tcBorders>
              <w:top w:val="single" w:sz="8" w:color="2360A6"/>
              <w:left w:val="single" w:sz="8" w:color="2360A6"/>
              <w:right w:val="single" w:sz="8" w:color="231F20"/>
            </w:tcBorders>
          </w:tcPr>
          <w:p>
            <w:pPr>
              <w:spacing w:after="0"/>
              <w:rPr>
                <w:sz w:val="24"/>
                <w:szCs w:val="24"/>
                <w:color w:val="auto"/>
              </w:rPr>
            </w:pPr>
          </w:p>
        </w:tc>
        <w:tc>
          <w:tcPr>
            <w:tcW w:w="960" w:type="dxa"/>
            <w:vAlign w:val="bottom"/>
            <w:tcBorders>
              <w:top w:val="single" w:sz="8" w:color="2360A6"/>
              <w:bottom w:val="single" w:sz="8" w:color="2360A6"/>
              <w:right w:val="single" w:sz="8" w:color="231F20"/>
            </w:tcBorders>
          </w:tcPr>
          <w:p>
            <w:pPr>
              <w:spacing w:after="0"/>
              <w:rPr>
                <w:sz w:val="24"/>
                <w:szCs w:val="24"/>
                <w:color w:val="auto"/>
              </w:rPr>
            </w:pPr>
          </w:p>
        </w:tc>
        <w:tc>
          <w:tcPr>
            <w:tcW w:w="1280" w:type="dxa"/>
            <w:vAlign w:val="bottom"/>
            <w:tcBorders>
              <w:top w:val="single" w:sz="8" w:color="2360A6"/>
              <w:bottom w:val="single" w:sz="8" w:color="2360A6"/>
            </w:tcBorders>
          </w:tcPr>
          <w:p>
            <w:pPr>
              <w:spacing w:after="0"/>
              <w:rPr>
                <w:sz w:val="24"/>
                <w:szCs w:val="24"/>
                <w:color w:val="auto"/>
              </w:rPr>
            </w:pPr>
          </w:p>
        </w:tc>
        <w:tc>
          <w:tcPr>
            <w:tcW w:w="1300" w:type="dxa"/>
            <w:vAlign w:val="bottom"/>
            <w:tcBorders>
              <w:top w:val="single" w:sz="8" w:color="2360A6"/>
              <w:bottom w:val="single" w:sz="8" w:color="2360A6"/>
            </w:tcBorders>
          </w:tcPr>
          <w:p>
            <w:pPr>
              <w:jc w:val="right"/>
              <w:ind w:right="228"/>
              <w:spacing w:after="0"/>
              <w:rPr>
                <w:sz w:val="20"/>
                <w:szCs w:val="20"/>
                <w:color w:val="auto"/>
              </w:rPr>
            </w:pPr>
            <w:r>
              <w:rPr>
                <w:rFonts w:ascii="Arial" w:cs="Arial" w:eastAsia="Arial" w:hAnsi="Arial"/>
                <w:sz w:val="14"/>
                <w:szCs w:val="14"/>
                <w:b w:val="1"/>
                <w:bCs w:val="1"/>
                <w:color w:val="2360A6"/>
              </w:rPr>
              <w:t>12 months</w:t>
            </w:r>
          </w:p>
        </w:tc>
        <w:tc>
          <w:tcPr>
            <w:tcW w:w="1240" w:type="dxa"/>
            <w:vAlign w:val="bottom"/>
            <w:tcBorders>
              <w:top w:val="single" w:sz="8" w:color="2360A6"/>
              <w:bottom w:val="single" w:sz="8" w:color="2360A6"/>
              <w:right w:val="single" w:sz="8" w:color="231F20"/>
            </w:tcBorders>
          </w:tcPr>
          <w:p>
            <w:pPr>
              <w:spacing w:after="0"/>
              <w:rPr>
                <w:sz w:val="24"/>
                <w:szCs w:val="24"/>
                <w:color w:val="auto"/>
              </w:rPr>
            </w:pPr>
          </w:p>
        </w:tc>
      </w:tr>
      <w:tr>
        <w:trPr>
          <w:trHeight w:val="210"/>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auto"/>
              </w:rPr>
              <w:t>In millions of Euro</w:t>
            </w:r>
          </w:p>
        </w:tc>
        <w:tc>
          <w:tcPr>
            <w:tcW w:w="960" w:type="dxa"/>
            <w:vAlign w:val="bottom"/>
            <w:tcBorders>
              <w:bottom w:val="single" w:sz="8" w:color="2360A6"/>
              <w:right w:val="single" w:sz="8" w:color="231F20"/>
            </w:tcBorders>
          </w:tcPr>
          <w:p>
            <w:pPr>
              <w:ind w:left="280"/>
              <w:spacing w:after="0"/>
              <w:rPr>
                <w:sz w:val="20"/>
                <w:szCs w:val="20"/>
                <w:color w:val="auto"/>
              </w:rPr>
            </w:pPr>
            <w:r>
              <w:rPr>
                <w:rFonts w:ascii="Arial" w:cs="Arial" w:eastAsia="Arial" w:hAnsi="Arial"/>
                <w:sz w:val="14"/>
                <w:szCs w:val="14"/>
                <w:b w:val="1"/>
                <w:bCs w:val="1"/>
                <w:color w:val="2360A6"/>
              </w:rPr>
              <w:t>Notes</w:t>
            </w:r>
          </w:p>
        </w:tc>
        <w:tc>
          <w:tcPr>
            <w:tcW w:w="1280" w:type="dxa"/>
            <w:vAlign w:val="bottom"/>
            <w:tcBorders>
              <w:bottom w:val="single" w:sz="8" w:color="2360A6"/>
              <w:right w:val="single" w:sz="8" w:color="231F20"/>
            </w:tcBorders>
            <w:shd w:val="clear" w:color="auto" w:fill="2360A6"/>
          </w:tcPr>
          <w:p>
            <w:pPr>
              <w:jc w:val="right"/>
              <w:ind w:right="48"/>
              <w:spacing w:after="0"/>
              <w:rPr>
                <w:sz w:val="20"/>
                <w:szCs w:val="20"/>
                <w:color w:val="auto"/>
              </w:rPr>
            </w:pPr>
            <w:r>
              <w:rPr>
                <w:rFonts w:ascii="Arial" w:cs="Arial" w:eastAsia="Arial" w:hAnsi="Arial"/>
                <w:sz w:val="14"/>
                <w:szCs w:val="14"/>
                <w:b w:val="1"/>
                <w:bCs w:val="1"/>
                <w:color w:val="FFFFFF"/>
              </w:rPr>
              <w:t>2016</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b w:val="1"/>
                <w:bCs w:val="1"/>
                <w:color w:val="2360A6"/>
              </w:rPr>
              <w:t>2015</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b w:val="1"/>
                <w:bCs w:val="1"/>
                <w:color w:val="2360A6"/>
              </w:rPr>
              <w:t>2014</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Net Income/(Loss) for the Year (including Non-Controlling Interests)</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250.1</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56.2</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442.4</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Adjustments for:</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spacing w:after="0"/>
              <w:rPr>
                <w:sz w:val="22"/>
                <w:szCs w:val="22"/>
                <w:color w:val="auto"/>
              </w:rPr>
            </w:pPr>
          </w:p>
        </w:tc>
        <w:tc>
          <w:tcPr>
            <w:tcW w:w="1300" w:type="dxa"/>
            <w:vAlign w:val="bottom"/>
            <w:tcBorders>
              <w:bottom w:val="single" w:sz="8" w:color="2360A6"/>
              <w:right w:val="single" w:sz="8" w:color="231F20"/>
            </w:tcBorders>
          </w:tcPr>
          <w:p>
            <w:pPr>
              <w:spacing w:after="0"/>
              <w:rPr>
                <w:sz w:val="22"/>
                <w:szCs w:val="22"/>
                <w:color w:val="auto"/>
              </w:rPr>
            </w:pPr>
          </w:p>
        </w:tc>
        <w:tc>
          <w:tcPr>
            <w:tcW w:w="1240" w:type="dxa"/>
            <w:vAlign w:val="bottom"/>
            <w:tcBorders>
              <w:bottom w:val="single" w:sz="8" w:color="2360A6"/>
              <w:right w:val="single" w:sz="8" w:color="231F20"/>
            </w:tcBorders>
          </w:tcPr>
          <w:p>
            <w:pPr>
              <w:spacing w:after="0"/>
              <w:rPr>
                <w:sz w:val="22"/>
                <w:szCs w:val="22"/>
                <w:color w:val="auto"/>
              </w:rPr>
            </w:pPr>
          </w:p>
        </w:tc>
      </w:tr>
      <w:tr>
        <w:trPr>
          <w:trHeight w:val="210"/>
        </w:trPr>
        <w:tc>
          <w:tcPr>
            <w:tcW w:w="5860" w:type="dxa"/>
            <w:vAlign w:val="bottom"/>
            <w:tcBorders>
              <w:left w:val="single" w:sz="8" w:color="2360A6"/>
              <w:bottom w:val="single" w:sz="8" w:color="2360A6"/>
              <w:right w:val="single" w:sz="8" w:color="231F20"/>
            </w:tcBorders>
          </w:tcPr>
          <w:p>
            <w:pPr>
              <w:ind w:left="180"/>
              <w:spacing w:after="0"/>
              <w:rPr>
                <w:sz w:val="20"/>
                <w:szCs w:val="20"/>
                <w:color w:val="auto"/>
              </w:rPr>
            </w:pPr>
            <w:r>
              <w:rPr>
                <w:rFonts w:ascii="Arial" w:cs="Arial" w:eastAsia="Arial" w:hAnsi="Arial"/>
                <w:sz w:val="14"/>
                <w:szCs w:val="14"/>
                <w:color w:val="231F20"/>
              </w:rPr>
              <w:t>Depreciation and Impairment Losses of Property, Plant and Equipment</w:t>
            </w:r>
          </w:p>
        </w:tc>
        <w:tc>
          <w:tcPr>
            <w:tcW w:w="9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9</w:t>
            </w: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290.4</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324.9</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263.8</w:t>
            </w:r>
          </w:p>
        </w:tc>
      </w:tr>
      <w:tr>
        <w:trPr>
          <w:trHeight w:val="210"/>
        </w:trPr>
        <w:tc>
          <w:tcPr>
            <w:tcW w:w="5860" w:type="dxa"/>
            <w:vAlign w:val="bottom"/>
            <w:tcBorders>
              <w:left w:val="single" w:sz="8" w:color="2360A6"/>
              <w:bottom w:val="single" w:sz="8" w:color="2360A6"/>
              <w:right w:val="single" w:sz="8" w:color="231F20"/>
            </w:tcBorders>
          </w:tcPr>
          <w:p>
            <w:pPr>
              <w:ind w:left="180"/>
              <w:spacing w:after="0"/>
              <w:rPr>
                <w:sz w:val="20"/>
                <w:szCs w:val="20"/>
                <w:color w:val="auto"/>
              </w:rPr>
            </w:pPr>
            <w:r>
              <w:rPr>
                <w:rFonts w:ascii="Arial" w:cs="Arial" w:eastAsia="Arial" w:hAnsi="Arial"/>
                <w:sz w:val="14"/>
                <w:szCs w:val="14"/>
                <w:color w:val="231F20"/>
              </w:rPr>
              <w:t>Amortization and Impairment Losses of Intangible Assets</w:t>
            </w:r>
          </w:p>
        </w:tc>
        <w:tc>
          <w:tcPr>
            <w:tcW w:w="9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10</w:t>
            </w: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15.8</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21.1</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19.5</w:t>
            </w:r>
          </w:p>
        </w:tc>
      </w:tr>
      <w:tr>
        <w:trPr>
          <w:trHeight w:val="264"/>
        </w:trPr>
        <w:tc>
          <w:tcPr>
            <w:tcW w:w="5860" w:type="dxa"/>
            <w:vAlign w:val="bottom"/>
            <w:tcBorders>
              <w:left w:val="single" w:sz="8" w:color="2360A6"/>
              <w:bottom w:val="single" w:sz="8" w:color="2360A6"/>
              <w:right w:val="single" w:sz="8" w:color="231F20"/>
            </w:tcBorders>
          </w:tcPr>
          <w:p>
            <w:pPr>
              <w:ind w:left="180"/>
              <w:spacing w:after="0"/>
              <w:rPr>
                <w:sz w:val="20"/>
                <w:szCs w:val="20"/>
                <w:color w:val="auto"/>
              </w:rPr>
            </w:pPr>
            <w:r>
              <w:rPr>
                <w:rFonts w:ascii="Arial" w:cs="Arial" w:eastAsia="Arial" w:hAnsi="Arial"/>
                <w:sz w:val="14"/>
                <w:szCs w:val="14"/>
                <w:color w:val="231F20"/>
              </w:rPr>
              <w:t>Non-Cash Convertible Bond Expense</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25.7</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30.2</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29.2</w:t>
            </w:r>
          </w:p>
        </w:tc>
      </w:tr>
      <w:tr>
        <w:trPr>
          <w:trHeight w:val="193"/>
        </w:trPr>
        <w:tc>
          <w:tcPr>
            <w:tcW w:w="5860" w:type="dxa"/>
            <w:vAlign w:val="bottom"/>
            <w:tcBorders>
              <w:left w:val="single" w:sz="8" w:color="2360A6"/>
              <w:right w:val="single" w:sz="8" w:color="231F20"/>
            </w:tcBorders>
          </w:tcPr>
          <w:p>
            <w:pPr>
              <w:ind w:left="100"/>
              <w:spacing w:after="0"/>
              <w:rPr>
                <w:sz w:val="20"/>
                <w:szCs w:val="20"/>
                <w:color w:val="auto"/>
              </w:rPr>
            </w:pPr>
            <w:r>
              <w:rPr>
                <w:rFonts w:ascii="Arial" w:cs="Arial" w:eastAsia="Arial" w:hAnsi="Arial"/>
                <w:sz w:val="14"/>
                <w:szCs w:val="14"/>
                <w:color w:val="231F20"/>
              </w:rPr>
              <w:t>Expense related to Share-based Payment and Employee Savings</w:t>
            </w:r>
          </w:p>
        </w:tc>
        <w:tc>
          <w:tcPr>
            <w:tcW w:w="960" w:type="dxa"/>
            <w:vAlign w:val="bottom"/>
            <w:tcBorders>
              <w:right w:val="single" w:sz="8" w:color="231F20"/>
            </w:tcBorders>
          </w:tcPr>
          <w:p>
            <w:pPr>
              <w:spacing w:after="0"/>
              <w:rPr>
                <w:sz w:val="16"/>
                <w:szCs w:val="16"/>
                <w:color w:val="auto"/>
              </w:rPr>
            </w:pPr>
          </w:p>
        </w:tc>
        <w:tc>
          <w:tcPr>
            <w:tcW w:w="1280" w:type="dxa"/>
            <w:vAlign w:val="bottom"/>
            <w:tcBorders>
              <w:right w:val="single" w:sz="8" w:color="231F20"/>
            </w:tcBorders>
            <w:shd w:val="clear" w:color="auto" w:fill="EDEDEE"/>
          </w:tcPr>
          <w:p>
            <w:pPr>
              <w:spacing w:after="0"/>
              <w:rPr>
                <w:sz w:val="16"/>
                <w:szCs w:val="16"/>
                <w:color w:val="auto"/>
              </w:rPr>
            </w:pPr>
          </w:p>
        </w:tc>
        <w:tc>
          <w:tcPr>
            <w:tcW w:w="130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spacing w:after="0"/>
              <w:rPr>
                <w:sz w:val="16"/>
                <w:szCs w:val="16"/>
                <w:color w:val="auto"/>
              </w:rPr>
            </w:pPr>
          </w:p>
        </w:tc>
      </w:tr>
      <w:tr>
        <w:trPr>
          <w:trHeight w:val="192"/>
        </w:trPr>
        <w:tc>
          <w:tcPr>
            <w:tcW w:w="5860" w:type="dxa"/>
            <w:vAlign w:val="bottom"/>
            <w:tcBorders>
              <w:left w:val="single" w:sz="8" w:color="2360A6"/>
              <w:bottom w:val="single" w:sz="8" w:color="2360A6"/>
              <w:right w:val="single" w:sz="8" w:color="231F20"/>
            </w:tcBorders>
          </w:tcPr>
          <w:p>
            <w:pPr>
              <w:ind w:left="100"/>
              <w:spacing w:after="0"/>
              <w:rPr>
                <w:sz w:val="20"/>
                <w:szCs w:val="20"/>
                <w:color w:val="auto"/>
              </w:rPr>
            </w:pPr>
            <w:r>
              <w:rPr>
                <w:rFonts w:ascii="Arial" w:cs="Arial" w:eastAsia="Arial" w:hAnsi="Arial"/>
                <w:sz w:val="14"/>
                <w:szCs w:val="14"/>
                <w:color w:val="231F20"/>
              </w:rPr>
              <w:t>Plans (“</w:t>
            </w:r>
            <w:r>
              <w:rPr>
                <w:rFonts w:ascii="Arial" w:cs="Arial" w:eastAsia="Arial" w:hAnsi="Arial"/>
                <w:sz w:val="14"/>
                <w:szCs w:val="14"/>
                <w:i w:val="1"/>
                <w:iCs w:val="1"/>
                <w:color w:val="231F20"/>
              </w:rPr>
              <w:t>Plans d’Épargne Entreprise</w:t>
            </w:r>
            <w:r>
              <w:rPr>
                <w:rFonts w:ascii="Arial" w:cs="Arial" w:eastAsia="Arial" w:hAnsi="Arial"/>
                <w:sz w:val="14"/>
                <w:szCs w:val="14"/>
                <w:color w:val="231F20"/>
              </w:rPr>
              <w:t>”)</w:t>
            </w:r>
          </w:p>
        </w:tc>
        <w:tc>
          <w:tcPr>
            <w:tcW w:w="9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4(i)</w:t>
            </w: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19.9</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40.5</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40.0</w:t>
            </w:r>
          </w:p>
        </w:tc>
      </w:tr>
      <w:tr>
        <w:trPr>
          <w:trHeight w:val="207"/>
        </w:trPr>
        <w:tc>
          <w:tcPr>
            <w:tcW w:w="5860" w:type="dxa"/>
            <w:vAlign w:val="bottom"/>
            <w:tcBorders>
              <w:left w:val="single" w:sz="8" w:color="2360A6"/>
              <w:right w:val="single" w:sz="8" w:color="231F20"/>
            </w:tcBorders>
          </w:tcPr>
          <w:p>
            <w:pPr>
              <w:ind w:left="100"/>
              <w:spacing w:after="0"/>
              <w:rPr>
                <w:sz w:val="20"/>
                <w:szCs w:val="20"/>
                <w:color w:val="auto"/>
              </w:rPr>
            </w:pPr>
            <w:r>
              <w:rPr>
                <w:rFonts w:ascii="Arial" w:cs="Arial" w:eastAsia="Arial" w:hAnsi="Arial"/>
                <w:sz w:val="14"/>
                <w:szCs w:val="14"/>
                <w:color w:val="231F20"/>
              </w:rPr>
              <w:t>Non-Current Provisions (including Pensions and other Long-Term</w:t>
            </w:r>
          </w:p>
        </w:tc>
        <w:tc>
          <w:tcPr>
            <w:tcW w:w="960" w:type="dxa"/>
            <w:vAlign w:val="bottom"/>
            <w:tcBorders>
              <w:right w:val="single" w:sz="8" w:color="231F20"/>
            </w:tcBorders>
          </w:tcPr>
          <w:p>
            <w:pPr>
              <w:spacing w:after="0"/>
              <w:rPr>
                <w:sz w:val="17"/>
                <w:szCs w:val="17"/>
                <w:color w:val="auto"/>
              </w:rPr>
            </w:pPr>
          </w:p>
        </w:tc>
        <w:tc>
          <w:tcPr>
            <w:tcW w:w="1280" w:type="dxa"/>
            <w:vAlign w:val="bottom"/>
            <w:tcBorders>
              <w:right w:val="single" w:sz="8" w:color="231F20"/>
            </w:tcBorders>
            <w:shd w:val="clear" w:color="auto" w:fill="EDEDEE"/>
          </w:tcPr>
          <w:p>
            <w:pPr>
              <w:spacing w:after="0"/>
              <w:rPr>
                <w:sz w:val="17"/>
                <w:szCs w:val="17"/>
                <w:color w:val="auto"/>
              </w:rPr>
            </w:pPr>
          </w:p>
        </w:tc>
        <w:tc>
          <w:tcPr>
            <w:tcW w:w="1300" w:type="dxa"/>
            <w:vAlign w:val="bottom"/>
            <w:tcBorders>
              <w:right w:val="single" w:sz="8" w:color="231F20"/>
            </w:tcBorders>
          </w:tcPr>
          <w:p>
            <w:pPr>
              <w:spacing w:after="0"/>
              <w:rPr>
                <w:sz w:val="17"/>
                <w:szCs w:val="17"/>
                <w:color w:val="auto"/>
              </w:rPr>
            </w:pPr>
          </w:p>
        </w:tc>
        <w:tc>
          <w:tcPr>
            <w:tcW w:w="1240" w:type="dxa"/>
            <w:vAlign w:val="bottom"/>
            <w:tcBorders>
              <w:right w:val="single" w:sz="8" w:color="231F20"/>
            </w:tcBorders>
          </w:tcPr>
          <w:p>
            <w:pPr>
              <w:spacing w:after="0"/>
              <w:rPr>
                <w:sz w:val="17"/>
                <w:szCs w:val="17"/>
                <w:color w:val="auto"/>
              </w:rPr>
            </w:pPr>
          </w:p>
        </w:tc>
      </w:tr>
      <w:tr>
        <w:trPr>
          <w:trHeight w:val="178"/>
        </w:trPr>
        <w:tc>
          <w:tcPr>
            <w:tcW w:w="5860" w:type="dxa"/>
            <w:vAlign w:val="bottom"/>
            <w:tcBorders>
              <w:left w:val="single" w:sz="8" w:color="2360A6"/>
              <w:bottom w:val="single" w:sz="8" w:color="2360A6"/>
              <w:right w:val="single" w:sz="8" w:color="231F20"/>
            </w:tcBorders>
          </w:tcPr>
          <w:p>
            <w:pPr>
              <w:ind w:left="100"/>
              <w:spacing w:after="0"/>
              <w:rPr>
                <w:sz w:val="20"/>
                <w:szCs w:val="20"/>
                <w:color w:val="auto"/>
              </w:rPr>
            </w:pPr>
            <w:r>
              <w:rPr>
                <w:rFonts w:ascii="Arial" w:cs="Arial" w:eastAsia="Arial" w:hAnsi="Arial"/>
                <w:sz w:val="14"/>
                <w:szCs w:val="14"/>
                <w:color w:val="231F20"/>
              </w:rPr>
              <w:t>Employee Benefit Plans)</w:t>
            </w:r>
          </w:p>
        </w:tc>
        <w:tc>
          <w:tcPr>
            <w:tcW w:w="960" w:type="dxa"/>
            <w:vAlign w:val="bottom"/>
            <w:tcBorders>
              <w:bottom w:val="single" w:sz="8" w:color="2360A6"/>
              <w:right w:val="single" w:sz="8" w:color="231F20"/>
            </w:tcBorders>
          </w:tcPr>
          <w:p>
            <w:pPr>
              <w:spacing w:after="0"/>
              <w:rPr>
                <w:sz w:val="15"/>
                <w:szCs w:val="15"/>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63.3</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136.4</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(35.4)</w:t>
            </w:r>
          </w:p>
        </w:tc>
      </w:tr>
      <w:tr>
        <w:trPr>
          <w:trHeight w:val="207"/>
        </w:trPr>
        <w:tc>
          <w:tcPr>
            <w:tcW w:w="5860" w:type="dxa"/>
            <w:vAlign w:val="bottom"/>
            <w:tcBorders>
              <w:left w:val="single" w:sz="8" w:color="2360A6"/>
              <w:right w:val="single" w:sz="8" w:color="231F20"/>
            </w:tcBorders>
          </w:tcPr>
          <w:p>
            <w:pPr>
              <w:ind w:left="100"/>
              <w:spacing w:after="0"/>
              <w:rPr>
                <w:sz w:val="20"/>
                <w:szCs w:val="20"/>
                <w:color w:val="auto"/>
              </w:rPr>
            </w:pPr>
            <w:r>
              <w:rPr>
                <w:rFonts w:ascii="Arial" w:cs="Arial" w:eastAsia="Arial" w:hAnsi="Arial"/>
                <w:sz w:val="14"/>
                <w:szCs w:val="14"/>
                <w:color w:val="231F20"/>
              </w:rPr>
              <w:t>Share of (Income)/Loss of Equity Affiliates (net of Distributed</w:t>
            </w:r>
          </w:p>
        </w:tc>
        <w:tc>
          <w:tcPr>
            <w:tcW w:w="960" w:type="dxa"/>
            <w:vAlign w:val="bottom"/>
            <w:tcBorders>
              <w:right w:val="single" w:sz="8" w:color="231F20"/>
            </w:tcBorders>
          </w:tcPr>
          <w:p>
            <w:pPr>
              <w:spacing w:after="0"/>
              <w:rPr>
                <w:sz w:val="17"/>
                <w:szCs w:val="17"/>
                <w:color w:val="auto"/>
              </w:rPr>
            </w:pPr>
          </w:p>
        </w:tc>
        <w:tc>
          <w:tcPr>
            <w:tcW w:w="1280" w:type="dxa"/>
            <w:vAlign w:val="bottom"/>
            <w:tcBorders>
              <w:right w:val="single" w:sz="8" w:color="231F20"/>
            </w:tcBorders>
            <w:shd w:val="clear" w:color="auto" w:fill="EDEDEE"/>
          </w:tcPr>
          <w:p>
            <w:pPr>
              <w:spacing w:after="0"/>
              <w:rPr>
                <w:sz w:val="17"/>
                <w:szCs w:val="17"/>
                <w:color w:val="auto"/>
              </w:rPr>
            </w:pPr>
          </w:p>
        </w:tc>
        <w:tc>
          <w:tcPr>
            <w:tcW w:w="1300" w:type="dxa"/>
            <w:vAlign w:val="bottom"/>
            <w:tcBorders>
              <w:right w:val="single" w:sz="8" w:color="231F20"/>
            </w:tcBorders>
          </w:tcPr>
          <w:p>
            <w:pPr>
              <w:spacing w:after="0"/>
              <w:rPr>
                <w:sz w:val="17"/>
                <w:szCs w:val="17"/>
                <w:color w:val="auto"/>
              </w:rPr>
            </w:pPr>
          </w:p>
        </w:tc>
        <w:tc>
          <w:tcPr>
            <w:tcW w:w="1240" w:type="dxa"/>
            <w:vAlign w:val="bottom"/>
            <w:tcBorders>
              <w:right w:val="single" w:sz="8" w:color="231F20"/>
            </w:tcBorders>
          </w:tcPr>
          <w:p>
            <w:pPr>
              <w:spacing w:after="0"/>
              <w:rPr>
                <w:sz w:val="17"/>
                <w:szCs w:val="17"/>
                <w:color w:val="auto"/>
              </w:rPr>
            </w:pPr>
          </w:p>
        </w:tc>
      </w:tr>
      <w:tr>
        <w:trPr>
          <w:trHeight w:val="178"/>
        </w:trPr>
        <w:tc>
          <w:tcPr>
            <w:tcW w:w="5860" w:type="dxa"/>
            <w:vAlign w:val="bottom"/>
            <w:tcBorders>
              <w:left w:val="single" w:sz="8" w:color="2360A6"/>
              <w:bottom w:val="single" w:sz="8" w:color="2360A6"/>
              <w:right w:val="single" w:sz="8" w:color="231F20"/>
            </w:tcBorders>
          </w:tcPr>
          <w:p>
            <w:pPr>
              <w:ind w:left="100"/>
              <w:spacing w:after="0"/>
              <w:rPr>
                <w:sz w:val="20"/>
                <w:szCs w:val="20"/>
                <w:color w:val="auto"/>
              </w:rPr>
            </w:pPr>
            <w:r>
              <w:rPr>
                <w:rFonts w:ascii="Arial" w:cs="Arial" w:eastAsia="Arial" w:hAnsi="Arial"/>
                <w:sz w:val="14"/>
                <w:szCs w:val="14"/>
                <w:color w:val="231F20"/>
              </w:rPr>
              <w:t>Dividends)</w:t>
            </w:r>
          </w:p>
        </w:tc>
        <w:tc>
          <w:tcPr>
            <w:tcW w:w="960" w:type="dxa"/>
            <w:vAlign w:val="bottom"/>
            <w:tcBorders>
              <w:bottom w:val="single" w:sz="8" w:color="2360A6"/>
              <w:right w:val="single" w:sz="8" w:color="231F20"/>
            </w:tcBorders>
          </w:tcPr>
          <w:p>
            <w:pPr>
              <w:spacing w:after="0"/>
              <w:rPr>
                <w:sz w:val="15"/>
                <w:szCs w:val="15"/>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(44.6)</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auto"/>
              </w:rPr>
              <w:t>(35.7)</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(31.9)</w:t>
            </w:r>
          </w:p>
        </w:tc>
      </w:tr>
      <w:tr>
        <w:trPr>
          <w:trHeight w:val="264"/>
        </w:trPr>
        <w:tc>
          <w:tcPr>
            <w:tcW w:w="5860" w:type="dxa"/>
            <w:vAlign w:val="bottom"/>
            <w:tcBorders>
              <w:left w:val="single" w:sz="8" w:color="2360A6"/>
              <w:bottom w:val="single" w:sz="8" w:color="2360A6"/>
              <w:right w:val="single" w:sz="8" w:color="231F20"/>
            </w:tcBorders>
          </w:tcPr>
          <w:p>
            <w:pPr>
              <w:ind w:left="100"/>
              <w:spacing w:after="0"/>
              <w:rPr>
                <w:sz w:val="20"/>
                <w:szCs w:val="20"/>
                <w:color w:val="auto"/>
              </w:rPr>
            </w:pPr>
            <w:r>
              <w:rPr>
                <w:rFonts w:ascii="Arial" w:cs="Arial" w:eastAsia="Arial" w:hAnsi="Arial"/>
                <w:sz w:val="14"/>
                <w:szCs w:val="14"/>
                <w:color w:val="231F20"/>
              </w:rPr>
              <w:t>Net (Gains)/Losses on Disposal of Assets and Investments</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23.7</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auto"/>
              </w:rPr>
              <w:t>(31.8)</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(7.1)</w:t>
            </w:r>
          </w:p>
        </w:tc>
      </w:tr>
      <w:tr>
        <w:trPr>
          <w:trHeight w:val="210"/>
        </w:trPr>
        <w:tc>
          <w:tcPr>
            <w:tcW w:w="5860" w:type="dxa"/>
            <w:vAlign w:val="bottom"/>
            <w:tcBorders>
              <w:left w:val="single" w:sz="8" w:color="2360A6"/>
              <w:bottom w:val="single" w:sz="8" w:color="2360A6"/>
              <w:right w:val="single" w:sz="8" w:color="231F20"/>
            </w:tcBorders>
          </w:tcPr>
          <w:p>
            <w:pPr>
              <w:ind w:left="100"/>
              <w:spacing w:after="0"/>
              <w:rPr>
                <w:sz w:val="20"/>
                <w:szCs w:val="20"/>
                <w:color w:val="auto"/>
              </w:rPr>
            </w:pPr>
            <w:r>
              <w:rPr>
                <w:rFonts w:ascii="Arial" w:cs="Arial" w:eastAsia="Arial" w:hAnsi="Arial"/>
                <w:sz w:val="14"/>
                <w:szCs w:val="14"/>
                <w:color w:val="231F20"/>
              </w:rPr>
              <w:t>Deferred Income Tax (Credit)/Expense</w:t>
            </w:r>
          </w:p>
        </w:tc>
        <w:tc>
          <w:tcPr>
            <w:tcW w:w="9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6(a)</w:t>
            </w: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(188.0)</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auto"/>
              </w:rPr>
              <w:t>(63.8)</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1.8</w:t>
            </w:r>
          </w:p>
        </w:tc>
      </w:tr>
      <w:tr>
        <w:trPr>
          <w:trHeight w:val="264"/>
        </w:trPr>
        <w:tc>
          <w:tcPr>
            <w:tcW w:w="5860" w:type="dxa"/>
            <w:vAlign w:val="bottom"/>
            <w:tcBorders>
              <w:left w:val="single" w:sz="8" w:color="2360A6"/>
              <w:bottom w:val="single" w:sz="8" w:color="2360A6"/>
              <w:right w:val="single" w:sz="8" w:color="231F20"/>
            </w:tcBorders>
          </w:tcPr>
          <w:p>
            <w:pPr>
              <w:spacing w:after="0"/>
              <w:rPr>
                <w:sz w:val="22"/>
                <w:szCs w:val="22"/>
                <w:color w:val="auto"/>
              </w:rPr>
            </w:pP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auto"/>
              </w:rPr>
              <w:t>456.3</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b w:val="1"/>
                <w:bCs w:val="1"/>
                <w:color w:val="auto"/>
              </w:rPr>
              <w:t>478.0</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b w:val="1"/>
                <w:bCs w:val="1"/>
                <w:color w:val="auto"/>
              </w:rPr>
              <w:t>722.3</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(Increase)/Decrease in Working Capital Requirement</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(10.1)</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153.0</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(597.3)</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Net Cash Generated from/(Used in) Operating Activities</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0046AD"/>
              </w:rPr>
              <w:t>446.2</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b w:val="1"/>
                <w:bCs w:val="1"/>
                <w:color w:val="0046AD"/>
              </w:rPr>
              <w:t>631.0</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b w:val="1"/>
                <w:bCs w:val="1"/>
                <w:color w:val="0046AD"/>
              </w:rPr>
              <w:t>125.0</w:t>
            </w:r>
          </w:p>
        </w:tc>
      </w:tr>
      <w:tr>
        <w:trPr>
          <w:trHeight w:val="210"/>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Purchases of Property, Plant and Equipment</w:t>
            </w:r>
          </w:p>
        </w:tc>
        <w:tc>
          <w:tcPr>
            <w:tcW w:w="9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9</w:t>
            </w: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(273.7)</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auto"/>
              </w:rPr>
              <w:t>(280.3)</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(359.6)</w:t>
            </w:r>
          </w:p>
        </w:tc>
      </w:tr>
      <w:tr>
        <w:trPr>
          <w:trHeight w:val="210"/>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Proceeds from Disposal of Property, Plant and Equipment</w:t>
            </w:r>
          </w:p>
        </w:tc>
        <w:tc>
          <w:tcPr>
            <w:tcW w:w="9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4(e)-4(f)</w:t>
            </w: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35.7</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23.2</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56.6</w:t>
            </w:r>
          </w:p>
        </w:tc>
      </w:tr>
      <w:tr>
        <w:trPr>
          <w:trHeight w:val="210"/>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Purchases of Intangible Assets</w:t>
            </w:r>
          </w:p>
        </w:tc>
        <w:tc>
          <w:tcPr>
            <w:tcW w:w="9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10</w:t>
            </w: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(9.0)</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auto"/>
              </w:rPr>
              <w:t>(13.0)</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(15.4)</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Proceeds from Disposal of Intangible Assets</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0.1</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0.1</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4.7</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Acquisitions of Financial Assets</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(6.7)</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auto"/>
              </w:rPr>
              <w:t>(2.3)</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(36.7)</w:t>
            </w:r>
          </w:p>
        </w:tc>
      </w:tr>
      <w:tr>
        <w:trPr>
          <w:trHeight w:val="210"/>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Proceeds from Disposal of Financial Assets</w:t>
            </w:r>
          </w:p>
        </w:tc>
        <w:tc>
          <w:tcPr>
            <w:tcW w:w="9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4(g)-4(h)</w:t>
            </w: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(80.9)</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1.2</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24.6</w:t>
            </w:r>
          </w:p>
        </w:tc>
      </w:tr>
      <w:tr>
        <w:trPr>
          <w:trHeight w:val="210"/>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Acquisition Costs of Consolidated Companies, net of Cash Acquired</w:t>
            </w:r>
          </w:p>
        </w:tc>
        <w:tc>
          <w:tcPr>
            <w:tcW w:w="9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w:t>
            </w: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3,288.9</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auto"/>
              </w:rPr>
              <w:t>(30.7)</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(58.8)</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Net Cash Generated from/(Used in) Investing Activities</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0046AD"/>
              </w:rPr>
              <w:t>2,954.4</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b w:val="1"/>
                <w:bCs w:val="1"/>
                <w:color w:val="0046AD"/>
              </w:rPr>
              <w:t>(301.8)</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0046AD"/>
              </w:rPr>
              <w:t>(384.6)</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Increase in Borrowings</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599.1</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84.4</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216.9</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Decrease in Borrowings</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(814.2)</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auto"/>
              </w:rPr>
              <w:t>(197.8)</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(136.9)</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Capital Increase</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1.5</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94.3</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11.7</w:t>
            </w:r>
          </w:p>
        </w:tc>
      </w:tr>
      <w:tr>
        <w:trPr>
          <w:trHeight w:val="210"/>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Share Buy-Back</w:t>
            </w:r>
          </w:p>
        </w:tc>
        <w:tc>
          <w:tcPr>
            <w:tcW w:w="9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20(c)</w:t>
            </w: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(168.8)</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(41.8)</w:t>
            </w:r>
          </w:p>
        </w:tc>
      </w:tr>
      <w:tr>
        <w:trPr>
          <w:trHeight w:val="210"/>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Dividends Paid</w:t>
            </w:r>
          </w:p>
        </w:tc>
        <w:tc>
          <w:tcPr>
            <w:tcW w:w="9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20(g)</w:t>
            </w: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(100.8)</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auto"/>
              </w:rPr>
              <w:t>(88.9)</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(206.5)</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Dividends Paid to Non-Controlling Interests</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auto"/>
              </w:rPr>
              <w:t>(5.8)</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(2.8)</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Net Cash Generated from/(Used in) Financing Activities</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0046AD"/>
              </w:rPr>
              <w:t>(483.2)</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b w:val="1"/>
                <w:bCs w:val="1"/>
                <w:color w:val="0046AD"/>
              </w:rPr>
              <w:t>(113.8)</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0046AD"/>
              </w:rPr>
              <w:t>(159.4)</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Net Effects of Foreign Exchange Rate Changes</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111.1</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18.9</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117.0</w:t>
            </w:r>
          </w:p>
        </w:tc>
      </w:tr>
      <w:tr>
        <w:trPr>
          <w:trHeight w:val="210"/>
        </w:trPr>
        <w:tc>
          <w:tcPr>
            <w:tcW w:w="5860" w:type="dxa"/>
            <w:vAlign w:val="bottom"/>
            <w:tcBorders>
              <w:left w:val="single" w:sz="8" w:color="2360A6"/>
              <w:bottom w:val="single" w:sz="8" w:color="2360A6"/>
              <w:right w:val="single" w:sz="8" w:color="D2DEEC"/>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INCREASE/(DECREASE) IN CASH AND CASH EQUIVALENTS</w:t>
            </w:r>
          </w:p>
        </w:tc>
        <w:tc>
          <w:tcPr>
            <w:tcW w:w="960" w:type="dxa"/>
            <w:vAlign w:val="bottom"/>
            <w:tcBorders>
              <w:bottom w:val="single" w:sz="8" w:color="2360A6"/>
              <w:right w:val="single" w:sz="8" w:color="231F20"/>
            </w:tcBorders>
            <w:shd w:val="clear" w:color="auto" w:fill="D2DEEC"/>
          </w:tcPr>
          <w:p>
            <w:pPr>
              <w:spacing w:after="0"/>
              <w:rPr>
                <w:sz w:val="18"/>
                <w:szCs w:val="18"/>
                <w:color w:val="auto"/>
              </w:rPr>
            </w:pPr>
          </w:p>
        </w:tc>
        <w:tc>
          <w:tcPr>
            <w:tcW w:w="128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0046AD"/>
              </w:rPr>
              <w:t>3,028.5</w:t>
            </w:r>
          </w:p>
        </w:tc>
        <w:tc>
          <w:tcPr>
            <w:tcW w:w="1300" w:type="dxa"/>
            <w:vAlign w:val="bottom"/>
            <w:tcBorders>
              <w:bottom w:val="single" w:sz="8" w:color="2360A6"/>
              <w:right w:val="single" w:sz="8" w:color="231F20"/>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0046AD"/>
              </w:rPr>
              <w:t>234.3</w:t>
            </w:r>
          </w:p>
        </w:tc>
        <w:tc>
          <w:tcPr>
            <w:tcW w:w="124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0046AD"/>
              </w:rPr>
              <w:t>(302.0)</w:t>
            </w:r>
          </w:p>
        </w:tc>
      </w:tr>
      <w:tr>
        <w:trPr>
          <w:trHeight w:val="210"/>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Cash and Cash Equivalents as of January 1</w:t>
            </w:r>
          </w:p>
        </w:tc>
        <w:tc>
          <w:tcPr>
            <w:tcW w:w="9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18</w:t>
            </w: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2,919.1</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2,685.6</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2,989.1</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Bank Overdrafts as of January 1</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(0.1)</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auto"/>
              </w:rPr>
              <w:t>(0.9)</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(2.4)</w:t>
            </w:r>
          </w:p>
        </w:tc>
      </w:tr>
      <w:tr>
        <w:trPr>
          <w:trHeight w:val="210"/>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Cash and Cash Equivalents as of December 31</w:t>
            </w:r>
          </w:p>
        </w:tc>
        <w:tc>
          <w:tcPr>
            <w:tcW w:w="960" w:type="dxa"/>
            <w:vAlign w:val="bottom"/>
            <w:tcBorders>
              <w:bottom w:val="single" w:sz="8" w:color="2360A6"/>
              <w:right w:val="single" w:sz="8" w:color="231F20"/>
            </w:tcBorders>
          </w:tcPr>
          <w:p>
            <w:pPr>
              <w:jc w:val="center"/>
              <w:spacing w:after="0"/>
              <w:rPr>
                <w:sz w:val="20"/>
                <w:szCs w:val="20"/>
                <w:color w:val="auto"/>
              </w:rPr>
            </w:pPr>
            <w:r>
              <w:rPr>
                <w:rFonts w:ascii="Arial" w:cs="Arial" w:eastAsia="Arial" w:hAnsi="Arial"/>
                <w:sz w:val="14"/>
                <w:szCs w:val="14"/>
                <w:color w:val="231F20"/>
              </w:rPr>
              <w:t>18</w:t>
            </w: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5,947.6</w:t>
            </w:r>
          </w:p>
        </w:tc>
        <w:tc>
          <w:tcPr>
            <w:tcW w:w="130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auto"/>
              </w:rPr>
              <w:t>2,919.1</w:t>
            </w:r>
          </w:p>
        </w:tc>
        <w:tc>
          <w:tcPr>
            <w:tcW w:w="124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auto"/>
              </w:rPr>
              <w:t>2,685.6</w:t>
            </w:r>
          </w:p>
        </w:tc>
      </w:tr>
      <w:tr>
        <w:trPr>
          <w:trHeight w:val="264"/>
        </w:trPr>
        <w:tc>
          <w:tcPr>
            <w:tcW w:w="5860" w:type="dxa"/>
            <w:vAlign w:val="bottom"/>
            <w:tcBorders>
              <w:left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Bank Overdrafts as of December 31</w:t>
            </w:r>
          </w:p>
        </w:tc>
        <w:tc>
          <w:tcPr>
            <w:tcW w:w="960" w:type="dxa"/>
            <w:vAlign w:val="bottom"/>
            <w:tcBorders>
              <w:bottom w:val="single" w:sz="8" w:color="2360A6"/>
              <w:right w:val="single" w:sz="8" w:color="231F20"/>
            </w:tcBorders>
          </w:tcPr>
          <w:p>
            <w:pPr>
              <w:spacing w:after="0"/>
              <w:rPr>
                <w:sz w:val="22"/>
                <w:szCs w:val="22"/>
                <w:color w:val="auto"/>
              </w:rPr>
            </w:pPr>
          </w:p>
        </w:tc>
        <w:tc>
          <w:tcPr>
            <w:tcW w:w="128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(0.1)</w:t>
            </w:r>
          </w:p>
        </w:tc>
        <w:tc>
          <w:tcPr>
            <w:tcW w:w="13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auto"/>
              </w:rPr>
              <w:t>(0.1)</w:t>
            </w:r>
          </w:p>
        </w:tc>
        <w:tc>
          <w:tcPr>
            <w:tcW w:w="1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(0.9)</w:t>
            </w:r>
          </w:p>
        </w:tc>
      </w:tr>
      <w:tr>
        <w:trPr>
          <w:trHeight w:val="210"/>
        </w:trPr>
        <w:tc>
          <w:tcPr>
            <w:tcW w:w="5860" w:type="dxa"/>
            <w:vAlign w:val="bottom"/>
            <w:tcBorders>
              <w:left w:val="single" w:sz="8" w:color="2360A6"/>
              <w:bottom w:val="single" w:sz="8" w:color="2360A6"/>
              <w:right w:val="single" w:sz="8" w:color="D2DEEC"/>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INCREASE/(DECREASE) IN CASH AND CASH EQUIVALENTS</w:t>
            </w:r>
          </w:p>
        </w:tc>
        <w:tc>
          <w:tcPr>
            <w:tcW w:w="960" w:type="dxa"/>
            <w:vAlign w:val="bottom"/>
            <w:tcBorders>
              <w:bottom w:val="single" w:sz="8" w:color="2360A6"/>
              <w:right w:val="single" w:sz="8" w:color="231F20"/>
            </w:tcBorders>
            <w:shd w:val="clear" w:color="auto" w:fill="D2DEEC"/>
          </w:tcPr>
          <w:p>
            <w:pPr>
              <w:spacing w:after="0"/>
              <w:rPr>
                <w:sz w:val="18"/>
                <w:szCs w:val="18"/>
                <w:color w:val="auto"/>
              </w:rPr>
            </w:pPr>
          </w:p>
        </w:tc>
        <w:tc>
          <w:tcPr>
            <w:tcW w:w="128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0046AD"/>
              </w:rPr>
              <w:t>3,028.5</w:t>
            </w:r>
          </w:p>
        </w:tc>
        <w:tc>
          <w:tcPr>
            <w:tcW w:w="1300" w:type="dxa"/>
            <w:vAlign w:val="bottom"/>
            <w:tcBorders>
              <w:bottom w:val="single" w:sz="8" w:color="2360A6"/>
              <w:right w:val="single" w:sz="8" w:color="231F20"/>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0046AD"/>
              </w:rPr>
              <w:t>234.3</w:t>
            </w:r>
          </w:p>
        </w:tc>
        <w:tc>
          <w:tcPr>
            <w:tcW w:w="124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0046AD"/>
              </w:rPr>
              <w:t>(302.0)</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231F20"/>
        </w:rPr>
        <w:t>Interest paid in 2016 amounted to €95.3 million compared to €84.0 million in 2015 and €70.4 million in 2014.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231F20"/>
        </w:rPr>
        <w:t>Interest received in 2016 amounted to €59.0 million compared to €29.0 million in 2015 and €18.4 million in 2014.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231F20"/>
        </w:rPr>
        <w:t>Income taxes paid in 2016 amounted to €236.1 million compared to €169.8 million in 2015 and €216.4 million in 2014.</w:t>
      </w:r>
    </w:p>
    <w:p>
      <w:pPr>
        <w:sectPr>
          <w:pgSz w:w="11900" w:h="16838" w:orient="portrait"/>
          <w:cols w:equalWidth="0" w:num="1">
            <w:col w:w="10960"/>
          </w:cols>
          <w:pgMar w:left="320" w:top="625" w:right="61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2360A6"/>
        </w:rPr>
        <w:t>5. Consolidated Statement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100330</wp:posOffset>
            </wp:positionV>
            <wp:extent cx="6929120" cy="67919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120" cy="6791960"/>
                    </a:xfrm>
                    <a:prstGeom prst="rect">
                      <a:avLst/>
                    </a:prstGeom>
                    <a:noFill/>
                  </pic:spPr>
                </pic:pic>
              </a:graphicData>
            </a:graphic>
          </wp:anchor>
        </w:drawing>
      </w:r>
    </w:p>
    <w:p>
      <w:pPr>
        <w:spacing w:after="0" w:line="118" w:lineRule="exact"/>
        <w:rPr>
          <w:sz w:val="20"/>
          <w:szCs w:val="20"/>
          <w:color w:val="auto"/>
        </w:rPr>
      </w:pPr>
    </w:p>
    <w:tbl>
      <w:tblPr>
        <w:tblLayout w:type="fixed"/>
        <w:tblInd w:w="180" w:type="dxa"/>
        <w:tblCellMar>
          <w:top w:w="0" w:type="dxa"/>
          <w:left w:w="0" w:type="dxa"/>
          <w:bottom w:w="0" w:type="dxa"/>
          <w:right w:w="0" w:type="dxa"/>
        </w:tblCellMar>
      </w:tblPr>
      <w:tr>
        <w:trPr>
          <w:trHeight w:val="572"/>
        </w:trPr>
        <w:tc>
          <w:tcPr>
            <w:tcW w:w="1680" w:type="dxa"/>
            <w:vAlign w:val="bottom"/>
            <w:tcBorders>
              <w:top w:val="single" w:sz="8" w:color="2360A6"/>
              <w:right w:val="single" w:sz="8" w:color="231F20"/>
            </w:tcBorders>
          </w:tcPr>
          <w:p>
            <w:pPr>
              <w:spacing w:after="0"/>
              <w:rPr>
                <w:sz w:val="24"/>
                <w:szCs w:val="24"/>
                <w:color w:val="auto"/>
              </w:rPr>
            </w:pPr>
          </w:p>
        </w:tc>
        <w:tc>
          <w:tcPr>
            <w:tcW w:w="780" w:type="dxa"/>
            <w:vAlign w:val="bottom"/>
            <w:tcBorders>
              <w:top w:val="single" w:sz="8" w:color="2360A6"/>
              <w:right w:val="single" w:sz="8" w:color="231F20"/>
            </w:tcBorders>
          </w:tcPr>
          <w:p>
            <w:pPr>
              <w:spacing w:after="0"/>
              <w:rPr>
                <w:sz w:val="24"/>
                <w:szCs w:val="24"/>
                <w:color w:val="auto"/>
              </w:rPr>
            </w:pPr>
          </w:p>
        </w:tc>
        <w:tc>
          <w:tcPr>
            <w:tcW w:w="880" w:type="dxa"/>
            <w:vAlign w:val="bottom"/>
            <w:tcBorders>
              <w:top w:val="single" w:sz="8" w:color="2360A6"/>
              <w:right w:val="single" w:sz="8" w:color="231F20"/>
            </w:tcBorders>
          </w:tcPr>
          <w:p>
            <w:pPr>
              <w:spacing w:after="0"/>
              <w:rPr>
                <w:sz w:val="24"/>
                <w:szCs w:val="24"/>
                <w:color w:val="auto"/>
              </w:rPr>
            </w:pPr>
          </w:p>
        </w:tc>
        <w:tc>
          <w:tcPr>
            <w:tcW w:w="880" w:type="dxa"/>
            <w:vAlign w:val="bottom"/>
            <w:tcBorders>
              <w:top w:val="single" w:sz="8" w:color="2360A6"/>
              <w:right w:val="single" w:sz="8" w:color="231F20"/>
            </w:tcBorders>
          </w:tcPr>
          <w:p>
            <w:pPr>
              <w:spacing w:after="0"/>
              <w:rPr>
                <w:sz w:val="24"/>
                <w:szCs w:val="24"/>
                <w:color w:val="auto"/>
              </w:rPr>
            </w:pPr>
          </w:p>
        </w:tc>
        <w:tc>
          <w:tcPr>
            <w:tcW w:w="860" w:type="dxa"/>
            <w:vAlign w:val="bottom"/>
            <w:tcBorders>
              <w:top w:val="single" w:sz="8" w:color="2360A6"/>
              <w:right w:val="single" w:sz="8" w:color="231F20"/>
            </w:tcBorders>
          </w:tcPr>
          <w:p>
            <w:pPr>
              <w:spacing w:after="0"/>
              <w:rPr>
                <w:sz w:val="24"/>
                <w:szCs w:val="24"/>
                <w:color w:val="auto"/>
              </w:rPr>
            </w:pPr>
          </w:p>
        </w:tc>
        <w:tc>
          <w:tcPr>
            <w:tcW w:w="1080" w:type="dxa"/>
            <w:vAlign w:val="bottom"/>
            <w:tcBorders>
              <w:top w:val="single" w:sz="8" w:color="2360A6"/>
              <w:right w:val="single" w:sz="8" w:color="231F20"/>
            </w:tcBorders>
          </w:tcPr>
          <w:p>
            <w:pPr>
              <w:spacing w:after="0"/>
              <w:rPr>
                <w:sz w:val="24"/>
                <w:szCs w:val="24"/>
                <w:color w:val="auto"/>
              </w:rPr>
            </w:pPr>
          </w:p>
        </w:tc>
        <w:tc>
          <w:tcPr>
            <w:tcW w:w="880" w:type="dxa"/>
            <w:vAlign w:val="bottom"/>
            <w:tcBorders>
              <w:top w:val="single" w:sz="8" w:color="2360A6"/>
              <w:right w:val="single" w:sz="8" w:color="231F20"/>
            </w:tcBorders>
          </w:tcPr>
          <w:p>
            <w:pPr>
              <w:spacing w:after="0"/>
              <w:rPr>
                <w:sz w:val="24"/>
                <w:szCs w:val="24"/>
                <w:color w:val="auto"/>
              </w:rPr>
            </w:pPr>
          </w:p>
        </w:tc>
        <w:tc>
          <w:tcPr>
            <w:tcW w:w="860" w:type="dxa"/>
            <w:vAlign w:val="bottom"/>
            <w:tcBorders>
              <w:top w:val="single" w:sz="8" w:color="2360A6"/>
              <w:right w:val="single" w:sz="8" w:color="231F20"/>
            </w:tcBorders>
            <w:vMerge w:val="restart"/>
          </w:tcPr>
          <w:p>
            <w:pPr>
              <w:jc w:val="right"/>
              <w:ind w:right="57"/>
              <w:spacing w:after="0"/>
              <w:rPr>
                <w:sz w:val="20"/>
                <w:szCs w:val="20"/>
                <w:color w:val="auto"/>
              </w:rPr>
            </w:pPr>
            <w:r>
              <w:rPr>
                <w:rFonts w:ascii="Arial" w:cs="Arial" w:eastAsia="Arial" w:hAnsi="Arial"/>
                <w:sz w:val="13"/>
                <w:szCs w:val="13"/>
                <w:b w:val="1"/>
                <w:bCs w:val="1"/>
                <w:color w:val="2360A6"/>
              </w:rPr>
              <w:t>Net</w:t>
            </w:r>
          </w:p>
        </w:tc>
        <w:tc>
          <w:tcPr>
            <w:tcW w:w="980" w:type="dxa"/>
            <w:vAlign w:val="bottom"/>
            <w:tcBorders>
              <w:top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Share-</w:t>
            </w:r>
          </w:p>
        </w:tc>
        <w:tc>
          <w:tcPr>
            <w:tcW w:w="1180" w:type="dxa"/>
            <w:vAlign w:val="bottom"/>
            <w:tcBorders>
              <w:top w:val="single" w:sz="8" w:color="2360A6"/>
              <w:right w:val="single" w:sz="8" w:color="231F20"/>
            </w:tcBorders>
          </w:tcPr>
          <w:p>
            <w:pPr>
              <w:spacing w:after="0"/>
              <w:rPr>
                <w:sz w:val="24"/>
                <w:szCs w:val="24"/>
                <w:color w:val="auto"/>
              </w:rPr>
            </w:pPr>
          </w:p>
        </w:tc>
        <w:tc>
          <w:tcPr>
            <w:tcW w:w="840" w:type="dxa"/>
            <w:vAlign w:val="bottom"/>
            <w:tcBorders>
              <w:top w:val="single" w:sz="8" w:color="2360A6"/>
            </w:tcBorders>
          </w:tcPr>
          <w:p>
            <w:pPr>
              <w:spacing w:after="0"/>
              <w:rPr>
                <w:sz w:val="24"/>
                <w:szCs w:val="24"/>
                <w:color w:val="auto"/>
              </w:rPr>
            </w:pPr>
          </w:p>
        </w:tc>
        <w:tc>
          <w:tcPr>
            <w:tcW w:w="20" w:type="dxa"/>
            <w:vAlign w:val="bottom"/>
            <w:tcBorders>
              <w:top w:val="single" w:sz="8" w:color="2360A6"/>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680" w:type="dxa"/>
            <w:vAlign w:val="bottom"/>
            <w:tcBorders>
              <w:right w:val="single" w:sz="8" w:color="231F20"/>
            </w:tcBorders>
          </w:tcPr>
          <w:p>
            <w:pPr>
              <w:spacing w:after="0"/>
              <w:rPr>
                <w:sz w:val="11"/>
                <w:szCs w:val="11"/>
                <w:color w:val="auto"/>
              </w:rPr>
            </w:pPr>
          </w:p>
        </w:tc>
        <w:tc>
          <w:tcPr>
            <w:tcW w:w="780" w:type="dxa"/>
            <w:vAlign w:val="bottom"/>
            <w:tcBorders>
              <w:right w:val="single" w:sz="8" w:color="231F20"/>
            </w:tcBorders>
          </w:tcPr>
          <w:p>
            <w:pPr>
              <w:spacing w:after="0"/>
              <w:rPr>
                <w:sz w:val="11"/>
                <w:szCs w:val="11"/>
                <w:color w:val="auto"/>
              </w:rPr>
            </w:pPr>
          </w:p>
        </w:tc>
        <w:tc>
          <w:tcPr>
            <w:tcW w:w="880" w:type="dxa"/>
            <w:vAlign w:val="bottom"/>
            <w:tcBorders>
              <w:right w:val="single" w:sz="8" w:color="231F20"/>
            </w:tcBorders>
          </w:tcPr>
          <w:p>
            <w:pPr>
              <w:spacing w:after="0"/>
              <w:rPr>
                <w:sz w:val="11"/>
                <w:szCs w:val="11"/>
                <w:color w:val="auto"/>
              </w:rPr>
            </w:pPr>
          </w:p>
        </w:tc>
        <w:tc>
          <w:tcPr>
            <w:tcW w:w="880" w:type="dxa"/>
            <w:vAlign w:val="bottom"/>
            <w:tcBorders>
              <w:right w:val="single" w:sz="8" w:color="231F20"/>
            </w:tcBorders>
          </w:tcPr>
          <w:p>
            <w:pPr>
              <w:spacing w:after="0"/>
              <w:rPr>
                <w:sz w:val="11"/>
                <w:szCs w:val="11"/>
                <w:color w:val="auto"/>
              </w:rPr>
            </w:pPr>
          </w:p>
        </w:tc>
        <w:tc>
          <w:tcPr>
            <w:tcW w:w="860" w:type="dxa"/>
            <w:vAlign w:val="bottom"/>
            <w:tcBorders>
              <w:right w:val="single" w:sz="8" w:color="231F20"/>
            </w:tcBorders>
          </w:tcPr>
          <w:p>
            <w:pPr>
              <w:spacing w:after="0"/>
              <w:rPr>
                <w:sz w:val="11"/>
                <w:szCs w:val="11"/>
                <w:color w:val="auto"/>
              </w:rPr>
            </w:pPr>
          </w:p>
        </w:tc>
        <w:tc>
          <w:tcPr>
            <w:tcW w:w="1080" w:type="dxa"/>
            <w:vAlign w:val="bottom"/>
            <w:tcBorders>
              <w:right w:val="single" w:sz="8" w:color="231F20"/>
            </w:tcBorders>
          </w:tcPr>
          <w:p>
            <w:pPr>
              <w:jc w:val="right"/>
              <w:ind w:right="57"/>
              <w:spacing w:after="0" w:line="135" w:lineRule="exact"/>
              <w:rPr>
                <w:sz w:val="20"/>
                <w:szCs w:val="20"/>
                <w:color w:val="auto"/>
              </w:rPr>
            </w:pPr>
            <w:r>
              <w:rPr>
                <w:rFonts w:ascii="Arial" w:cs="Arial" w:eastAsia="Arial" w:hAnsi="Arial"/>
                <w:sz w:val="13"/>
                <w:szCs w:val="13"/>
                <w:b w:val="1"/>
                <w:bCs w:val="1"/>
                <w:color w:val="2360A6"/>
              </w:rPr>
              <w:t>Foreign</w:t>
            </w:r>
          </w:p>
        </w:tc>
        <w:tc>
          <w:tcPr>
            <w:tcW w:w="880" w:type="dxa"/>
            <w:vAlign w:val="bottom"/>
            <w:tcBorders>
              <w:right w:val="single" w:sz="8" w:color="231F20"/>
            </w:tcBorders>
          </w:tcPr>
          <w:p>
            <w:pPr>
              <w:spacing w:after="0"/>
              <w:rPr>
                <w:sz w:val="11"/>
                <w:szCs w:val="11"/>
                <w:color w:val="auto"/>
              </w:rPr>
            </w:pPr>
          </w:p>
        </w:tc>
        <w:tc>
          <w:tcPr>
            <w:tcW w:w="860" w:type="dxa"/>
            <w:vAlign w:val="bottom"/>
            <w:tcBorders>
              <w:right w:val="single" w:sz="8" w:color="231F20"/>
            </w:tcBorders>
            <w:vMerge w:val="continue"/>
          </w:tcPr>
          <w:p>
            <w:pPr>
              <w:spacing w:after="0"/>
              <w:rPr>
                <w:sz w:val="11"/>
                <w:szCs w:val="11"/>
                <w:color w:val="auto"/>
              </w:rPr>
            </w:pPr>
          </w:p>
        </w:tc>
        <w:tc>
          <w:tcPr>
            <w:tcW w:w="980" w:type="dxa"/>
            <w:vAlign w:val="bottom"/>
            <w:tcBorders>
              <w:right w:val="single" w:sz="8" w:color="231F20"/>
            </w:tcBorders>
          </w:tcPr>
          <w:p>
            <w:pPr>
              <w:jc w:val="right"/>
              <w:ind w:right="77"/>
              <w:spacing w:after="0" w:line="135" w:lineRule="exact"/>
              <w:rPr>
                <w:sz w:val="20"/>
                <w:szCs w:val="20"/>
                <w:color w:val="auto"/>
              </w:rPr>
            </w:pPr>
            <w:r>
              <w:rPr>
                <w:rFonts w:ascii="Arial" w:cs="Arial" w:eastAsia="Arial" w:hAnsi="Arial"/>
                <w:sz w:val="13"/>
                <w:szCs w:val="13"/>
                <w:b w:val="1"/>
                <w:bCs w:val="1"/>
                <w:color w:val="2360A6"/>
              </w:rPr>
              <w:t>holders’</w:t>
            </w:r>
          </w:p>
        </w:tc>
        <w:tc>
          <w:tcPr>
            <w:tcW w:w="1180" w:type="dxa"/>
            <w:vAlign w:val="bottom"/>
            <w:tcBorders>
              <w:right w:val="single" w:sz="8" w:color="231F20"/>
            </w:tcBorders>
          </w:tcPr>
          <w:p>
            <w:pPr>
              <w:jc w:val="right"/>
              <w:ind w:right="57"/>
              <w:spacing w:after="0" w:line="135" w:lineRule="exact"/>
              <w:rPr>
                <w:sz w:val="20"/>
                <w:szCs w:val="20"/>
                <w:color w:val="auto"/>
              </w:rPr>
            </w:pPr>
            <w:r>
              <w:rPr>
                <w:rFonts w:ascii="Arial" w:cs="Arial" w:eastAsia="Arial" w:hAnsi="Arial"/>
                <w:sz w:val="13"/>
                <w:szCs w:val="13"/>
                <w:b w:val="1"/>
                <w:bCs w:val="1"/>
                <w:color w:val="2360A6"/>
              </w:rPr>
              <w:t>Share- holders’</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2360A6"/>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Borders>
              <w:right w:val="single" w:sz="8" w:color="231F20"/>
            </w:tcBorders>
          </w:tcPr>
          <w:p>
            <w:pPr>
              <w:spacing w:after="0"/>
              <w:rPr>
                <w:sz w:val="11"/>
                <w:szCs w:val="11"/>
                <w:color w:val="auto"/>
              </w:rPr>
            </w:pPr>
          </w:p>
        </w:tc>
        <w:tc>
          <w:tcPr>
            <w:tcW w:w="780" w:type="dxa"/>
            <w:vAlign w:val="bottom"/>
            <w:tcBorders>
              <w:right w:val="single" w:sz="8" w:color="231F20"/>
            </w:tcBorders>
            <w:vMerge w:val="restart"/>
          </w:tcPr>
          <w:p>
            <w:pPr>
              <w:jc w:val="right"/>
              <w:ind w:right="77"/>
              <w:spacing w:after="0"/>
              <w:rPr>
                <w:sz w:val="20"/>
                <w:szCs w:val="20"/>
                <w:color w:val="auto"/>
              </w:rPr>
            </w:pPr>
            <w:r>
              <w:rPr>
                <w:rFonts w:ascii="Arial" w:cs="Arial" w:eastAsia="Arial" w:hAnsi="Arial"/>
                <w:sz w:val="13"/>
                <w:szCs w:val="13"/>
                <w:b w:val="1"/>
                <w:bCs w:val="1"/>
                <w:color w:val="2360A6"/>
              </w:rPr>
              <w:t>Share</w:t>
            </w:r>
          </w:p>
        </w:tc>
        <w:tc>
          <w:tcPr>
            <w:tcW w:w="880" w:type="dxa"/>
            <w:vAlign w:val="bottom"/>
            <w:tcBorders>
              <w:right w:val="single" w:sz="8" w:color="231F20"/>
            </w:tcBorders>
            <w:vMerge w:val="restart"/>
          </w:tcPr>
          <w:p>
            <w:pPr>
              <w:jc w:val="right"/>
              <w:ind w:right="77"/>
              <w:spacing w:after="0"/>
              <w:rPr>
                <w:sz w:val="20"/>
                <w:szCs w:val="20"/>
                <w:color w:val="auto"/>
              </w:rPr>
            </w:pPr>
            <w:r>
              <w:rPr>
                <w:rFonts w:ascii="Arial" w:cs="Arial" w:eastAsia="Arial" w:hAnsi="Arial"/>
                <w:sz w:val="13"/>
                <w:szCs w:val="13"/>
                <w:b w:val="1"/>
                <w:bCs w:val="1"/>
                <w:color w:val="2360A6"/>
              </w:rPr>
              <w:t>Share</w:t>
            </w:r>
          </w:p>
        </w:tc>
        <w:tc>
          <w:tcPr>
            <w:tcW w:w="880" w:type="dxa"/>
            <w:vAlign w:val="bottom"/>
            <w:tcBorders>
              <w:right w:val="single" w:sz="8" w:color="231F20"/>
            </w:tcBorders>
            <w:vMerge w:val="restart"/>
          </w:tcPr>
          <w:p>
            <w:pPr>
              <w:jc w:val="right"/>
              <w:ind w:right="57"/>
              <w:spacing w:after="0"/>
              <w:rPr>
                <w:sz w:val="20"/>
                <w:szCs w:val="20"/>
                <w:color w:val="auto"/>
              </w:rPr>
            </w:pPr>
            <w:r>
              <w:rPr>
                <w:rFonts w:ascii="Arial" w:cs="Arial" w:eastAsia="Arial" w:hAnsi="Arial"/>
                <w:sz w:val="13"/>
                <w:szCs w:val="13"/>
                <w:b w:val="1"/>
                <w:bCs w:val="1"/>
                <w:color w:val="2360A6"/>
              </w:rPr>
              <w:t>Retained</w:t>
            </w:r>
          </w:p>
        </w:tc>
        <w:tc>
          <w:tcPr>
            <w:tcW w:w="860" w:type="dxa"/>
            <w:vAlign w:val="bottom"/>
            <w:tcBorders>
              <w:right w:val="single" w:sz="8" w:color="231F20"/>
            </w:tcBorders>
            <w:vMerge w:val="restart"/>
          </w:tcPr>
          <w:p>
            <w:pPr>
              <w:jc w:val="right"/>
              <w:ind w:right="57"/>
              <w:spacing w:after="0"/>
              <w:rPr>
                <w:sz w:val="20"/>
                <w:szCs w:val="20"/>
                <w:color w:val="auto"/>
              </w:rPr>
            </w:pPr>
            <w:r>
              <w:rPr>
                <w:rFonts w:ascii="Arial" w:cs="Arial" w:eastAsia="Arial" w:hAnsi="Arial"/>
                <w:sz w:val="13"/>
                <w:szCs w:val="13"/>
                <w:b w:val="1"/>
                <w:bCs w:val="1"/>
                <w:color w:val="2360A6"/>
              </w:rPr>
              <w:t>Treasury</w:t>
            </w:r>
          </w:p>
        </w:tc>
        <w:tc>
          <w:tcPr>
            <w:tcW w:w="1080" w:type="dxa"/>
            <w:vAlign w:val="bottom"/>
            <w:tcBorders>
              <w:right w:val="single" w:sz="8" w:color="231F20"/>
            </w:tcBorders>
          </w:tcPr>
          <w:p>
            <w:pPr>
              <w:jc w:val="right"/>
              <w:ind w:right="57"/>
              <w:spacing w:after="0" w:line="135" w:lineRule="exact"/>
              <w:rPr>
                <w:sz w:val="20"/>
                <w:szCs w:val="20"/>
                <w:color w:val="auto"/>
              </w:rPr>
            </w:pPr>
            <w:r>
              <w:rPr>
                <w:rFonts w:ascii="Arial" w:cs="Arial" w:eastAsia="Arial" w:hAnsi="Arial"/>
                <w:sz w:val="13"/>
                <w:szCs w:val="13"/>
                <w:b w:val="1"/>
                <w:bCs w:val="1"/>
                <w:color w:val="2360A6"/>
              </w:rPr>
              <w:t>Currency</w:t>
            </w:r>
          </w:p>
        </w:tc>
        <w:tc>
          <w:tcPr>
            <w:tcW w:w="880" w:type="dxa"/>
            <w:vAlign w:val="bottom"/>
            <w:tcBorders>
              <w:right w:val="single" w:sz="8" w:color="231F20"/>
            </w:tcBorders>
          </w:tcPr>
          <w:p>
            <w:pPr>
              <w:spacing w:after="0"/>
              <w:rPr>
                <w:sz w:val="11"/>
                <w:szCs w:val="11"/>
                <w:color w:val="auto"/>
              </w:rPr>
            </w:pPr>
          </w:p>
        </w:tc>
        <w:tc>
          <w:tcPr>
            <w:tcW w:w="860" w:type="dxa"/>
            <w:vAlign w:val="bottom"/>
            <w:tcBorders>
              <w:right w:val="single" w:sz="8" w:color="231F20"/>
            </w:tcBorders>
          </w:tcPr>
          <w:p>
            <w:pPr>
              <w:jc w:val="right"/>
              <w:ind w:right="57"/>
              <w:spacing w:after="0" w:line="135" w:lineRule="exact"/>
              <w:rPr>
                <w:sz w:val="20"/>
                <w:szCs w:val="20"/>
                <w:color w:val="auto"/>
              </w:rPr>
            </w:pPr>
            <w:r>
              <w:rPr>
                <w:rFonts w:ascii="Arial" w:cs="Arial" w:eastAsia="Arial" w:hAnsi="Arial"/>
                <w:sz w:val="13"/>
                <w:szCs w:val="13"/>
                <w:b w:val="1"/>
                <w:bCs w:val="1"/>
                <w:color w:val="2360A6"/>
              </w:rPr>
              <w:t>Income -</w:t>
            </w:r>
          </w:p>
        </w:tc>
        <w:tc>
          <w:tcPr>
            <w:tcW w:w="980" w:type="dxa"/>
            <w:vAlign w:val="bottom"/>
            <w:tcBorders>
              <w:right w:val="single" w:sz="8" w:color="231F20"/>
            </w:tcBorders>
          </w:tcPr>
          <w:p>
            <w:pPr>
              <w:jc w:val="right"/>
              <w:ind w:right="77"/>
              <w:spacing w:after="0" w:line="135" w:lineRule="exact"/>
              <w:rPr>
                <w:sz w:val="20"/>
                <w:szCs w:val="20"/>
                <w:color w:val="auto"/>
              </w:rPr>
            </w:pPr>
            <w:r>
              <w:rPr>
                <w:rFonts w:ascii="Arial" w:cs="Arial" w:eastAsia="Arial" w:hAnsi="Arial"/>
                <w:sz w:val="13"/>
                <w:szCs w:val="13"/>
                <w:b w:val="1"/>
                <w:bCs w:val="1"/>
                <w:color w:val="2360A6"/>
              </w:rPr>
              <w:t>Equity -</w:t>
            </w:r>
          </w:p>
        </w:tc>
        <w:tc>
          <w:tcPr>
            <w:tcW w:w="1180" w:type="dxa"/>
            <w:vAlign w:val="bottom"/>
            <w:tcBorders>
              <w:right w:val="single" w:sz="8" w:color="231F20"/>
            </w:tcBorders>
          </w:tcPr>
          <w:p>
            <w:pPr>
              <w:jc w:val="right"/>
              <w:ind w:right="57"/>
              <w:spacing w:after="0" w:line="135" w:lineRule="exact"/>
              <w:rPr>
                <w:sz w:val="20"/>
                <w:szCs w:val="20"/>
                <w:color w:val="auto"/>
              </w:rPr>
            </w:pPr>
            <w:r>
              <w:rPr>
                <w:rFonts w:ascii="Arial" w:cs="Arial" w:eastAsia="Arial" w:hAnsi="Arial"/>
                <w:sz w:val="13"/>
                <w:szCs w:val="13"/>
                <w:b w:val="1"/>
                <w:bCs w:val="1"/>
                <w:color w:val="2360A6"/>
              </w:rPr>
              <w:t>Equity - Non-</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2360A6"/>
              </w:rPr>
              <w:t>Share-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Borders>
              <w:right w:val="single" w:sz="8" w:color="231F20"/>
            </w:tcBorders>
          </w:tcPr>
          <w:p>
            <w:pPr>
              <w:spacing w:after="0"/>
              <w:rPr>
                <w:sz w:val="11"/>
                <w:szCs w:val="11"/>
                <w:color w:val="auto"/>
              </w:rPr>
            </w:pPr>
          </w:p>
        </w:tc>
        <w:tc>
          <w:tcPr>
            <w:tcW w:w="780" w:type="dxa"/>
            <w:vAlign w:val="bottom"/>
            <w:tcBorders>
              <w:right w:val="single" w:sz="8" w:color="231F20"/>
            </w:tcBorders>
            <w:vMerge w:val="continue"/>
          </w:tcPr>
          <w:p>
            <w:pPr>
              <w:spacing w:after="0"/>
              <w:rPr>
                <w:sz w:val="11"/>
                <w:szCs w:val="11"/>
                <w:color w:val="auto"/>
              </w:rPr>
            </w:pPr>
          </w:p>
        </w:tc>
        <w:tc>
          <w:tcPr>
            <w:tcW w:w="880" w:type="dxa"/>
            <w:vAlign w:val="bottom"/>
            <w:tcBorders>
              <w:right w:val="single" w:sz="8" w:color="231F20"/>
            </w:tcBorders>
            <w:vMerge w:val="continue"/>
          </w:tcPr>
          <w:p>
            <w:pPr>
              <w:spacing w:after="0"/>
              <w:rPr>
                <w:sz w:val="11"/>
                <w:szCs w:val="11"/>
                <w:color w:val="auto"/>
              </w:rPr>
            </w:pPr>
          </w:p>
        </w:tc>
        <w:tc>
          <w:tcPr>
            <w:tcW w:w="880" w:type="dxa"/>
            <w:vAlign w:val="bottom"/>
            <w:tcBorders>
              <w:right w:val="single" w:sz="8" w:color="231F20"/>
            </w:tcBorders>
            <w:vMerge w:val="continue"/>
          </w:tcPr>
          <w:p>
            <w:pPr>
              <w:spacing w:after="0"/>
              <w:rPr>
                <w:sz w:val="11"/>
                <w:szCs w:val="11"/>
                <w:color w:val="auto"/>
              </w:rPr>
            </w:pPr>
          </w:p>
        </w:tc>
        <w:tc>
          <w:tcPr>
            <w:tcW w:w="860" w:type="dxa"/>
            <w:vAlign w:val="bottom"/>
            <w:tcBorders>
              <w:right w:val="single" w:sz="8" w:color="231F20"/>
            </w:tcBorders>
            <w:vMerge w:val="continue"/>
          </w:tcPr>
          <w:p>
            <w:pPr>
              <w:spacing w:after="0"/>
              <w:rPr>
                <w:sz w:val="11"/>
                <w:szCs w:val="11"/>
                <w:color w:val="auto"/>
              </w:rPr>
            </w:pPr>
          </w:p>
        </w:tc>
        <w:tc>
          <w:tcPr>
            <w:tcW w:w="1080" w:type="dxa"/>
            <w:vAlign w:val="bottom"/>
            <w:tcBorders>
              <w:right w:val="single" w:sz="8" w:color="231F20"/>
            </w:tcBorders>
          </w:tcPr>
          <w:p>
            <w:pPr>
              <w:jc w:val="right"/>
              <w:ind w:right="57"/>
              <w:spacing w:after="0" w:line="135" w:lineRule="exact"/>
              <w:rPr>
                <w:sz w:val="20"/>
                <w:szCs w:val="20"/>
                <w:color w:val="auto"/>
              </w:rPr>
            </w:pPr>
            <w:r>
              <w:rPr>
                <w:rFonts w:ascii="Arial" w:cs="Arial" w:eastAsia="Arial" w:hAnsi="Arial"/>
                <w:sz w:val="13"/>
                <w:szCs w:val="13"/>
                <w:b w:val="1"/>
                <w:bCs w:val="1"/>
                <w:color w:val="2360A6"/>
              </w:rPr>
              <w:t>Translation</w:t>
            </w:r>
          </w:p>
        </w:tc>
        <w:tc>
          <w:tcPr>
            <w:tcW w:w="880" w:type="dxa"/>
            <w:vAlign w:val="bottom"/>
            <w:tcBorders>
              <w:right w:val="single" w:sz="8" w:color="231F20"/>
            </w:tcBorders>
          </w:tcPr>
          <w:p>
            <w:pPr>
              <w:jc w:val="right"/>
              <w:ind w:right="77"/>
              <w:spacing w:after="0" w:line="135" w:lineRule="exact"/>
              <w:rPr>
                <w:sz w:val="20"/>
                <w:szCs w:val="20"/>
                <w:color w:val="auto"/>
              </w:rPr>
            </w:pPr>
            <w:r>
              <w:rPr>
                <w:rFonts w:ascii="Arial" w:cs="Arial" w:eastAsia="Arial" w:hAnsi="Arial"/>
                <w:sz w:val="13"/>
                <w:szCs w:val="13"/>
                <w:b w:val="1"/>
                <w:bCs w:val="1"/>
                <w:color w:val="2360A6"/>
              </w:rPr>
              <w:t>Fair Value</w:t>
            </w:r>
          </w:p>
        </w:tc>
        <w:tc>
          <w:tcPr>
            <w:tcW w:w="860" w:type="dxa"/>
            <w:vAlign w:val="bottom"/>
            <w:tcBorders>
              <w:right w:val="single" w:sz="8" w:color="231F20"/>
            </w:tcBorders>
          </w:tcPr>
          <w:p>
            <w:pPr>
              <w:jc w:val="right"/>
              <w:ind w:right="57"/>
              <w:spacing w:after="0" w:line="135" w:lineRule="exact"/>
              <w:rPr>
                <w:sz w:val="20"/>
                <w:szCs w:val="20"/>
                <w:color w:val="auto"/>
              </w:rPr>
            </w:pPr>
            <w:r>
              <w:rPr>
                <w:rFonts w:ascii="Arial" w:cs="Arial" w:eastAsia="Arial" w:hAnsi="Arial"/>
                <w:sz w:val="13"/>
                <w:szCs w:val="13"/>
                <w:b w:val="1"/>
                <w:bCs w:val="1"/>
                <w:color w:val="2360A6"/>
              </w:rPr>
              <w:t>Parent</w:t>
            </w:r>
          </w:p>
        </w:tc>
        <w:tc>
          <w:tcPr>
            <w:tcW w:w="980" w:type="dxa"/>
            <w:vAlign w:val="bottom"/>
            <w:tcBorders>
              <w:right w:val="single" w:sz="8" w:color="231F20"/>
            </w:tcBorders>
          </w:tcPr>
          <w:p>
            <w:pPr>
              <w:jc w:val="right"/>
              <w:ind w:right="77"/>
              <w:spacing w:after="0" w:line="135" w:lineRule="exact"/>
              <w:rPr>
                <w:sz w:val="20"/>
                <w:szCs w:val="20"/>
                <w:color w:val="auto"/>
              </w:rPr>
            </w:pPr>
            <w:r>
              <w:rPr>
                <w:rFonts w:ascii="Arial" w:cs="Arial" w:eastAsia="Arial" w:hAnsi="Arial"/>
                <w:sz w:val="13"/>
                <w:szCs w:val="13"/>
                <w:b w:val="1"/>
                <w:bCs w:val="1"/>
                <w:color w:val="2360A6"/>
              </w:rPr>
              <w:t>Parent</w:t>
            </w:r>
          </w:p>
        </w:tc>
        <w:tc>
          <w:tcPr>
            <w:tcW w:w="1180" w:type="dxa"/>
            <w:vAlign w:val="bottom"/>
            <w:tcBorders>
              <w:right w:val="single" w:sz="8" w:color="231F20"/>
            </w:tcBorders>
          </w:tcPr>
          <w:p>
            <w:pPr>
              <w:jc w:val="right"/>
              <w:ind w:right="57"/>
              <w:spacing w:after="0" w:line="135" w:lineRule="exact"/>
              <w:rPr>
                <w:sz w:val="20"/>
                <w:szCs w:val="20"/>
                <w:color w:val="auto"/>
              </w:rPr>
            </w:pPr>
            <w:r>
              <w:rPr>
                <w:rFonts w:ascii="Arial" w:cs="Arial" w:eastAsia="Arial" w:hAnsi="Arial"/>
                <w:sz w:val="13"/>
                <w:szCs w:val="13"/>
                <w:b w:val="1"/>
                <w:bCs w:val="1"/>
                <w:color w:val="2360A6"/>
              </w:rPr>
              <w:t>Controlling</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2360A6"/>
              </w:rPr>
              <w:t>holders’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i w:val="1"/>
                <w:iCs w:val="1"/>
                <w:color w:val="231F20"/>
              </w:rPr>
              <w:t>In millions of Euro</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Capital</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Premium</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Earnings</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Shares</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Reserves</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Reserves</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Company</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Company</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Interests</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Equity</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b w:val="1"/>
                <w:bCs w:val="1"/>
                <w:color w:val="2360A6"/>
              </w:rPr>
              <w:t>As of January 1, 2014</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86.7</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1,923.3</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1,972.1</w:t>
            </w:r>
          </w:p>
        </w:tc>
        <w:tc>
          <w:tcPr>
            <w:tcW w:w="86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b w:val="1"/>
                <w:bCs w:val="1"/>
                <w:color w:val="2360A6"/>
              </w:rPr>
              <w:t>(133.6)</w:t>
            </w:r>
          </w:p>
        </w:tc>
        <w:tc>
          <w:tcPr>
            <w:tcW w:w="10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b w:val="1"/>
                <w:bCs w:val="1"/>
                <w:color w:val="2360A6"/>
              </w:rPr>
              <w:t>(259.5)</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4.7</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563.1</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4,156.8</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17.3</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4,174.1</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Net Income 2014</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436.6</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436.6</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5.8</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442.4</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80" w:type="dxa"/>
            <w:vAlign w:val="bottom"/>
            <w:tcBorders>
              <w:right w:val="single" w:sz="8" w:color="231F20"/>
            </w:tcBorders>
          </w:tcPr>
          <w:p>
            <w:pPr>
              <w:ind w:left="40"/>
              <w:spacing w:after="0"/>
              <w:rPr>
                <w:sz w:val="20"/>
                <w:szCs w:val="20"/>
                <w:color w:val="auto"/>
              </w:rPr>
            </w:pPr>
            <w:r>
              <w:rPr>
                <w:rFonts w:ascii="Arial" w:cs="Arial" w:eastAsia="Arial" w:hAnsi="Arial"/>
                <w:sz w:val="13"/>
                <w:szCs w:val="13"/>
                <w:color w:val="231F20"/>
              </w:rPr>
              <w:t>Other Comprehensive</w:t>
            </w:r>
          </w:p>
        </w:tc>
        <w:tc>
          <w:tcPr>
            <w:tcW w:w="7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10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980" w:type="dxa"/>
            <w:vAlign w:val="bottom"/>
            <w:tcBorders>
              <w:right w:val="single" w:sz="8" w:color="231F20"/>
            </w:tcBorders>
          </w:tcPr>
          <w:p>
            <w:pPr>
              <w:spacing w:after="0"/>
              <w:rPr>
                <w:sz w:val="13"/>
                <w:szCs w:val="13"/>
                <w:color w:val="auto"/>
              </w:rPr>
            </w:pPr>
          </w:p>
        </w:tc>
        <w:tc>
          <w:tcPr>
            <w:tcW w:w="1180" w:type="dxa"/>
            <w:vAlign w:val="bottom"/>
            <w:tcBorders>
              <w:right w:val="single" w:sz="8" w:color="231F20"/>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Income</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239.2</w:t>
            </w:r>
          </w:p>
        </w:tc>
        <w:tc>
          <w:tcPr>
            <w:tcW w:w="88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color w:val="231F20"/>
              </w:rPr>
              <w:t>(294.4)</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color w:val="231F20"/>
              </w:rPr>
              <w:t>(55.2)</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0.4</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(54.8)</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80" w:type="dxa"/>
            <w:vAlign w:val="bottom"/>
            <w:tcBorders>
              <w:right w:val="single" w:sz="8" w:color="231F20"/>
            </w:tcBorders>
          </w:tcPr>
          <w:p>
            <w:pPr>
              <w:ind w:left="40"/>
              <w:spacing w:after="0" w:line="140" w:lineRule="exact"/>
              <w:rPr>
                <w:sz w:val="20"/>
                <w:szCs w:val="20"/>
                <w:color w:val="auto"/>
              </w:rPr>
            </w:pPr>
            <w:r>
              <w:rPr>
                <w:rFonts w:ascii="Arial" w:cs="Arial" w:eastAsia="Arial" w:hAnsi="Arial"/>
                <w:sz w:val="13"/>
                <w:szCs w:val="13"/>
                <w:b w:val="1"/>
                <w:bCs w:val="1"/>
                <w:color w:val="2360A6"/>
              </w:rPr>
              <w:t>Comprehensive Income</w:t>
            </w:r>
          </w:p>
        </w:tc>
        <w:tc>
          <w:tcPr>
            <w:tcW w:w="780" w:type="dxa"/>
            <w:vAlign w:val="bottom"/>
            <w:tcBorders>
              <w:right w:val="single" w:sz="8" w:color="231F20"/>
            </w:tcBorders>
          </w:tcPr>
          <w:p>
            <w:pPr>
              <w:spacing w:after="0"/>
              <w:rPr>
                <w:sz w:val="12"/>
                <w:szCs w:val="12"/>
                <w:color w:val="auto"/>
              </w:rPr>
            </w:pPr>
          </w:p>
        </w:tc>
        <w:tc>
          <w:tcPr>
            <w:tcW w:w="880" w:type="dxa"/>
            <w:vAlign w:val="bottom"/>
            <w:tcBorders>
              <w:right w:val="single" w:sz="8" w:color="231F20"/>
            </w:tcBorders>
          </w:tcPr>
          <w:p>
            <w:pPr>
              <w:spacing w:after="0"/>
              <w:rPr>
                <w:sz w:val="12"/>
                <w:szCs w:val="12"/>
                <w:color w:val="auto"/>
              </w:rPr>
            </w:pPr>
          </w:p>
        </w:tc>
        <w:tc>
          <w:tcPr>
            <w:tcW w:w="880" w:type="dxa"/>
            <w:vAlign w:val="bottom"/>
            <w:tcBorders>
              <w:right w:val="single" w:sz="8" w:color="231F20"/>
            </w:tcBorders>
          </w:tcPr>
          <w:p>
            <w:pPr>
              <w:spacing w:after="0"/>
              <w:rPr>
                <w:sz w:val="12"/>
                <w:szCs w:val="12"/>
                <w:color w:val="auto"/>
              </w:rPr>
            </w:pPr>
          </w:p>
        </w:tc>
        <w:tc>
          <w:tcPr>
            <w:tcW w:w="860" w:type="dxa"/>
            <w:vAlign w:val="bottom"/>
            <w:tcBorders>
              <w:right w:val="single" w:sz="8" w:color="231F20"/>
            </w:tcBorders>
          </w:tcPr>
          <w:p>
            <w:pPr>
              <w:spacing w:after="0"/>
              <w:rPr>
                <w:sz w:val="12"/>
                <w:szCs w:val="12"/>
                <w:color w:val="auto"/>
              </w:rPr>
            </w:pPr>
          </w:p>
        </w:tc>
        <w:tc>
          <w:tcPr>
            <w:tcW w:w="1080" w:type="dxa"/>
            <w:vAlign w:val="bottom"/>
            <w:tcBorders>
              <w:right w:val="single" w:sz="8" w:color="231F20"/>
            </w:tcBorders>
          </w:tcPr>
          <w:p>
            <w:pPr>
              <w:spacing w:after="0"/>
              <w:rPr>
                <w:sz w:val="12"/>
                <w:szCs w:val="12"/>
                <w:color w:val="auto"/>
              </w:rPr>
            </w:pPr>
          </w:p>
        </w:tc>
        <w:tc>
          <w:tcPr>
            <w:tcW w:w="880" w:type="dxa"/>
            <w:vAlign w:val="bottom"/>
            <w:tcBorders>
              <w:right w:val="single" w:sz="8" w:color="231F20"/>
            </w:tcBorders>
          </w:tcPr>
          <w:p>
            <w:pPr>
              <w:spacing w:after="0"/>
              <w:rPr>
                <w:sz w:val="12"/>
                <w:szCs w:val="12"/>
                <w:color w:val="auto"/>
              </w:rPr>
            </w:pPr>
          </w:p>
        </w:tc>
        <w:tc>
          <w:tcPr>
            <w:tcW w:w="860" w:type="dxa"/>
            <w:vAlign w:val="bottom"/>
            <w:tcBorders>
              <w:right w:val="single" w:sz="8" w:color="231F20"/>
            </w:tcBorders>
          </w:tcPr>
          <w:p>
            <w:pPr>
              <w:spacing w:after="0"/>
              <w:rPr>
                <w:sz w:val="12"/>
                <w:szCs w:val="12"/>
                <w:color w:val="auto"/>
              </w:rPr>
            </w:pPr>
          </w:p>
        </w:tc>
        <w:tc>
          <w:tcPr>
            <w:tcW w:w="980" w:type="dxa"/>
            <w:vAlign w:val="bottom"/>
            <w:tcBorders>
              <w:right w:val="single" w:sz="8" w:color="231F20"/>
            </w:tcBorders>
          </w:tcPr>
          <w:p>
            <w:pPr>
              <w:spacing w:after="0"/>
              <w:rPr>
                <w:sz w:val="12"/>
                <w:szCs w:val="12"/>
                <w:color w:val="auto"/>
              </w:rPr>
            </w:pPr>
          </w:p>
        </w:tc>
        <w:tc>
          <w:tcPr>
            <w:tcW w:w="1180" w:type="dxa"/>
            <w:vAlign w:val="bottom"/>
            <w:tcBorders>
              <w:right w:val="single" w:sz="8" w:color="231F20"/>
            </w:tcBorders>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b w:val="1"/>
                <w:bCs w:val="1"/>
                <w:color w:val="2360A6"/>
              </w:rPr>
              <w:t>2014</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239.2</w:t>
            </w:r>
          </w:p>
        </w:tc>
        <w:tc>
          <w:tcPr>
            <w:tcW w:w="88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b w:val="1"/>
                <w:bCs w:val="1"/>
                <w:color w:val="2360A6"/>
              </w:rPr>
              <w:t>(294.4)</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436.6</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381.4</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6.2</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387.6</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Capital Increase</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0.2</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11.5</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11.7</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11.7</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80" w:type="dxa"/>
            <w:vAlign w:val="bottom"/>
            <w:tcBorders>
              <w:right w:val="single" w:sz="8" w:color="231F20"/>
            </w:tcBorders>
          </w:tcPr>
          <w:p>
            <w:pPr>
              <w:ind w:left="40"/>
              <w:spacing w:after="0"/>
              <w:rPr>
                <w:sz w:val="20"/>
                <w:szCs w:val="20"/>
                <w:color w:val="auto"/>
              </w:rPr>
            </w:pPr>
            <w:r>
              <w:rPr>
                <w:rFonts w:ascii="Arial" w:cs="Arial" w:eastAsia="Arial" w:hAnsi="Arial"/>
                <w:sz w:val="13"/>
                <w:szCs w:val="13"/>
                <w:color w:val="231F20"/>
                <w:w w:val="98"/>
              </w:rPr>
              <w:t>Appropriation of Net Income</w:t>
            </w:r>
          </w:p>
        </w:tc>
        <w:tc>
          <w:tcPr>
            <w:tcW w:w="7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10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980" w:type="dxa"/>
            <w:vAlign w:val="bottom"/>
            <w:tcBorders>
              <w:right w:val="single" w:sz="8" w:color="231F20"/>
            </w:tcBorders>
          </w:tcPr>
          <w:p>
            <w:pPr>
              <w:spacing w:after="0"/>
              <w:rPr>
                <w:sz w:val="13"/>
                <w:szCs w:val="13"/>
                <w:color w:val="auto"/>
              </w:rPr>
            </w:pPr>
          </w:p>
        </w:tc>
        <w:tc>
          <w:tcPr>
            <w:tcW w:w="1180" w:type="dxa"/>
            <w:vAlign w:val="bottom"/>
            <w:tcBorders>
              <w:right w:val="single" w:sz="8" w:color="231F20"/>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2013</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563.1</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(563.1)</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Dividends</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(206.5)</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color w:val="231F20"/>
              </w:rPr>
              <w:t>(206.5)</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(206.5)</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Treasury Shares</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(58.3)</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36.7</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color w:val="231F20"/>
              </w:rPr>
              <w:t>(21.6)</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(21.6)</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80" w:type="dxa"/>
            <w:vAlign w:val="bottom"/>
            <w:tcBorders>
              <w:right w:val="single" w:sz="8" w:color="231F20"/>
            </w:tcBorders>
          </w:tcPr>
          <w:p>
            <w:pPr>
              <w:ind w:left="40"/>
              <w:spacing w:after="0"/>
              <w:rPr>
                <w:sz w:val="20"/>
                <w:szCs w:val="20"/>
                <w:color w:val="auto"/>
              </w:rPr>
            </w:pPr>
            <w:r>
              <w:rPr>
                <w:rFonts w:ascii="Arial" w:cs="Arial" w:eastAsia="Arial" w:hAnsi="Arial"/>
                <w:sz w:val="13"/>
                <w:szCs w:val="13"/>
                <w:color w:val="231F20"/>
              </w:rPr>
              <w:t>Valuation of Share-based</w:t>
            </w:r>
          </w:p>
        </w:tc>
        <w:tc>
          <w:tcPr>
            <w:tcW w:w="7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10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980" w:type="dxa"/>
            <w:vAlign w:val="bottom"/>
            <w:tcBorders>
              <w:right w:val="single" w:sz="8" w:color="231F20"/>
            </w:tcBorders>
          </w:tcPr>
          <w:p>
            <w:pPr>
              <w:spacing w:after="0"/>
              <w:rPr>
                <w:sz w:val="13"/>
                <w:szCs w:val="13"/>
                <w:color w:val="auto"/>
              </w:rPr>
            </w:pPr>
          </w:p>
        </w:tc>
        <w:tc>
          <w:tcPr>
            <w:tcW w:w="1180" w:type="dxa"/>
            <w:vAlign w:val="bottom"/>
            <w:tcBorders>
              <w:right w:val="single" w:sz="8" w:color="231F20"/>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680" w:type="dxa"/>
            <w:vAlign w:val="bottom"/>
            <w:tcBorders>
              <w:right w:val="single" w:sz="8" w:color="231F20"/>
            </w:tcBorders>
          </w:tcPr>
          <w:p>
            <w:pPr>
              <w:ind w:left="40"/>
              <w:spacing w:after="0" w:line="123" w:lineRule="exact"/>
              <w:rPr>
                <w:sz w:val="20"/>
                <w:szCs w:val="20"/>
                <w:color w:val="auto"/>
              </w:rPr>
            </w:pPr>
            <w:r>
              <w:rPr>
                <w:rFonts w:ascii="Arial" w:cs="Arial" w:eastAsia="Arial" w:hAnsi="Arial"/>
                <w:sz w:val="13"/>
                <w:szCs w:val="13"/>
                <w:color w:val="231F20"/>
              </w:rPr>
              <w:t>Payment and Employee</w:t>
            </w:r>
          </w:p>
        </w:tc>
        <w:tc>
          <w:tcPr>
            <w:tcW w:w="780" w:type="dxa"/>
            <w:vAlign w:val="bottom"/>
            <w:tcBorders>
              <w:right w:val="single" w:sz="8" w:color="231F20"/>
            </w:tcBorders>
          </w:tcPr>
          <w:p>
            <w:pPr>
              <w:spacing w:after="0"/>
              <w:rPr>
                <w:sz w:val="10"/>
                <w:szCs w:val="10"/>
                <w:color w:val="auto"/>
              </w:rPr>
            </w:pPr>
          </w:p>
        </w:tc>
        <w:tc>
          <w:tcPr>
            <w:tcW w:w="880" w:type="dxa"/>
            <w:vAlign w:val="bottom"/>
            <w:tcBorders>
              <w:right w:val="single" w:sz="8" w:color="231F20"/>
            </w:tcBorders>
          </w:tcPr>
          <w:p>
            <w:pPr>
              <w:spacing w:after="0"/>
              <w:rPr>
                <w:sz w:val="10"/>
                <w:szCs w:val="10"/>
                <w:color w:val="auto"/>
              </w:rPr>
            </w:pPr>
          </w:p>
        </w:tc>
        <w:tc>
          <w:tcPr>
            <w:tcW w:w="880" w:type="dxa"/>
            <w:vAlign w:val="bottom"/>
            <w:tcBorders>
              <w:right w:val="single" w:sz="8" w:color="231F20"/>
            </w:tcBorders>
          </w:tcPr>
          <w:p>
            <w:pPr>
              <w:spacing w:after="0"/>
              <w:rPr>
                <w:sz w:val="10"/>
                <w:szCs w:val="10"/>
                <w:color w:val="auto"/>
              </w:rPr>
            </w:pPr>
          </w:p>
        </w:tc>
        <w:tc>
          <w:tcPr>
            <w:tcW w:w="860" w:type="dxa"/>
            <w:vAlign w:val="bottom"/>
            <w:tcBorders>
              <w:right w:val="single" w:sz="8" w:color="231F20"/>
            </w:tcBorders>
          </w:tcPr>
          <w:p>
            <w:pPr>
              <w:spacing w:after="0"/>
              <w:rPr>
                <w:sz w:val="10"/>
                <w:szCs w:val="10"/>
                <w:color w:val="auto"/>
              </w:rPr>
            </w:pPr>
          </w:p>
        </w:tc>
        <w:tc>
          <w:tcPr>
            <w:tcW w:w="1080" w:type="dxa"/>
            <w:vAlign w:val="bottom"/>
            <w:tcBorders>
              <w:right w:val="single" w:sz="8" w:color="231F20"/>
            </w:tcBorders>
          </w:tcPr>
          <w:p>
            <w:pPr>
              <w:spacing w:after="0"/>
              <w:rPr>
                <w:sz w:val="10"/>
                <w:szCs w:val="10"/>
                <w:color w:val="auto"/>
              </w:rPr>
            </w:pPr>
          </w:p>
        </w:tc>
        <w:tc>
          <w:tcPr>
            <w:tcW w:w="880" w:type="dxa"/>
            <w:vAlign w:val="bottom"/>
            <w:tcBorders>
              <w:right w:val="single" w:sz="8" w:color="231F20"/>
            </w:tcBorders>
          </w:tcPr>
          <w:p>
            <w:pPr>
              <w:spacing w:after="0"/>
              <w:rPr>
                <w:sz w:val="10"/>
                <w:szCs w:val="10"/>
                <w:color w:val="auto"/>
              </w:rPr>
            </w:pPr>
          </w:p>
        </w:tc>
        <w:tc>
          <w:tcPr>
            <w:tcW w:w="860" w:type="dxa"/>
            <w:vAlign w:val="bottom"/>
            <w:tcBorders>
              <w:right w:val="single" w:sz="8" w:color="231F20"/>
            </w:tcBorders>
          </w:tcPr>
          <w:p>
            <w:pPr>
              <w:spacing w:after="0"/>
              <w:rPr>
                <w:sz w:val="10"/>
                <w:szCs w:val="10"/>
                <w:color w:val="auto"/>
              </w:rPr>
            </w:pPr>
          </w:p>
        </w:tc>
        <w:tc>
          <w:tcPr>
            <w:tcW w:w="980" w:type="dxa"/>
            <w:vAlign w:val="bottom"/>
            <w:tcBorders>
              <w:right w:val="single" w:sz="8" w:color="231F20"/>
            </w:tcBorders>
          </w:tcPr>
          <w:p>
            <w:pPr>
              <w:spacing w:after="0"/>
              <w:rPr>
                <w:sz w:val="10"/>
                <w:szCs w:val="10"/>
                <w:color w:val="auto"/>
              </w:rPr>
            </w:pPr>
          </w:p>
        </w:tc>
        <w:tc>
          <w:tcPr>
            <w:tcW w:w="1180" w:type="dxa"/>
            <w:vAlign w:val="bottom"/>
            <w:tcBorders>
              <w:right w:val="single" w:sz="8" w:color="231F20"/>
            </w:tcBorders>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Borders>
              <w:right w:val="single" w:sz="8" w:color="231F20"/>
            </w:tcBorders>
          </w:tcPr>
          <w:p>
            <w:pPr>
              <w:ind w:left="40"/>
              <w:spacing w:after="0" w:line="135" w:lineRule="exact"/>
              <w:rPr>
                <w:sz w:val="20"/>
                <w:szCs w:val="20"/>
                <w:color w:val="auto"/>
              </w:rPr>
            </w:pPr>
            <w:r>
              <w:rPr>
                <w:rFonts w:ascii="Arial" w:cs="Arial" w:eastAsia="Arial" w:hAnsi="Arial"/>
                <w:sz w:val="13"/>
                <w:szCs w:val="13"/>
                <w:color w:val="231F20"/>
              </w:rPr>
              <w:t>Savings Plans (“</w:t>
            </w:r>
            <w:r>
              <w:rPr>
                <w:rFonts w:ascii="Arial" w:cs="Arial" w:eastAsia="Arial" w:hAnsi="Arial"/>
                <w:sz w:val="13"/>
                <w:szCs w:val="13"/>
                <w:i w:val="1"/>
                <w:iCs w:val="1"/>
                <w:color w:val="231F20"/>
              </w:rPr>
              <w:t>Plans</w:t>
            </w:r>
          </w:p>
        </w:tc>
        <w:tc>
          <w:tcPr>
            <w:tcW w:w="780" w:type="dxa"/>
            <w:vAlign w:val="bottom"/>
            <w:tcBorders>
              <w:right w:val="single" w:sz="8" w:color="231F20"/>
            </w:tcBorders>
          </w:tcPr>
          <w:p>
            <w:pPr>
              <w:spacing w:after="0"/>
              <w:rPr>
                <w:sz w:val="11"/>
                <w:szCs w:val="11"/>
                <w:color w:val="auto"/>
              </w:rPr>
            </w:pPr>
          </w:p>
        </w:tc>
        <w:tc>
          <w:tcPr>
            <w:tcW w:w="880" w:type="dxa"/>
            <w:vAlign w:val="bottom"/>
            <w:tcBorders>
              <w:right w:val="single" w:sz="8" w:color="231F20"/>
            </w:tcBorders>
          </w:tcPr>
          <w:p>
            <w:pPr>
              <w:spacing w:after="0"/>
              <w:rPr>
                <w:sz w:val="11"/>
                <w:szCs w:val="11"/>
                <w:color w:val="auto"/>
              </w:rPr>
            </w:pPr>
          </w:p>
        </w:tc>
        <w:tc>
          <w:tcPr>
            <w:tcW w:w="880" w:type="dxa"/>
            <w:vAlign w:val="bottom"/>
            <w:tcBorders>
              <w:right w:val="single" w:sz="8" w:color="231F20"/>
            </w:tcBorders>
          </w:tcPr>
          <w:p>
            <w:pPr>
              <w:spacing w:after="0"/>
              <w:rPr>
                <w:sz w:val="11"/>
                <w:szCs w:val="11"/>
                <w:color w:val="auto"/>
              </w:rPr>
            </w:pPr>
          </w:p>
        </w:tc>
        <w:tc>
          <w:tcPr>
            <w:tcW w:w="860" w:type="dxa"/>
            <w:vAlign w:val="bottom"/>
            <w:tcBorders>
              <w:right w:val="single" w:sz="8" w:color="231F20"/>
            </w:tcBorders>
          </w:tcPr>
          <w:p>
            <w:pPr>
              <w:spacing w:after="0"/>
              <w:rPr>
                <w:sz w:val="11"/>
                <w:szCs w:val="11"/>
                <w:color w:val="auto"/>
              </w:rPr>
            </w:pPr>
          </w:p>
        </w:tc>
        <w:tc>
          <w:tcPr>
            <w:tcW w:w="1080" w:type="dxa"/>
            <w:vAlign w:val="bottom"/>
            <w:tcBorders>
              <w:right w:val="single" w:sz="8" w:color="231F20"/>
            </w:tcBorders>
          </w:tcPr>
          <w:p>
            <w:pPr>
              <w:spacing w:after="0"/>
              <w:rPr>
                <w:sz w:val="11"/>
                <w:szCs w:val="11"/>
                <w:color w:val="auto"/>
              </w:rPr>
            </w:pPr>
          </w:p>
        </w:tc>
        <w:tc>
          <w:tcPr>
            <w:tcW w:w="880" w:type="dxa"/>
            <w:vAlign w:val="bottom"/>
            <w:tcBorders>
              <w:right w:val="single" w:sz="8" w:color="231F20"/>
            </w:tcBorders>
          </w:tcPr>
          <w:p>
            <w:pPr>
              <w:spacing w:after="0"/>
              <w:rPr>
                <w:sz w:val="11"/>
                <w:szCs w:val="11"/>
                <w:color w:val="auto"/>
              </w:rPr>
            </w:pPr>
          </w:p>
        </w:tc>
        <w:tc>
          <w:tcPr>
            <w:tcW w:w="860" w:type="dxa"/>
            <w:vAlign w:val="bottom"/>
            <w:tcBorders>
              <w:right w:val="single" w:sz="8" w:color="231F20"/>
            </w:tcBorders>
          </w:tcPr>
          <w:p>
            <w:pPr>
              <w:spacing w:after="0"/>
              <w:rPr>
                <w:sz w:val="11"/>
                <w:szCs w:val="11"/>
                <w:color w:val="auto"/>
              </w:rPr>
            </w:pPr>
          </w:p>
        </w:tc>
        <w:tc>
          <w:tcPr>
            <w:tcW w:w="980" w:type="dxa"/>
            <w:vAlign w:val="bottom"/>
            <w:tcBorders>
              <w:right w:val="single" w:sz="8" w:color="231F20"/>
            </w:tcBorders>
          </w:tcPr>
          <w:p>
            <w:pPr>
              <w:spacing w:after="0"/>
              <w:rPr>
                <w:sz w:val="11"/>
                <w:szCs w:val="11"/>
                <w:color w:val="auto"/>
              </w:rPr>
            </w:pPr>
          </w:p>
        </w:tc>
        <w:tc>
          <w:tcPr>
            <w:tcW w:w="1180" w:type="dxa"/>
            <w:vAlign w:val="bottom"/>
            <w:tcBorders>
              <w:right w:val="single" w:sz="8" w:color="231F20"/>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i w:val="1"/>
                <w:iCs w:val="1"/>
                <w:color w:val="231F20"/>
              </w:rPr>
              <w:t>d’Épargne Entreprise</w:t>
            </w:r>
            <w:r>
              <w:rPr>
                <w:rFonts w:ascii="Arial" w:cs="Arial" w:eastAsia="Arial" w:hAnsi="Arial"/>
                <w:sz w:val="13"/>
                <w:szCs w:val="13"/>
                <w:color w:val="231F20"/>
              </w:rPr>
              <w:t>”)</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40.0</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40.0</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40.0</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60"/>
              <w:spacing w:after="0"/>
              <w:rPr>
                <w:sz w:val="20"/>
                <w:szCs w:val="20"/>
                <w:color w:val="auto"/>
              </w:rPr>
            </w:pPr>
            <w:r>
              <w:rPr>
                <w:rFonts w:ascii="Arial" w:cs="Arial" w:eastAsia="Arial" w:hAnsi="Arial"/>
                <w:sz w:val="13"/>
                <w:szCs w:val="13"/>
                <w:color w:val="231F20"/>
              </w:rPr>
              <w:t xml:space="preserve">Other </w:t>
            </w:r>
            <w:r>
              <w:rPr>
                <w:rFonts w:ascii="Arial" w:cs="Arial" w:eastAsia="Arial" w:hAnsi="Arial"/>
                <w:sz w:val="7"/>
                <w:szCs w:val="7"/>
                <w:color w:val="231F20"/>
              </w:rPr>
              <w:t>(</w:t>
            </w:r>
            <w:r>
              <w:rPr>
                <w:rFonts w:ascii="Arial" w:cs="Arial" w:eastAsia="Arial" w:hAnsi="Arial"/>
                <w:sz w:val="13"/>
                <w:szCs w:val="13"/>
                <w:color w:val="231F20"/>
              </w:rPr>
              <w:t>*</w:t>
            </w:r>
            <w:r>
              <w:rPr>
                <w:rFonts w:ascii="Arial" w:cs="Arial" w:eastAsia="Arial" w:hAnsi="Arial"/>
                <w:sz w:val="7"/>
                <w:szCs w:val="7"/>
                <w:color w:val="231F20"/>
              </w:rPr>
              <w:t>)</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(50.3)</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1.1</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50.8</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1.6</w:t>
            </w:r>
          </w:p>
        </w:tc>
        <w:tc>
          <w:tcPr>
            <w:tcW w:w="11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(11.7)</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(10.1)</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b w:val="1"/>
                <w:bCs w:val="1"/>
                <w:color w:val="2360A6"/>
              </w:rPr>
              <w:t>As of December 31, 2014</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86.9</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1,934.8</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2,260.1</w:t>
            </w:r>
          </w:p>
        </w:tc>
        <w:tc>
          <w:tcPr>
            <w:tcW w:w="86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b w:val="1"/>
                <w:bCs w:val="1"/>
                <w:color w:val="2360A6"/>
              </w:rPr>
              <w:t>(96.9)</w:t>
            </w:r>
          </w:p>
        </w:tc>
        <w:tc>
          <w:tcPr>
            <w:tcW w:w="10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b w:val="1"/>
                <w:bCs w:val="1"/>
                <w:color w:val="2360A6"/>
              </w:rPr>
              <w:t>(19.2)</w:t>
            </w:r>
          </w:p>
        </w:tc>
        <w:tc>
          <w:tcPr>
            <w:tcW w:w="88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b w:val="1"/>
                <w:bCs w:val="1"/>
                <w:color w:val="2360A6"/>
              </w:rPr>
              <w:t>(238.9)</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436.6</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4,363.4</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11.8</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4,375.2</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Net Income 2015</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45.1</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45.1</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11.1</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56.2</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80" w:type="dxa"/>
            <w:vAlign w:val="bottom"/>
            <w:tcBorders>
              <w:right w:val="single" w:sz="8" w:color="231F20"/>
            </w:tcBorders>
          </w:tcPr>
          <w:p>
            <w:pPr>
              <w:ind w:left="40"/>
              <w:spacing w:after="0"/>
              <w:rPr>
                <w:sz w:val="20"/>
                <w:szCs w:val="20"/>
                <w:color w:val="auto"/>
              </w:rPr>
            </w:pPr>
            <w:r>
              <w:rPr>
                <w:rFonts w:ascii="Arial" w:cs="Arial" w:eastAsia="Arial" w:hAnsi="Arial"/>
                <w:sz w:val="13"/>
                <w:szCs w:val="13"/>
                <w:color w:val="231F20"/>
              </w:rPr>
              <w:t>Other Comprehensive</w:t>
            </w:r>
          </w:p>
        </w:tc>
        <w:tc>
          <w:tcPr>
            <w:tcW w:w="7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10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980" w:type="dxa"/>
            <w:vAlign w:val="bottom"/>
            <w:tcBorders>
              <w:right w:val="single" w:sz="8" w:color="231F20"/>
            </w:tcBorders>
          </w:tcPr>
          <w:p>
            <w:pPr>
              <w:spacing w:after="0"/>
              <w:rPr>
                <w:sz w:val="13"/>
                <w:szCs w:val="13"/>
                <w:color w:val="auto"/>
              </w:rPr>
            </w:pPr>
          </w:p>
        </w:tc>
        <w:tc>
          <w:tcPr>
            <w:tcW w:w="1180" w:type="dxa"/>
            <w:vAlign w:val="bottom"/>
            <w:tcBorders>
              <w:right w:val="single" w:sz="8" w:color="231F20"/>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Income</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123.0</w:t>
            </w:r>
          </w:p>
        </w:tc>
        <w:tc>
          <w:tcPr>
            <w:tcW w:w="88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color w:val="231F20"/>
              </w:rPr>
              <w:t>(48.7)</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74.3</w:t>
            </w:r>
          </w:p>
        </w:tc>
        <w:tc>
          <w:tcPr>
            <w:tcW w:w="11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(12.6)</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61.7</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80" w:type="dxa"/>
            <w:vAlign w:val="bottom"/>
            <w:tcBorders>
              <w:right w:val="single" w:sz="8" w:color="231F20"/>
            </w:tcBorders>
          </w:tcPr>
          <w:p>
            <w:pPr>
              <w:ind w:left="40"/>
              <w:spacing w:after="0" w:line="140" w:lineRule="exact"/>
              <w:rPr>
                <w:sz w:val="20"/>
                <w:szCs w:val="20"/>
                <w:color w:val="auto"/>
              </w:rPr>
            </w:pPr>
            <w:r>
              <w:rPr>
                <w:rFonts w:ascii="Arial" w:cs="Arial" w:eastAsia="Arial" w:hAnsi="Arial"/>
                <w:sz w:val="13"/>
                <w:szCs w:val="13"/>
                <w:b w:val="1"/>
                <w:bCs w:val="1"/>
                <w:color w:val="2360A6"/>
              </w:rPr>
              <w:t>Comprehensive Income</w:t>
            </w:r>
          </w:p>
        </w:tc>
        <w:tc>
          <w:tcPr>
            <w:tcW w:w="780" w:type="dxa"/>
            <w:vAlign w:val="bottom"/>
            <w:tcBorders>
              <w:right w:val="single" w:sz="8" w:color="231F20"/>
            </w:tcBorders>
          </w:tcPr>
          <w:p>
            <w:pPr>
              <w:spacing w:after="0"/>
              <w:rPr>
                <w:sz w:val="12"/>
                <w:szCs w:val="12"/>
                <w:color w:val="auto"/>
              </w:rPr>
            </w:pPr>
          </w:p>
        </w:tc>
        <w:tc>
          <w:tcPr>
            <w:tcW w:w="880" w:type="dxa"/>
            <w:vAlign w:val="bottom"/>
            <w:tcBorders>
              <w:right w:val="single" w:sz="8" w:color="231F20"/>
            </w:tcBorders>
          </w:tcPr>
          <w:p>
            <w:pPr>
              <w:spacing w:after="0"/>
              <w:rPr>
                <w:sz w:val="12"/>
                <w:szCs w:val="12"/>
                <w:color w:val="auto"/>
              </w:rPr>
            </w:pPr>
          </w:p>
        </w:tc>
        <w:tc>
          <w:tcPr>
            <w:tcW w:w="880" w:type="dxa"/>
            <w:vAlign w:val="bottom"/>
            <w:tcBorders>
              <w:right w:val="single" w:sz="8" w:color="231F20"/>
            </w:tcBorders>
          </w:tcPr>
          <w:p>
            <w:pPr>
              <w:spacing w:after="0"/>
              <w:rPr>
                <w:sz w:val="12"/>
                <w:szCs w:val="12"/>
                <w:color w:val="auto"/>
              </w:rPr>
            </w:pPr>
          </w:p>
        </w:tc>
        <w:tc>
          <w:tcPr>
            <w:tcW w:w="860" w:type="dxa"/>
            <w:vAlign w:val="bottom"/>
            <w:tcBorders>
              <w:right w:val="single" w:sz="8" w:color="231F20"/>
            </w:tcBorders>
          </w:tcPr>
          <w:p>
            <w:pPr>
              <w:spacing w:after="0"/>
              <w:rPr>
                <w:sz w:val="12"/>
                <w:szCs w:val="12"/>
                <w:color w:val="auto"/>
              </w:rPr>
            </w:pPr>
          </w:p>
        </w:tc>
        <w:tc>
          <w:tcPr>
            <w:tcW w:w="1080" w:type="dxa"/>
            <w:vAlign w:val="bottom"/>
            <w:tcBorders>
              <w:right w:val="single" w:sz="8" w:color="231F20"/>
            </w:tcBorders>
          </w:tcPr>
          <w:p>
            <w:pPr>
              <w:spacing w:after="0"/>
              <w:rPr>
                <w:sz w:val="12"/>
                <w:szCs w:val="12"/>
                <w:color w:val="auto"/>
              </w:rPr>
            </w:pPr>
          </w:p>
        </w:tc>
        <w:tc>
          <w:tcPr>
            <w:tcW w:w="880" w:type="dxa"/>
            <w:vAlign w:val="bottom"/>
            <w:tcBorders>
              <w:right w:val="single" w:sz="8" w:color="231F20"/>
            </w:tcBorders>
          </w:tcPr>
          <w:p>
            <w:pPr>
              <w:spacing w:after="0"/>
              <w:rPr>
                <w:sz w:val="12"/>
                <w:szCs w:val="12"/>
                <w:color w:val="auto"/>
              </w:rPr>
            </w:pPr>
          </w:p>
        </w:tc>
        <w:tc>
          <w:tcPr>
            <w:tcW w:w="860" w:type="dxa"/>
            <w:vAlign w:val="bottom"/>
            <w:tcBorders>
              <w:right w:val="single" w:sz="8" w:color="231F20"/>
            </w:tcBorders>
          </w:tcPr>
          <w:p>
            <w:pPr>
              <w:spacing w:after="0"/>
              <w:rPr>
                <w:sz w:val="12"/>
                <w:szCs w:val="12"/>
                <w:color w:val="auto"/>
              </w:rPr>
            </w:pPr>
          </w:p>
        </w:tc>
        <w:tc>
          <w:tcPr>
            <w:tcW w:w="980" w:type="dxa"/>
            <w:vAlign w:val="bottom"/>
            <w:tcBorders>
              <w:right w:val="single" w:sz="8" w:color="231F20"/>
            </w:tcBorders>
          </w:tcPr>
          <w:p>
            <w:pPr>
              <w:spacing w:after="0"/>
              <w:rPr>
                <w:sz w:val="12"/>
                <w:szCs w:val="12"/>
                <w:color w:val="auto"/>
              </w:rPr>
            </w:pPr>
          </w:p>
        </w:tc>
        <w:tc>
          <w:tcPr>
            <w:tcW w:w="1180" w:type="dxa"/>
            <w:vAlign w:val="bottom"/>
            <w:tcBorders>
              <w:right w:val="single" w:sz="8" w:color="231F20"/>
            </w:tcBorders>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b w:val="1"/>
                <w:bCs w:val="1"/>
                <w:color w:val="2360A6"/>
              </w:rPr>
              <w:t>2015</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123.0</w:t>
            </w:r>
          </w:p>
        </w:tc>
        <w:tc>
          <w:tcPr>
            <w:tcW w:w="88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b w:val="1"/>
                <w:bCs w:val="1"/>
                <w:color w:val="2360A6"/>
              </w:rPr>
              <w:t>(48.7)</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45.1</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119.4</w:t>
            </w:r>
          </w:p>
        </w:tc>
        <w:tc>
          <w:tcPr>
            <w:tcW w:w="11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b w:val="1"/>
                <w:bCs w:val="1"/>
                <w:color w:val="2360A6"/>
              </w:rPr>
              <w:t>(1.5)</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117.9</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Capital Increase</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3.9</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227.3</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231.2</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231.2</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80" w:type="dxa"/>
            <w:vAlign w:val="bottom"/>
            <w:tcBorders>
              <w:right w:val="single" w:sz="8" w:color="231F20"/>
            </w:tcBorders>
          </w:tcPr>
          <w:p>
            <w:pPr>
              <w:ind w:left="40"/>
              <w:spacing w:after="0"/>
              <w:rPr>
                <w:sz w:val="20"/>
                <w:szCs w:val="20"/>
                <w:color w:val="auto"/>
              </w:rPr>
            </w:pPr>
            <w:r>
              <w:rPr>
                <w:rFonts w:ascii="Arial" w:cs="Arial" w:eastAsia="Arial" w:hAnsi="Arial"/>
                <w:sz w:val="13"/>
                <w:szCs w:val="13"/>
                <w:color w:val="231F20"/>
                <w:w w:val="98"/>
              </w:rPr>
              <w:t>Appropriation of Net Income</w:t>
            </w:r>
          </w:p>
        </w:tc>
        <w:tc>
          <w:tcPr>
            <w:tcW w:w="7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10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980" w:type="dxa"/>
            <w:vAlign w:val="bottom"/>
            <w:tcBorders>
              <w:right w:val="single" w:sz="8" w:color="231F20"/>
            </w:tcBorders>
          </w:tcPr>
          <w:p>
            <w:pPr>
              <w:spacing w:after="0"/>
              <w:rPr>
                <w:sz w:val="13"/>
                <w:szCs w:val="13"/>
                <w:color w:val="auto"/>
              </w:rPr>
            </w:pPr>
          </w:p>
        </w:tc>
        <w:tc>
          <w:tcPr>
            <w:tcW w:w="1180" w:type="dxa"/>
            <w:vAlign w:val="bottom"/>
            <w:tcBorders>
              <w:right w:val="single" w:sz="8" w:color="231F20"/>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2014</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436.6</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(436.6)</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Dividends</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(225.8)</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color w:val="231F20"/>
              </w:rPr>
              <w:t>(225.8)</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(225.8)</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Treasury Shares</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(35.6)</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41.7</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6.1</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6.1</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80" w:type="dxa"/>
            <w:vAlign w:val="bottom"/>
            <w:tcBorders>
              <w:right w:val="single" w:sz="8" w:color="231F20"/>
            </w:tcBorders>
          </w:tcPr>
          <w:p>
            <w:pPr>
              <w:ind w:left="40"/>
              <w:spacing w:after="0"/>
              <w:rPr>
                <w:sz w:val="20"/>
                <w:szCs w:val="20"/>
                <w:color w:val="auto"/>
              </w:rPr>
            </w:pPr>
            <w:r>
              <w:rPr>
                <w:rFonts w:ascii="Arial" w:cs="Arial" w:eastAsia="Arial" w:hAnsi="Arial"/>
                <w:sz w:val="13"/>
                <w:szCs w:val="13"/>
                <w:color w:val="231F20"/>
              </w:rPr>
              <w:t>Valuation of Share-based</w:t>
            </w:r>
          </w:p>
        </w:tc>
        <w:tc>
          <w:tcPr>
            <w:tcW w:w="7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10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980" w:type="dxa"/>
            <w:vAlign w:val="bottom"/>
            <w:tcBorders>
              <w:right w:val="single" w:sz="8" w:color="231F20"/>
            </w:tcBorders>
          </w:tcPr>
          <w:p>
            <w:pPr>
              <w:spacing w:after="0"/>
              <w:rPr>
                <w:sz w:val="13"/>
                <w:szCs w:val="13"/>
                <w:color w:val="auto"/>
              </w:rPr>
            </w:pPr>
          </w:p>
        </w:tc>
        <w:tc>
          <w:tcPr>
            <w:tcW w:w="1180" w:type="dxa"/>
            <w:vAlign w:val="bottom"/>
            <w:tcBorders>
              <w:right w:val="single" w:sz="8" w:color="231F20"/>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680" w:type="dxa"/>
            <w:vAlign w:val="bottom"/>
            <w:tcBorders>
              <w:right w:val="single" w:sz="8" w:color="231F20"/>
            </w:tcBorders>
          </w:tcPr>
          <w:p>
            <w:pPr>
              <w:ind w:left="40"/>
              <w:spacing w:after="0" w:line="123" w:lineRule="exact"/>
              <w:rPr>
                <w:sz w:val="20"/>
                <w:szCs w:val="20"/>
                <w:color w:val="auto"/>
              </w:rPr>
            </w:pPr>
            <w:r>
              <w:rPr>
                <w:rFonts w:ascii="Arial" w:cs="Arial" w:eastAsia="Arial" w:hAnsi="Arial"/>
                <w:sz w:val="13"/>
                <w:szCs w:val="13"/>
                <w:color w:val="231F20"/>
              </w:rPr>
              <w:t>Payment and Employee</w:t>
            </w:r>
          </w:p>
        </w:tc>
        <w:tc>
          <w:tcPr>
            <w:tcW w:w="780" w:type="dxa"/>
            <w:vAlign w:val="bottom"/>
            <w:tcBorders>
              <w:right w:val="single" w:sz="8" w:color="231F20"/>
            </w:tcBorders>
          </w:tcPr>
          <w:p>
            <w:pPr>
              <w:spacing w:after="0"/>
              <w:rPr>
                <w:sz w:val="10"/>
                <w:szCs w:val="10"/>
                <w:color w:val="auto"/>
              </w:rPr>
            </w:pPr>
          </w:p>
        </w:tc>
        <w:tc>
          <w:tcPr>
            <w:tcW w:w="880" w:type="dxa"/>
            <w:vAlign w:val="bottom"/>
            <w:tcBorders>
              <w:right w:val="single" w:sz="8" w:color="231F20"/>
            </w:tcBorders>
          </w:tcPr>
          <w:p>
            <w:pPr>
              <w:spacing w:after="0"/>
              <w:rPr>
                <w:sz w:val="10"/>
                <w:szCs w:val="10"/>
                <w:color w:val="auto"/>
              </w:rPr>
            </w:pPr>
          </w:p>
        </w:tc>
        <w:tc>
          <w:tcPr>
            <w:tcW w:w="880" w:type="dxa"/>
            <w:vAlign w:val="bottom"/>
            <w:tcBorders>
              <w:right w:val="single" w:sz="8" w:color="231F20"/>
            </w:tcBorders>
          </w:tcPr>
          <w:p>
            <w:pPr>
              <w:spacing w:after="0"/>
              <w:rPr>
                <w:sz w:val="10"/>
                <w:szCs w:val="10"/>
                <w:color w:val="auto"/>
              </w:rPr>
            </w:pPr>
          </w:p>
        </w:tc>
        <w:tc>
          <w:tcPr>
            <w:tcW w:w="860" w:type="dxa"/>
            <w:vAlign w:val="bottom"/>
            <w:tcBorders>
              <w:right w:val="single" w:sz="8" w:color="231F20"/>
            </w:tcBorders>
          </w:tcPr>
          <w:p>
            <w:pPr>
              <w:spacing w:after="0"/>
              <w:rPr>
                <w:sz w:val="10"/>
                <w:szCs w:val="10"/>
                <w:color w:val="auto"/>
              </w:rPr>
            </w:pPr>
          </w:p>
        </w:tc>
        <w:tc>
          <w:tcPr>
            <w:tcW w:w="1080" w:type="dxa"/>
            <w:vAlign w:val="bottom"/>
            <w:tcBorders>
              <w:right w:val="single" w:sz="8" w:color="231F20"/>
            </w:tcBorders>
          </w:tcPr>
          <w:p>
            <w:pPr>
              <w:spacing w:after="0"/>
              <w:rPr>
                <w:sz w:val="10"/>
                <w:szCs w:val="10"/>
                <w:color w:val="auto"/>
              </w:rPr>
            </w:pPr>
          </w:p>
        </w:tc>
        <w:tc>
          <w:tcPr>
            <w:tcW w:w="880" w:type="dxa"/>
            <w:vAlign w:val="bottom"/>
            <w:tcBorders>
              <w:right w:val="single" w:sz="8" w:color="231F20"/>
            </w:tcBorders>
          </w:tcPr>
          <w:p>
            <w:pPr>
              <w:spacing w:after="0"/>
              <w:rPr>
                <w:sz w:val="10"/>
                <w:szCs w:val="10"/>
                <w:color w:val="auto"/>
              </w:rPr>
            </w:pPr>
          </w:p>
        </w:tc>
        <w:tc>
          <w:tcPr>
            <w:tcW w:w="860" w:type="dxa"/>
            <w:vAlign w:val="bottom"/>
            <w:tcBorders>
              <w:right w:val="single" w:sz="8" w:color="231F20"/>
            </w:tcBorders>
          </w:tcPr>
          <w:p>
            <w:pPr>
              <w:spacing w:after="0"/>
              <w:rPr>
                <w:sz w:val="10"/>
                <w:szCs w:val="10"/>
                <w:color w:val="auto"/>
              </w:rPr>
            </w:pPr>
          </w:p>
        </w:tc>
        <w:tc>
          <w:tcPr>
            <w:tcW w:w="980" w:type="dxa"/>
            <w:vAlign w:val="bottom"/>
            <w:tcBorders>
              <w:right w:val="single" w:sz="8" w:color="231F20"/>
            </w:tcBorders>
          </w:tcPr>
          <w:p>
            <w:pPr>
              <w:spacing w:after="0"/>
              <w:rPr>
                <w:sz w:val="10"/>
                <w:szCs w:val="10"/>
                <w:color w:val="auto"/>
              </w:rPr>
            </w:pPr>
          </w:p>
        </w:tc>
        <w:tc>
          <w:tcPr>
            <w:tcW w:w="1180" w:type="dxa"/>
            <w:vAlign w:val="bottom"/>
            <w:tcBorders>
              <w:right w:val="single" w:sz="8" w:color="231F20"/>
            </w:tcBorders>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Borders>
              <w:right w:val="single" w:sz="8" w:color="231F20"/>
            </w:tcBorders>
          </w:tcPr>
          <w:p>
            <w:pPr>
              <w:ind w:left="40"/>
              <w:spacing w:after="0" w:line="135" w:lineRule="exact"/>
              <w:rPr>
                <w:sz w:val="20"/>
                <w:szCs w:val="20"/>
                <w:color w:val="auto"/>
              </w:rPr>
            </w:pPr>
            <w:r>
              <w:rPr>
                <w:rFonts w:ascii="Arial" w:cs="Arial" w:eastAsia="Arial" w:hAnsi="Arial"/>
                <w:sz w:val="13"/>
                <w:szCs w:val="13"/>
                <w:color w:val="231F20"/>
              </w:rPr>
              <w:t>Savings Plans (“</w:t>
            </w:r>
            <w:r>
              <w:rPr>
                <w:rFonts w:ascii="Arial" w:cs="Arial" w:eastAsia="Arial" w:hAnsi="Arial"/>
                <w:sz w:val="13"/>
                <w:szCs w:val="13"/>
                <w:i w:val="1"/>
                <w:iCs w:val="1"/>
                <w:color w:val="231F20"/>
              </w:rPr>
              <w:t>Plans</w:t>
            </w:r>
          </w:p>
        </w:tc>
        <w:tc>
          <w:tcPr>
            <w:tcW w:w="780" w:type="dxa"/>
            <w:vAlign w:val="bottom"/>
            <w:tcBorders>
              <w:right w:val="single" w:sz="8" w:color="231F20"/>
            </w:tcBorders>
          </w:tcPr>
          <w:p>
            <w:pPr>
              <w:spacing w:after="0"/>
              <w:rPr>
                <w:sz w:val="11"/>
                <w:szCs w:val="11"/>
                <w:color w:val="auto"/>
              </w:rPr>
            </w:pPr>
          </w:p>
        </w:tc>
        <w:tc>
          <w:tcPr>
            <w:tcW w:w="880" w:type="dxa"/>
            <w:vAlign w:val="bottom"/>
            <w:tcBorders>
              <w:right w:val="single" w:sz="8" w:color="231F20"/>
            </w:tcBorders>
          </w:tcPr>
          <w:p>
            <w:pPr>
              <w:spacing w:after="0"/>
              <w:rPr>
                <w:sz w:val="11"/>
                <w:szCs w:val="11"/>
                <w:color w:val="auto"/>
              </w:rPr>
            </w:pPr>
          </w:p>
        </w:tc>
        <w:tc>
          <w:tcPr>
            <w:tcW w:w="880" w:type="dxa"/>
            <w:vAlign w:val="bottom"/>
            <w:tcBorders>
              <w:right w:val="single" w:sz="8" w:color="231F20"/>
            </w:tcBorders>
          </w:tcPr>
          <w:p>
            <w:pPr>
              <w:spacing w:after="0"/>
              <w:rPr>
                <w:sz w:val="11"/>
                <w:szCs w:val="11"/>
                <w:color w:val="auto"/>
              </w:rPr>
            </w:pPr>
          </w:p>
        </w:tc>
        <w:tc>
          <w:tcPr>
            <w:tcW w:w="860" w:type="dxa"/>
            <w:vAlign w:val="bottom"/>
            <w:tcBorders>
              <w:right w:val="single" w:sz="8" w:color="231F20"/>
            </w:tcBorders>
          </w:tcPr>
          <w:p>
            <w:pPr>
              <w:spacing w:after="0"/>
              <w:rPr>
                <w:sz w:val="11"/>
                <w:szCs w:val="11"/>
                <w:color w:val="auto"/>
              </w:rPr>
            </w:pPr>
          </w:p>
        </w:tc>
        <w:tc>
          <w:tcPr>
            <w:tcW w:w="1080" w:type="dxa"/>
            <w:vAlign w:val="bottom"/>
            <w:tcBorders>
              <w:right w:val="single" w:sz="8" w:color="231F20"/>
            </w:tcBorders>
          </w:tcPr>
          <w:p>
            <w:pPr>
              <w:spacing w:after="0"/>
              <w:rPr>
                <w:sz w:val="11"/>
                <w:szCs w:val="11"/>
                <w:color w:val="auto"/>
              </w:rPr>
            </w:pPr>
          </w:p>
        </w:tc>
        <w:tc>
          <w:tcPr>
            <w:tcW w:w="880" w:type="dxa"/>
            <w:vAlign w:val="bottom"/>
            <w:tcBorders>
              <w:right w:val="single" w:sz="8" w:color="231F20"/>
            </w:tcBorders>
          </w:tcPr>
          <w:p>
            <w:pPr>
              <w:spacing w:after="0"/>
              <w:rPr>
                <w:sz w:val="11"/>
                <w:szCs w:val="11"/>
                <w:color w:val="auto"/>
              </w:rPr>
            </w:pPr>
          </w:p>
        </w:tc>
        <w:tc>
          <w:tcPr>
            <w:tcW w:w="860" w:type="dxa"/>
            <w:vAlign w:val="bottom"/>
            <w:tcBorders>
              <w:right w:val="single" w:sz="8" w:color="231F20"/>
            </w:tcBorders>
          </w:tcPr>
          <w:p>
            <w:pPr>
              <w:spacing w:after="0"/>
              <w:rPr>
                <w:sz w:val="11"/>
                <w:szCs w:val="11"/>
                <w:color w:val="auto"/>
              </w:rPr>
            </w:pPr>
          </w:p>
        </w:tc>
        <w:tc>
          <w:tcPr>
            <w:tcW w:w="980" w:type="dxa"/>
            <w:vAlign w:val="bottom"/>
            <w:tcBorders>
              <w:right w:val="single" w:sz="8" w:color="231F20"/>
            </w:tcBorders>
          </w:tcPr>
          <w:p>
            <w:pPr>
              <w:spacing w:after="0"/>
              <w:rPr>
                <w:sz w:val="11"/>
                <w:szCs w:val="11"/>
                <w:color w:val="auto"/>
              </w:rPr>
            </w:pPr>
          </w:p>
        </w:tc>
        <w:tc>
          <w:tcPr>
            <w:tcW w:w="1180" w:type="dxa"/>
            <w:vAlign w:val="bottom"/>
            <w:tcBorders>
              <w:right w:val="single" w:sz="8" w:color="231F20"/>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i w:val="1"/>
                <w:iCs w:val="1"/>
                <w:color w:val="231F20"/>
              </w:rPr>
              <w:t>d’Épargne Entreprise</w:t>
            </w:r>
            <w:r>
              <w:rPr>
                <w:rFonts w:ascii="Arial" w:cs="Arial" w:eastAsia="Arial" w:hAnsi="Arial"/>
                <w:sz w:val="13"/>
                <w:szCs w:val="13"/>
                <w:color w:val="231F20"/>
              </w:rPr>
              <w:t>”)</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40.5</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40.5</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40.5</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60"/>
              <w:spacing w:after="0"/>
              <w:rPr>
                <w:sz w:val="20"/>
                <w:szCs w:val="20"/>
                <w:color w:val="auto"/>
              </w:rPr>
            </w:pPr>
            <w:r>
              <w:rPr>
                <w:rFonts w:ascii="Arial" w:cs="Arial" w:eastAsia="Arial" w:hAnsi="Arial"/>
                <w:sz w:val="13"/>
                <w:szCs w:val="13"/>
                <w:color w:val="231F20"/>
              </w:rPr>
              <w:t xml:space="preserve">Other </w:t>
            </w:r>
            <w:r>
              <w:rPr>
                <w:rFonts w:ascii="Arial" w:cs="Arial" w:eastAsia="Arial" w:hAnsi="Arial"/>
                <w:sz w:val="7"/>
                <w:szCs w:val="7"/>
                <w:color w:val="231F20"/>
              </w:rPr>
              <w:t>(</w:t>
            </w:r>
            <w:r>
              <w:rPr>
                <w:rFonts w:ascii="Arial" w:cs="Arial" w:eastAsia="Arial" w:hAnsi="Arial"/>
                <w:sz w:val="13"/>
                <w:szCs w:val="13"/>
                <w:color w:val="231F20"/>
              </w:rPr>
              <w:t>*</w:t>
            </w:r>
            <w:r>
              <w:rPr>
                <w:rFonts w:ascii="Arial" w:cs="Arial" w:eastAsia="Arial" w:hAnsi="Arial"/>
                <w:sz w:val="7"/>
                <w:szCs w:val="7"/>
                <w:color w:val="231F20"/>
              </w:rPr>
              <w:t>)</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1.6</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1.6</w:t>
            </w:r>
          </w:p>
        </w:tc>
        <w:tc>
          <w:tcPr>
            <w:tcW w:w="11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(1.8)</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(0.2)</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b w:val="1"/>
                <w:bCs w:val="1"/>
                <w:color w:val="2360A6"/>
              </w:rPr>
              <w:t>As of December 31, 2015</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90.8</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2,162.1</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2,477.4</w:t>
            </w:r>
          </w:p>
        </w:tc>
        <w:tc>
          <w:tcPr>
            <w:tcW w:w="86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b w:val="1"/>
                <w:bCs w:val="1"/>
                <w:color w:val="2360A6"/>
              </w:rPr>
              <w:t>(55.2)</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103.8</w:t>
            </w:r>
          </w:p>
        </w:tc>
        <w:tc>
          <w:tcPr>
            <w:tcW w:w="88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b w:val="1"/>
                <w:bCs w:val="1"/>
                <w:color w:val="2360A6"/>
              </w:rPr>
              <w:t>(287.6)</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45.1</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4,536.4</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8.5</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4,544.9</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Net Income 2016</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281.3</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281.3</w:t>
            </w:r>
          </w:p>
        </w:tc>
        <w:tc>
          <w:tcPr>
            <w:tcW w:w="11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(31.2)</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250.1</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80" w:type="dxa"/>
            <w:vAlign w:val="bottom"/>
            <w:tcBorders>
              <w:right w:val="single" w:sz="8" w:color="231F20"/>
            </w:tcBorders>
          </w:tcPr>
          <w:p>
            <w:pPr>
              <w:ind w:left="40"/>
              <w:spacing w:after="0"/>
              <w:rPr>
                <w:sz w:val="20"/>
                <w:szCs w:val="20"/>
                <w:color w:val="auto"/>
              </w:rPr>
            </w:pPr>
            <w:r>
              <w:rPr>
                <w:rFonts w:ascii="Arial" w:cs="Arial" w:eastAsia="Arial" w:hAnsi="Arial"/>
                <w:sz w:val="13"/>
                <w:szCs w:val="13"/>
                <w:color w:val="231F20"/>
              </w:rPr>
              <w:t>Other Comprehensive</w:t>
            </w:r>
          </w:p>
        </w:tc>
        <w:tc>
          <w:tcPr>
            <w:tcW w:w="7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10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980" w:type="dxa"/>
            <w:vAlign w:val="bottom"/>
            <w:tcBorders>
              <w:right w:val="single" w:sz="8" w:color="231F20"/>
            </w:tcBorders>
          </w:tcPr>
          <w:p>
            <w:pPr>
              <w:spacing w:after="0"/>
              <w:rPr>
                <w:sz w:val="13"/>
                <w:szCs w:val="13"/>
                <w:color w:val="auto"/>
              </w:rPr>
            </w:pPr>
          </w:p>
        </w:tc>
        <w:tc>
          <w:tcPr>
            <w:tcW w:w="1180" w:type="dxa"/>
            <w:vAlign w:val="bottom"/>
            <w:tcBorders>
              <w:right w:val="single" w:sz="8" w:color="231F20"/>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Income</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95.2</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133.2</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228.4</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11.6</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240.0</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80" w:type="dxa"/>
            <w:vAlign w:val="bottom"/>
            <w:tcBorders>
              <w:right w:val="single" w:sz="8" w:color="231F20"/>
            </w:tcBorders>
          </w:tcPr>
          <w:p>
            <w:pPr>
              <w:ind w:left="40"/>
              <w:spacing w:after="0" w:line="140" w:lineRule="exact"/>
              <w:rPr>
                <w:sz w:val="20"/>
                <w:szCs w:val="20"/>
                <w:color w:val="auto"/>
              </w:rPr>
            </w:pPr>
            <w:r>
              <w:rPr>
                <w:rFonts w:ascii="Arial" w:cs="Arial" w:eastAsia="Arial" w:hAnsi="Arial"/>
                <w:sz w:val="13"/>
                <w:szCs w:val="13"/>
                <w:b w:val="1"/>
                <w:bCs w:val="1"/>
                <w:color w:val="2360A6"/>
              </w:rPr>
              <w:t>Comprehensive Income</w:t>
            </w:r>
          </w:p>
        </w:tc>
        <w:tc>
          <w:tcPr>
            <w:tcW w:w="780" w:type="dxa"/>
            <w:vAlign w:val="bottom"/>
            <w:tcBorders>
              <w:right w:val="single" w:sz="8" w:color="231F20"/>
            </w:tcBorders>
          </w:tcPr>
          <w:p>
            <w:pPr>
              <w:spacing w:after="0"/>
              <w:rPr>
                <w:sz w:val="12"/>
                <w:szCs w:val="12"/>
                <w:color w:val="auto"/>
              </w:rPr>
            </w:pPr>
          </w:p>
        </w:tc>
        <w:tc>
          <w:tcPr>
            <w:tcW w:w="880" w:type="dxa"/>
            <w:vAlign w:val="bottom"/>
            <w:tcBorders>
              <w:right w:val="single" w:sz="8" w:color="231F20"/>
            </w:tcBorders>
          </w:tcPr>
          <w:p>
            <w:pPr>
              <w:spacing w:after="0"/>
              <w:rPr>
                <w:sz w:val="12"/>
                <w:szCs w:val="12"/>
                <w:color w:val="auto"/>
              </w:rPr>
            </w:pPr>
          </w:p>
        </w:tc>
        <w:tc>
          <w:tcPr>
            <w:tcW w:w="880" w:type="dxa"/>
            <w:vAlign w:val="bottom"/>
            <w:tcBorders>
              <w:right w:val="single" w:sz="8" w:color="231F20"/>
            </w:tcBorders>
          </w:tcPr>
          <w:p>
            <w:pPr>
              <w:spacing w:after="0"/>
              <w:rPr>
                <w:sz w:val="12"/>
                <w:szCs w:val="12"/>
                <w:color w:val="auto"/>
              </w:rPr>
            </w:pPr>
          </w:p>
        </w:tc>
        <w:tc>
          <w:tcPr>
            <w:tcW w:w="860" w:type="dxa"/>
            <w:vAlign w:val="bottom"/>
            <w:tcBorders>
              <w:right w:val="single" w:sz="8" w:color="231F20"/>
            </w:tcBorders>
          </w:tcPr>
          <w:p>
            <w:pPr>
              <w:spacing w:after="0"/>
              <w:rPr>
                <w:sz w:val="12"/>
                <w:szCs w:val="12"/>
                <w:color w:val="auto"/>
              </w:rPr>
            </w:pPr>
          </w:p>
        </w:tc>
        <w:tc>
          <w:tcPr>
            <w:tcW w:w="1080" w:type="dxa"/>
            <w:vAlign w:val="bottom"/>
            <w:tcBorders>
              <w:right w:val="single" w:sz="8" w:color="231F20"/>
            </w:tcBorders>
          </w:tcPr>
          <w:p>
            <w:pPr>
              <w:spacing w:after="0"/>
              <w:rPr>
                <w:sz w:val="12"/>
                <w:szCs w:val="12"/>
                <w:color w:val="auto"/>
              </w:rPr>
            </w:pPr>
          </w:p>
        </w:tc>
        <w:tc>
          <w:tcPr>
            <w:tcW w:w="880" w:type="dxa"/>
            <w:vAlign w:val="bottom"/>
            <w:tcBorders>
              <w:right w:val="single" w:sz="8" w:color="231F20"/>
            </w:tcBorders>
          </w:tcPr>
          <w:p>
            <w:pPr>
              <w:spacing w:after="0"/>
              <w:rPr>
                <w:sz w:val="12"/>
                <w:szCs w:val="12"/>
                <w:color w:val="auto"/>
              </w:rPr>
            </w:pPr>
          </w:p>
        </w:tc>
        <w:tc>
          <w:tcPr>
            <w:tcW w:w="860" w:type="dxa"/>
            <w:vAlign w:val="bottom"/>
            <w:tcBorders>
              <w:right w:val="single" w:sz="8" w:color="231F20"/>
            </w:tcBorders>
          </w:tcPr>
          <w:p>
            <w:pPr>
              <w:spacing w:after="0"/>
              <w:rPr>
                <w:sz w:val="12"/>
                <w:szCs w:val="12"/>
                <w:color w:val="auto"/>
              </w:rPr>
            </w:pPr>
          </w:p>
        </w:tc>
        <w:tc>
          <w:tcPr>
            <w:tcW w:w="980" w:type="dxa"/>
            <w:vAlign w:val="bottom"/>
            <w:tcBorders>
              <w:right w:val="single" w:sz="8" w:color="231F20"/>
            </w:tcBorders>
          </w:tcPr>
          <w:p>
            <w:pPr>
              <w:spacing w:after="0"/>
              <w:rPr>
                <w:sz w:val="12"/>
                <w:szCs w:val="12"/>
                <w:color w:val="auto"/>
              </w:rPr>
            </w:pPr>
          </w:p>
        </w:tc>
        <w:tc>
          <w:tcPr>
            <w:tcW w:w="1180" w:type="dxa"/>
            <w:vAlign w:val="bottom"/>
            <w:tcBorders>
              <w:right w:val="single" w:sz="8" w:color="231F20"/>
            </w:tcBorders>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b w:val="1"/>
                <w:bCs w:val="1"/>
                <w:color w:val="2360A6"/>
              </w:rPr>
              <w:t>2016</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95.2</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133.2</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281.3</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509.7</w:t>
            </w:r>
          </w:p>
        </w:tc>
        <w:tc>
          <w:tcPr>
            <w:tcW w:w="11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b w:val="1"/>
                <w:bCs w:val="1"/>
                <w:color w:val="2360A6"/>
              </w:rPr>
              <w:t>(19.6)</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490.1</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Net Capital Increase</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0.1</w:t>
            </w:r>
          </w:p>
        </w:tc>
        <w:tc>
          <w:tcPr>
            <w:tcW w:w="88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color w:val="231F20"/>
              </w:rPr>
              <w:t>(25.5)</w:t>
            </w:r>
          </w:p>
        </w:tc>
        <w:tc>
          <w:tcPr>
            <w:tcW w:w="8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(6.1)</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color w:val="231F20"/>
              </w:rPr>
              <w:t>(31.5)</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(31.5)</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80" w:type="dxa"/>
            <w:vAlign w:val="bottom"/>
            <w:tcBorders>
              <w:right w:val="single" w:sz="8" w:color="231F20"/>
            </w:tcBorders>
          </w:tcPr>
          <w:p>
            <w:pPr>
              <w:ind w:left="40"/>
              <w:spacing w:after="0"/>
              <w:rPr>
                <w:sz w:val="20"/>
                <w:szCs w:val="20"/>
                <w:color w:val="auto"/>
              </w:rPr>
            </w:pPr>
            <w:r>
              <w:rPr>
                <w:rFonts w:ascii="Arial" w:cs="Arial" w:eastAsia="Arial" w:hAnsi="Arial"/>
                <w:sz w:val="13"/>
                <w:szCs w:val="13"/>
                <w:color w:val="231F20"/>
                <w:w w:val="98"/>
              </w:rPr>
              <w:t>Appropriation of Net Income</w:t>
            </w:r>
          </w:p>
        </w:tc>
        <w:tc>
          <w:tcPr>
            <w:tcW w:w="7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10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980" w:type="dxa"/>
            <w:vAlign w:val="bottom"/>
            <w:tcBorders>
              <w:right w:val="single" w:sz="8" w:color="231F20"/>
            </w:tcBorders>
          </w:tcPr>
          <w:p>
            <w:pPr>
              <w:spacing w:after="0"/>
              <w:rPr>
                <w:sz w:val="13"/>
                <w:szCs w:val="13"/>
                <w:color w:val="auto"/>
              </w:rPr>
            </w:pPr>
          </w:p>
        </w:tc>
        <w:tc>
          <w:tcPr>
            <w:tcW w:w="1180" w:type="dxa"/>
            <w:vAlign w:val="bottom"/>
            <w:tcBorders>
              <w:right w:val="single" w:sz="8" w:color="231F20"/>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2015</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45.1</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(45.1)</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Dividends</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(236.6)</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color w:val="231F20"/>
              </w:rPr>
              <w:t>(236.6)</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(236.6)</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color w:val="231F20"/>
              </w:rPr>
              <w:t>Treasury Shares</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(28.1)</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33.1</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5.0</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5.0</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80" w:type="dxa"/>
            <w:vAlign w:val="bottom"/>
            <w:tcBorders>
              <w:right w:val="single" w:sz="8" w:color="231F20"/>
            </w:tcBorders>
          </w:tcPr>
          <w:p>
            <w:pPr>
              <w:ind w:left="40"/>
              <w:spacing w:after="0"/>
              <w:rPr>
                <w:sz w:val="20"/>
                <w:szCs w:val="20"/>
                <w:color w:val="auto"/>
              </w:rPr>
            </w:pPr>
            <w:r>
              <w:rPr>
                <w:rFonts w:ascii="Arial" w:cs="Arial" w:eastAsia="Arial" w:hAnsi="Arial"/>
                <w:sz w:val="13"/>
                <w:szCs w:val="13"/>
                <w:color w:val="231F20"/>
              </w:rPr>
              <w:t>Valuation of Share-based</w:t>
            </w:r>
          </w:p>
        </w:tc>
        <w:tc>
          <w:tcPr>
            <w:tcW w:w="7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1080" w:type="dxa"/>
            <w:vAlign w:val="bottom"/>
            <w:tcBorders>
              <w:right w:val="single" w:sz="8" w:color="231F20"/>
            </w:tcBorders>
          </w:tcPr>
          <w:p>
            <w:pPr>
              <w:spacing w:after="0"/>
              <w:rPr>
                <w:sz w:val="13"/>
                <w:szCs w:val="13"/>
                <w:color w:val="auto"/>
              </w:rPr>
            </w:pPr>
          </w:p>
        </w:tc>
        <w:tc>
          <w:tcPr>
            <w:tcW w:w="8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980" w:type="dxa"/>
            <w:vAlign w:val="bottom"/>
            <w:tcBorders>
              <w:right w:val="single" w:sz="8" w:color="231F20"/>
            </w:tcBorders>
          </w:tcPr>
          <w:p>
            <w:pPr>
              <w:spacing w:after="0"/>
              <w:rPr>
                <w:sz w:val="13"/>
                <w:szCs w:val="13"/>
                <w:color w:val="auto"/>
              </w:rPr>
            </w:pPr>
          </w:p>
        </w:tc>
        <w:tc>
          <w:tcPr>
            <w:tcW w:w="1180" w:type="dxa"/>
            <w:vAlign w:val="bottom"/>
            <w:tcBorders>
              <w:right w:val="single" w:sz="8" w:color="231F20"/>
            </w:tcBorders>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680" w:type="dxa"/>
            <w:vAlign w:val="bottom"/>
            <w:tcBorders>
              <w:right w:val="single" w:sz="8" w:color="231F20"/>
            </w:tcBorders>
          </w:tcPr>
          <w:p>
            <w:pPr>
              <w:ind w:left="40"/>
              <w:spacing w:after="0" w:line="123" w:lineRule="exact"/>
              <w:rPr>
                <w:sz w:val="20"/>
                <w:szCs w:val="20"/>
                <w:color w:val="auto"/>
              </w:rPr>
            </w:pPr>
            <w:r>
              <w:rPr>
                <w:rFonts w:ascii="Arial" w:cs="Arial" w:eastAsia="Arial" w:hAnsi="Arial"/>
                <w:sz w:val="13"/>
                <w:szCs w:val="13"/>
                <w:color w:val="231F20"/>
              </w:rPr>
              <w:t>Payment and Employee</w:t>
            </w:r>
          </w:p>
        </w:tc>
        <w:tc>
          <w:tcPr>
            <w:tcW w:w="780" w:type="dxa"/>
            <w:vAlign w:val="bottom"/>
            <w:tcBorders>
              <w:right w:val="single" w:sz="8" w:color="231F20"/>
            </w:tcBorders>
          </w:tcPr>
          <w:p>
            <w:pPr>
              <w:spacing w:after="0"/>
              <w:rPr>
                <w:sz w:val="10"/>
                <w:szCs w:val="10"/>
                <w:color w:val="auto"/>
              </w:rPr>
            </w:pPr>
          </w:p>
        </w:tc>
        <w:tc>
          <w:tcPr>
            <w:tcW w:w="880" w:type="dxa"/>
            <w:vAlign w:val="bottom"/>
            <w:tcBorders>
              <w:right w:val="single" w:sz="8" w:color="231F20"/>
            </w:tcBorders>
          </w:tcPr>
          <w:p>
            <w:pPr>
              <w:spacing w:after="0"/>
              <w:rPr>
                <w:sz w:val="10"/>
                <w:szCs w:val="10"/>
                <w:color w:val="auto"/>
              </w:rPr>
            </w:pPr>
          </w:p>
        </w:tc>
        <w:tc>
          <w:tcPr>
            <w:tcW w:w="880" w:type="dxa"/>
            <w:vAlign w:val="bottom"/>
            <w:tcBorders>
              <w:right w:val="single" w:sz="8" w:color="231F20"/>
            </w:tcBorders>
          </w:tcPr>
          <w:p>
            <w:pPr>
              <w:spacing w:after="0"/>
              <w:rPr>
                <w:sz w:val="10"/>
                <w:szCs w:val="10"/>
                <w:color w:val="auto"/>
              </w:rPr>
            </w:pPr>
          </w:p>
        </w:tc>
        <w:tc>
          <w:tcPr>
            <w:tcW w:w="860" w:type="dxa"/>
            <w:vAlign w:val="bottom"/>
            <w:tcBorders>
              <w:right w:val="single" w:sz="8" w:color="231F20"/>
            </w:tcBorders>
          </w:tcPr>
          <w:p>
            <w:pPr>
              <w:spacing w:after="0"/>
              <w:rPr>
                <w:sz w:val="10"/>
                <w:szCs w:val="10"/>
                <w:color w:val="auto"/>
              </w:rPr>
            </w:pPr>
          </w:p>
        </w:tc>
        <w:tc>
          <w:tcPr>
            <w:tcW w:w="1080" w:type="dxa"/>
            <w:vAlign w:val="bottom"/>
            <w:tcBorders>
              <w:right w:val="single" w:sz="8" w:color="231F20"/>
            </w:tcBorders>
          </w:tcPr>
          <w:p>
            <w:pPr>
              <w:spacing w:after="0"/>
              <w:rPr>
                <w:sz w:val="10"/>
                <w:szCs w:val="10"/>
                <w:color w:val="auto"/>
              </w:rPr>
            </w:pPr>
          </w:p>
        </w:tc>
        <w:tc>
          <w:tcPr>
            <w:tcW w:w="880" w:type="dxa"/>
            <w:vAlign w:val="bottom"/>
            <w:tcBorders>
              <w:right w:val="single" w:sz="8" w:color="231F20"/>
            </w:tcBorders>
          </w:tcPr>
          <w:p>
            <w:pPr>
              <w:spacing w:after="0"/>
              <w:rPr>
                <w:sz w:val="10"/>
                <w:szCs w:val="10"/>
                <w:color w:val="auto"/>
              </w:rPr>
            </w:pPr>
          </w:p>
        </w:tc>
        <w:tc>
          <w:tcPr>
            <w:tcW w:w="860" w:type="dxa"/>
            <w:vAlign w:val="bottom"/>
            <w:tcBorders>
              <w:right w:val="single" w:sz="8" w:color="231F20"/>
            </w:tcBorders>
          </w:tcPr>
          <w:p>
            <w:pPr>
              <w:spacing w:after="0"/>
              <w:rPr>
                <w:sz w:val="10"/>
                <w:szCs w:val="10"/>
                <w:color w:val="auto"/>
              </w:rPr>
            </w:pPr>
          </w:p>
        </w:tc>
        <w:tc>
          <w:tcPr>
            <w:tcW w:w="980" w:type="dxa"/>
            <w:vAlign w:val="bottom"/>
            <w:tcBorders>
              <w:right w:val="single" w:sz="8" w:color="231F20"/>
            </w:tcBorders>
          </w:tcPr>
          <w:p>
            <w:pPr>
              <w:spacing w:after="0"/>
              <w:rPr>
                <w:sz w:val="10"/>
                <w:szCs w:val="10"/>
                <w:color w:val="auto"/>
              </w:rPr>
            </w:pPr>
          </w:p>
        </w:tc>
        <w:tc>
          <w:tcPr>
            <w:tcW w:w="1180" w:type="dxa"/>
            <w:vAlign w:val="bottom"/>
            <w:tcBorders>
              <w:right w:val="single" w:sz="8" w:color="231F20"/>
            </w:tcBorders>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Borders>
              <w:right w:val="single" w:sz="8" w:color="231F20"/>
            </w:tcBorders>
          </w:tcPr>
          <w:p>
            <w:pPr>
              <w:ind w:left="40"/>
              <w:spacing w:after="0" w:line="135" w:lineRule="exact"/>
              <w:rPr>
                <w:sz w:val="20"/>
                <w:szCs w:val="20"/>
                <w:color w:val="auto"/>
              </w:rPr>
            </w:pPr>
            <w:r>
              <w:rPr>
                <w:rFonts w:ascii="Arial" w:cs="Arial" w:eastAsia="Arial" w:hAnsi="Arial"/>
                <w:sz w:val="13"/>
                <w:szCs w:val="13"/>
                <w:color w:val="231F20"/>
              </w:rPr>
              <w:t>Savings Plans (“</w:t>
            </w:r>
            <w:r>
              <w:rPr>
                <w:rFonts w:ascii="Arial" w:cs="Arial" w:eastAsia="Arial" w:hAnsi="Arial"/>
                <w:sz w:val="13"/>
                <w:szCs w:val="13"/>
                <w:i w:val="1"/>
                <w:iCs w:val="1"/>
                <w:color w:val="231F20"/>
              </w:rPr>
              <w:t>Plans</w:t>
            </w:r>
          </w:p>
        </w:tc>
        <w:tc>
          <w:tcPr>
            <w:tcW w:w="780" w:type="dxa"/>
            <w:vAlign w:val="bottom"/>
            <w:tcBorders>
              <w:right w:val="single" w:sz="8" w:color="231F20"/>
            </w:tcBorders>
          </w:tcPr>
          <w:p>
            <w:pPr>
              <w:spacing w:after="0"/>
              <w:rPr>
                <w:sz w:val="11"/>
                <w:szCs w:val="11"/>
                <w:color w:val="auto"/>
              </w:rPr>
            </w:pPr>
          </w:p>
        </w:tc>
        <w:tc>
          <w:tcPr>
            <w:tcW w:w="880" w:type="dxa"/>
            <w:vAlign w:val="bottom"/>
            <w:tcBorders>
              <w:right w:val="single" w:sz="8" w:color="231F20"/>
            </w:tcBorders>
          </w:tcPr>
          <w:p>
            <w:pPr>
              <w:spacing w:after="0"/>
              <w:rPr>
                <w:sz w:val="11"/>
                <w:szCs w:val="11"/>
                <w:color w:val="auto"/>
              </w:rPr>
            </w:pPr>
          </w:p>
        </w:tc>
        <w:tc>
          <w:tcPr>
            <w:tcW w:w="880" w:type="dxa"/>
            <w:vAlign w:val="bottom"/>
            <w:tcBorders>
              <w:right w:val="single" w:sz="8" w:color="231F20"/>
            </w:tcBorders>
          </w:tcPr>
          <w:p>
            <w:pPr>
              <w:spacing w:after="0"/>
              <w:rPr>
                <w:sz w:val="11"/>
                <w:szCs w:val="11"/>
                <w:color w:val="auto"/>
              </w:rPr>
            </w:pPr>
          </w:p>
        </w:tc>
        <w:tc>
          <w:tcPr>
            <w:tcW w:w="860" w:type="dxa"/>
            <w:vAlign w:val="bottom"/>
            <w:tcBorders>
              <w:right w:val="single" w:sz="8" w:color="231F20"/>
            </w:tcBorders>
          </w:tcPr>
          <w:p>
            <w:pPr>
              <w:spacing w:after="0"/>
              <w:rPr>
                <w:sz w:val="11"/>
                <w:szCs w:val="11"/>
                <w:color w:val="auto"/>
              </w:rPr>
            </w:pPr>
          </w:p>
        </w:tc>
        <w:tc>
          <w:tcPr>
            <w:tcW w:w="1080" w:type="dxa"/>
            <w:vAlign w:val="bottom"/>
            <w:tcBorders>
              <w:right w:val="single" w:sz="8" w:color="231F20"/>
            </w:tcBorders>
          </w:tcPr>
          <w:p>
            <w:pPr>
              <w:spacing w:after="0"/>
              <w:rPr>
                <w:sz w:val="11"/>
                <w:szCs w:val="11"/>
                <w:color w:val="auto"/>
              </w:rPr>
            </w:pPr>
          </w:p>
        </w:tc>
        <w:tc>
          <w:tcPr>
            <w:tcW w:w="880" w:type="dxa"/>
            <w:vAlign w:val="bottom"/>
            <w:tcBorders>
              <w:right w:val="single" w:sz="8" w:color="231F20"/>
            </w:tcBorders>
          </w:tcPr>
          <w:p>
            <w:pPr>
              <w:spacing w:after="0"/>
              <w:rPr>
                <w:sz w:val="11"/>
                <w:szCs w:val="11"/>
                <w:color w:val="auto"/>
              </w:rPr>
            </w:pPr>
          </w:p>
        </w:tc>
        <w:tc>
          <w:tcPr>
            <w:tcW w:w="860" w:type="dxa"/>
            <w:vAlign w:val="bottom"/>
            <w:tcBorders>
              <w:right w:val="single" w:sz="8" w:color="231F20"/>
            </w:tcBorders>
          </w:tcPr>
          <w:p>
            <w:pPr>
              <w:spacing w:after="0"/>
              <w:rPr>
                <w:sz w:val="11"/>
                <w:szCs w:val="11"/>
                <w:color w:val="auto"/>
              </w:rPr>
            </w:pPr>
          </w:p>
        </w:tc>
        <w:tc>
          <w:tcPr>
            <w:tcW w:w="980" w:type="dxa"/>
            <w:vAlign w:val="bottom"/>
            <w:tcBorders>
              <w:right w:val="single" w:sz="8" w:color="231F20"/>
            </w:tcBorders>
          </w:tcPr>
          <w:p>
            <w:pPr>
              <w:spacing w:after="0"/>
              <w:rPr>
                <w:sz w:val="11"/>
                <w:szCs w:val="11"/>
                <w:color w:val="auto"/>
              </w:rPr>
            </w:pPr>
          </w:p>
        </w:tc>
        <w:tc>
          <w:tcPr>
            <w:tcW w:w="1180" w:type="dxa"/>
            <w:vAlign w:val="bottom"/>
            <w:tcBorders>
              <w:right w:val="single" w:sz="8" w:color="231F20"/>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68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3"/>
                <w:szCs w:val="13"/>
                <w:i w:val="1"/>
                <w:iCs w:val="1"/>
                <w:color w:val="231F20"/>
              </w:rPr>
              <w:t>d’Épargne Entreprise</w:t>
            </w:r>
            <w:r>
              <w:rPr>
                <w:rFonts w:ascii="Arial" w:cs="Arial" w:eastAsia="Arial" w:hAnsi="Arial"/>
                <w:sz w:val="13"/>
                <w:szCs w:val="13"/>
                <w:color w:val="231F20"/>
              </w:rPr>
              <w:t>”)</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19.9</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19.9</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19.9</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2360A6"/>
              <w:right w:val="single" w:sz="8" w:color="231F20"/>
            </w:tcBorders>
          </w:tcPr>
          <w:p>
            <w:pPr>
              <w:ind w:left="60"/>
              <w:spacing w:after="0"/>
              <w:rPr>
                <w:sz w:val="20"/>
                <w:szCs w:val="20"/>
                <w:color w:val="auto"/>
              </w:rPr>
            </w:pPr>
            <w:r>
              <w:rPr>
                <w:rFonts w:ascii="Arial" w:cs="Arial" w:eastAsia="Arial" w:hAnsi="Arial"/>
                <w:sz w:val="13"/>
                <w:szCs w:val="13"/>
                <w:color w:val="231F20"/>
              </w:rPr>
              <w:t xml:space="preserve">Other </w:t>
            </w:r>
            <w:r>
              <w:rPr>
                <w:rFonts w:ascii="Arial" w:cs="Arial" w:eastAsia="Arial" w:hAnsi="Arial"/>
                <w:sz w:val="7"/>
                <w:szCs w:val="7"/>
                <w:color w:val="231F20"/>
              </w:rPr>
              <w:t>(</w:t>
            </w:r>
            <w:r>
              <w:rPr>
                <w:rFonts w:ascii="Arial" w:cs="Arial" w:eastAsia="Arial" w:hAnsi="Arial"/>
                <w:sz w:val="13"/>
                <w:szCs w:val="13"/>
                <w:color w:val="231F20"/>
              </w:rPr>
              <w:t>*</w:t>
            </w:r>
            <w:r>
              <w:rPr>
                <w:rFonts w:ascii="Arial" w:cs="Arial" w:eastAsia="Arial" w:hAnsi="Arial"/>
                <w:sz w:val="7"/>
                <w:szCs w:val="7"/>
                <w:color w:val="231F20"/>
              </w:rPr>
              <w:t>)</w:t>
            </w:r>
          </w:p>
        </w:tc>
        <w:tc>
          <w:tcPr>
            <w:tcW w:w="7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1.7</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1.7</w:t>
            </w:r>
          </w:p>
        </w:tc>
        <w:tc>
          <w:tcPr>
            <w:tcW w:w="118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1.7</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680" w:type="dxa"/>
            <w:vAlign w:val="bottom"/>
            <w:tcBorders>
              <w:right w:val="single" w:sz="8" w:color="231F20"/>
            </w:tcBorders>
            <w:shd w:val="clear" w:color="auto" w:fill="D2DEEC"/>
          </w:tcPr>
          <w:p>
            <w:pPr>
              <w:ind w:left="40"/>
              <w:spacing w:after="0" w:line="140" w:lineRule="exact"/>
              <w:rPr>
                <w:sz w:val="20"/>
                <w:szCs w:val="20"/>
                <w:color w:val="auto"/>
              </w:rPr>
            </w:pPr>
            <w:r>
              <w:rPr>
                <w:rFonts w:ascii="Arial" w:cs="Arial" w:eastAsia="Arial" w:hAnsi="Arial"/>
                <w:sz w:val="13"/>
                <w:szCs w:val="13"/>
                <w:b w:val="1"/>
                <w:bCs w:val="1"/>
                <w:color w:val="2360A6"/>
              </w:rPr>
              <w:t>AS OF DECEMBER 31,</w:t>
            </w:r>
          </w:p>
        </w:tc>
        <w:tc>
          <w:tcPr>
            <w:tcW w:w="780" w:type="dxa"/>
            <w:vAlign w:val="bottom"/>
            <w:tcBorders>
              <w:right w:val="single" w:sz="8" w:color="231F20"/>
            </w:tcBorders>
            <w:shd w:val="clear" w:color="auto" w:fill="D2DEEC"/>
          </w:tcPr>
          <w:p>
            <w:pPr>
              <w:spacing w:after="0"/>
              <w:rPr>
                <w:sz w:val="12"/>
                <w:szCs w:val="12"/>
                <w:color w:val="auto"/>
              </w:rPr>
            </w:pPr>
          </w:p>
        </w:tc>
        <w:tc>
          <w:tcPr>
            <w:tcW w:w="880" w:type="dxa"/>
            <w:vAlign w:val="bottom"/>
            <w:tcBorders>
              <w:right w:val="single" w:sz="8" w:color="231F20"/>
            </w:tcBorders>
            <w:shd w:val="clear" w:color="auto" w:fill="D2DEEC"/>
          </w:tcPr>
          <w:p>
            <w:pPr>
              <w:spacing w:after="0"/>
              <w:rPr>
                <w:sz w:val="12"/>
                <w:szCs w:val="12"/>
                <w:color w:val="auto"/>
              </w:rPr>
            </w:pPr>
          </w:p>
        </w:tc>
        <w:tc>
          <w:tcPr>
            <w:tcW w:w="880" w:type="dxa"/>
            <w:vAlign w:val="bottom"/>
            <w:tcBorders>
              <w:right w:val="single" w:sz="8" w:color="231F20"/>
            </w:tcBorders>
            <w:shd w:val="clear" w:color="auto" w:fill="D2DEEC"/>
          </w:tcPr>
          <w:p>
            <w:pPr>
              <w:spacing w:after="0"/>
              <w:rPr>
                <w:sz w:val="12"/>
                <w:szCs w:val="12"/>
                <w:color w:val="auto"/>
              </w:rPr>
            </w:pPr>
          </w:p>
        </w:tc>
        <w:tc>
          <w:tcPr>
            <w:tcW w:w="860" w:type="dxa"/>
            <w:vAlign w:val="bottom"/>
            <w:tcBorders>
              <w:right w:val="single" w:sz="8" w:color="231F20"/>
            </w:tcBorders>
            <w:shd w:val="clear" w:color="auto" w:fill="D2DEEC"/>
          </w:tcPr>
          <w:p>
            <w:pPr>
              <w:spacing w:after="0"/>
              <w:rPr>
                <w:sz w:val="12"/>
                <w:szCs w:val="12"/>
                <w:color w:val="auto"/>
              </w:rPr>
            </w:pPr>
          </w:p>
        </w:tc>
        <w:tc>
          <w:tcPr>
            <w:tcW w:w="1080" w:type="dxa"/>
            <w:vAlign w:val="bottom"/>
            <w:tcBorders>
              <w:right w:val="single" w:sz="8" w:color="231F20"/>
            </w:tcBorders>
            <w:shd w:val="clear" w:color="auto" w:fill="D2DEEC"/>
          </w:tcPr>
          <w:p>
            <w:pPr>
              <w:spacing w:after="0"/>
              <w:rPr>
                <w:sz w:val="12"/>
                <w:szCs w:val="12"/>
                <w:color w:val="auto"/>
              </w:rPr>
            </w:pPr>
          </w:p>
        </w:tc>
        <w:tc>
          <w:tcPr>
            <w:tcW w:w="880" w:type="dxa"/>
            <w:vAlign w:val="bottom"/>
            <w:tcBorders>
              <w:right w:val="single" w:sz="8" w:color="231F20"/>
            </w:tcBorders>
            <w:shd w:val="clear" w:color="auto" w:fill="D2DEEC"/>
          </w:tcPr>
          <w:p>
            <w:pPr>
              <w:spacing w:after="0"/>
              <w:rPr>
                <w:sz w:val="12"/>
                <w:szCs w:val="12"/>
                <w:color w:val="auto"/>
              </w:rPr>
            </w:pPr>
          </w:p>
        </w:tc>
        <w:tc>
          <w:tcPr>
            <w:tcW w:w="860" w:type="dxa"/>
            <w:vAlign w:val="bottom"/>
            <w:tcBorders>
              <w:right w:val="single" w:sz="8" w:color="231F20"/>
            </w:tcBorders>
            <w:shd w:val="clear" w:color="auto" w:fill="D2DEEC"/>
          </w:tcPr>
          <w:p>
            <w:pPr>
              <w:spacing w:after="0"/>
              <w:rPr>
                <w:sz w:val="12"/>
                <w:szCs w:val="12"/>
                <w:color w:val="auto"/>
              </w:rPr>
            </w:pPr>
          </w:p>
        </w:tc>
        <w:tc>
          <w:tcPr>
            <w:tcW w:w="980" w:type="dxa"/>
            <w:vAlign w:val="bottom"/>
            <w:tcBorders>
              <w:right w:val="single" w:sz="8" w:color="231F20"/>
            </w:tcBorders>
            <w:shd w:val="clear" w:color="auto" w:fill="D2DEEC"/>
          </w:tcPr>
          <w:p>
            <w:pPr>
              <w:spacing w:after="0"/>
              <w:rPr>
                <w:sz w:val="12"/>
                <w:szCs w:val="12"/>
                <w:color w:val="auto"/>
              </w:rPr>
            </w:pPr>
          </w:p>
        </w:tc>
        <w:tc>
          <w:tcPr>
            <w:tcW w:w="1180" w:type="dxa"/>
            <w:vAlign w:val="bottom"/>
            <w:tcBorders>
              <w:right w:val="single" w:sz="8" w:color="231F20"/>
            </w:tcBorders>
            <w:shd w:val="clear" w:color="auto" w:fill="D2DEEC"/>
          </w:tcPr>
          <w:p>
            <w:pPr>
              <w:spacing w:after="0"/>
              <w:rPr>
                <w:sz w:val="12"/>
                <w:szCs w:val="12"/>
                <w:color w:val="auto"/>
              </w:rPr>
            </w:pPr>
          </w:p>
        </w:tc>
        <w:tc>
          <w:tcPr>
            <w:tcW w:w="840" w:type="dxa"/>
            <w:vAlign w:val="bottom"/>
            <w:shd w:val="clear" w:color="auto" w:fill="D2DEE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80" w:type="dxa"/>
            <w:vAlign w:val="bottom"/>
            <w:tcBorders>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3"/>
                <w:szCs w:val="13"/>
                <w:b w:val="1"/>
                <w:bCs w:val="1"/>
                <w:color w:val="2360A6"/>
              </w:rPr>
              <w:t>2016</w:t>
            </w:r>
          </w:p>
        </w:tc>
        <w:tc>
          <w:tcPr>
            <w:tcW w:w="78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90.9</w:t>
            </w:r>
          </w:p>
        </w:tc>
        <w:tc>
          <w:tcPr>
            <w:tcW w:w="88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2,136.6</w:t>
            </w:r>
          </w:p>
        </w:tc>
        <w:tc>
          <w:tcPr>
            <w:tcW w:w="880" w:type="dxa"/>
            <w:vAlign w:val="bottom"/>
            <w:tcBorders>
              <w:bottom w:val="single" w:sz="8" w:color="2360A6"/>
              <w:right w:val="single" w:sz="8" w:color="231F20"/>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2,273.3</w:t>
            </w:r>
          </w:p>
        </w:tc>
        <w:tc>
          <w:tcPr>
            <w:tcW w:w="860" w:type="dxa"/>
            <w:vAlign w:val="bottom"/>
            <w:tcBorders>
              <w:bottom w:val="single" w:sz="8" w:color="2360A6"/>
              <w:right w:val="single" w:sz="8" w:color="231F20"/>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(22.1)</w:t>
            </w:r>
          </w:p>
        </w:tc>
        <w:tc>
          <w:tcPr>
            <w:tcW w:w="1080" w:type="dxa"/>
            <w:vAlign w:val="bottom"/>
            <w:tcBorders>
              <w:bottom w:val="single" w:sz="8" w:color="2360A6"/>
              <w:right w:val="single" w:sz="8" w:color="231F20"/>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199.0</w:t>
            </w:r>
          </w:p>
        </w:tc>
        <w:tc>
          <w:tcPr>
            <w:tcW w:w="880" w:type="dxa"/>
            <w:vAlign w:val="bottom"/>
            <w:tcBorders>
              <w:bottom w:val="single" w:sz="8" w:color="2360A6"/>
              <w:right w:val="single" w:sz="8" w:color="231F20"/>
            </w:tcBorders>
            <w:shd w:val="clear" w:color="auto" w:fill="D2DEEC"/>
          </w:tcPr>
          <w:p>
            <w:pPr>
              <w:jc w:val="right"/>
              <w:ind w:right="37"/>
              <w:spacing w:after="0"/>
              <w:rPr>
                <w:sz w:val="20"/>
                <w:szCs w:val="20"/>
                <w:color w:val="auto"/>
              </w:rPr>
            </w:pPr>
            <w:r>
              <w:rPr>
                <w:rFonts w:ascii="Arial" w:cs="Arial" w:eastAsia="Arial" w:hAnsi="Arial"/>
                <w:sz w:val="13"/>
                <w:szCs w:val="13"/>
                <w:b w:val="1"/>
                <w:bCs w:val="1"/>
                <w:color w:val="2360A6"/>
              </w:rPr>
              <w:t>(154.4)</w:t>
            </w:r>
          </w:p>
        </w:tc>
        <w:tc>
          <w:tcPr>
            <w:tcW w:w="860" w:type="dxa"/>
            <w:vAlign w:val="bottom"/>
            <w:tcBorders>
              <w:bottom w:val="single" w:sz="8" w:color="2360A6"/>
              <w:right w:val="single" w:sz="8" w:color="231F20"/>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281.3</w:t>
            </w:r>
          </w:p>
        </w:tc>
        <w:tc>
          <w:tcPr>
            <w:tcW w:w="98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4,804.6</w:t>
            </w:r>
          </w:p>
        </w:tc>
        <w:tc>
          <w:tcPr>
            <w:tcW w:w="1180" w:type="dxa"/>
            <w:vAlign w:val="bottom"/>
            <w:tcBorders>
              <w:bottom w:val="single" w:sz="8" w:color="2360A6"/>
              <w:right w:val="single" w:sz="8" w:color="231F20"/>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(11.1)</w:t>
            </w:r>
          </w:p>
        </w:tc>
        <w:tc>
          <w:tcPr>
            <w:tcW w:w="840" w:type="dxa"/>
            <w:vAlign w:val="bottom"/>
            <w:tcBorders>
              <w:bottom w:val="single" w:sz="8" w:color="2360A6"/>
            </w:tcBorders>
            <w:shd w:val="clear" w:color="auto" w:fill="D2DEEC"/>
          </w:tcPr>
          <w:p>
            <w:pPr>
              <w:jc w:val="right"/>
              <w:ind w:right="37"/>
              <w:spacing w:after="0"/>
              <w:rPr>
                <w:sz w:val="20"/>
                <w:szCs w:val="20"/>
                <w:color w:val="auto"/>
              </w:rPr>
            </w:pPr>
            <w:r>
              <w:rPr>
                <w:rFonts w:ascii="Arial" w:cs="Arial" w:eastAsia="Arial" w:hAnsi="Arial"/>
                <w:sz w:val="13"/>
                <w:szCs w:val="13"/>
                <w:b w:val="1"/>
                <w:bCs w:val="1"/>
                <w:color w:val="2360A6"/>
              </w:rPr>
              <w:t>4,793.5</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20"/>
        <w:spacing w:after="0"/>
        <w:rPr>
          <w:sz w:val="20"/>
          <w:szCs w:val="20"/>
          <w:color w:val="auto"/>
        </w:rPr>
      </w:pPr>
      <w:r>
        <w:rPr>
          <w:rFonts w:ascii="Arial" w:cs="Arial" w:eastAsia="Arial" w:hAnsi="Arial"/>
          <w:sz w:val="11"/>
          <w:szCs w:val="11"/>
          <w:color w:val="231F20"/>
        </w:rPr>
        <w:t>(*) Includes effects of purchases of non-controlling interests and reclassifications due to changes in the consolidation scope.</w:t>
      </w:r>
    </w:p>
    <w:p>
      <w:pPr>
        <w:sectPr>
          <w:pgSz w:w="11900" w:h="16838" w:orient="portrait"/>
          <w:cols w:equalWidth="0" w:num="1">
            <w:col w:w="11100"/>
          </w:cols>
          <w:pgMar w:left="320" w:top="634" w:right="479" w:bottom="1440" w:gutter="0" w:footer="0" w:header="0"/>
        </w:sectPr>
      </w:pPr>
    </w:p>
    <w:bookmarkStart w:id="78" w:name="page79"/>
    <w:bookmarkEnd w:id="78"/>
    <w:p>
      <w:pPr>
        <w:spacing w:after="0"/>
        <w:rPr>
          <w:sz w:val="20"/>
          <w:szCs w:val="20"/>
          <w:color w:val="auto"/>
        </w:rPr>
      </w:pPr>
      <w:r>
        <w:rPr>
          <w:rFonts w:ascii="Arial" w:cs="Arial" w:eastAsia="Arial" w:hAnsi="Arial"/>
          <w:sz w:val="29"/>
          <w:szCs w:val="29"/>
          <w:b w:val="1"/>
          <w:bCs w:val="1"/>
          <w:color w:val="2360A6"/>
        </w:rPr>
        <w:t>Note 1 Accounting Principles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Accounting Framework</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In accordance with the European Union’s regulation No. 1606/2002 of July 19, 2002, the consolidated financial statements of Technip (“the Group”) as of December 31, 2016 and for the three years then ended were prepared in accordance with International Financial Reporting Standards (IFRS) issued by the International Accounting Standard Board (IASB) and IFRS as endorsed by the European Union as of February 20, 2017, the date that Technip management authorized financial statements after presentation of these financial statements to the Audit Committee of TechnipFMC Plc. The IFRS as endorsed by the European Union are available on the website of the European Union (</w:t>
      </w:r>
      <w:r>
        <w:rPr>
          <w:rFonts w:ascii="Arial" w:cs="Arial" w:eastAsia="Arial" w:hAnsi="Arial"/>
          <w:sz w:val="16"/>
          <w:szCs w:val="16"/>
          <w:b w:val="1"/>
          <w:bCs w:val="1"/>
          <w:u w:val="single" w:color="auto"/>
          <w:color w:val="2360A6"/>
        </w:rPr>
        <w:t>http://ec.europa.eu/internal_market/accounting/ias/index_fr.htm</w:t>
      </w:r>
      <w:r>
        <w:rPr>
          <w:rFonts w:ascii="Arial" w:cs="Arial" w:eastAsia="Arial" w:hAnsi="Arial"/>
          <w:sz w:val="16"/>
          <w:szCs w:val="16"/>
          <w:color w:val="231F20"/>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Merger completion of FMC Technologies and Technip</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On January 17, 2017, TechnipFMC (NYSE and Euronext: FTI) announced that it is operating as a unified, combined company following completion of the merger of FMC Technologies and Technip. The merger creates a global leader in oil and gas projects, technologies, systems, and services that will enhance the performance of the world's energy industry.</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TechnipFMC is since then traded on the New York Stock Exchange and on the Euronext Paris Stock Exchange under the symbol FTI. Under the terms of the merger agreement, FMC Technologies shareholders received one share of the combined company for each existing share of FMC Technologies, and Technip shareholders received two shares of the combined company for each existing share of Technip.</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2016, the merger has not been accounted for in the consolidated financial statements of Technip.</w:t>
      </w:r>
    </w:p>
    <w:p>
      <w:pPr>
        <w:spacing w:after="0" w:line="20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Standards Effective after December 31, 2016</w:t>
      </w:r>
    </w:p>
    <w:p>
      <w:pPr>
        <w:spacing w:after="0" w:line="24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Technip financial statements as of December 31, 2016 do not include the possible impact of standards published as of December 31, 2016 but which application is mandatory as from financial years subsequent to 2016.</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Standards adopted by the European Union as of December 31, 2016</w:t>
      </w:r>
    </w:p>
    <w:p>
      <w:pPr>
        <w:spacing w:after="0" w:line="216" w:lineRule="exact"/>
        <w:rPr>
          <w:sz w:val="20"/>
          <w:szCs w:val="20"/>
          <w:color w:val="auto"/>
        </w:rPr>
      </w:pPr>
    </w:p>
    <w:p>
      <w:pPr>
        <w:ind w:left="340" w:hanging="331"/>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231F20"/>
        </w:rPr>
        <w:t>IFRS 9 “FINANCIAL INSTRUMENTS”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On July 24, 2014, the IASB released the final version of the IFRS 9 with respect to financial instruments, which should be applicable as of January 1, 2018. Aiming at replacing IAS 39 “Financial Instruments: Recognition and Measurement”, IFRS 9 includes requirements for recognition and measurement, impairment, derecognition and general hedge accounting.</w:t>
      </w:r>
    </w:p>
    <w:p>
      <w:pPr>
        <w:spacing w:after="0" w:line="177" w:lineRule="exact"/>
        <w:rPr>
          <w:sz w:val="20"/>
          <w:szCs w:val="20"/>
          <w:color w:val="auto"/>
        </w:rPr>
      </w:pPr>
    </w:p>
    <w:p>
      <w:pPr>
        <w:ind w:left="340" w:hanging="331"/>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231F20"/>
        </w:rPr>
        <w:t>IFRS 15 “REVENUE FROM CONTRACTS WITH CUSTOMERS”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Applicable by the IASB as of January 1, 2018, this new standard sets general accounting principles relating to revenue recognition. IFRS 15 supersedes the current standards on revenue recognition, particularly IAS 18 “Revenue”, IAS 11 “Construction Contracts” and the corresponding interpretations IFRIC 13, IFRIC 15, IFRIC 18 and SIC 31.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Standards non-adopted by the European Union as of December 31, 2016</w:t>
      </w:r>
    </w:p>
    <w:p>
      <w:pPr>
        <w:spacing w:after="0" w:line="216" w:lineRule="exact"/>
        <w:rPr>
          <w:sz w:val="20"/>
          <w:szCs w:val="20"/>
          <w:color w:val="auto"/>
        </w:rPr>
      </w:pPr>
    </w:p>
    <w:p>
      <w:pPr>
        <w:ind w:left="340" w:hanging="331"/>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231F20"/>
        </w:rPr>
        <w:t>IFRS 16 “LEASES”</w:t>
      </w:r>
    </w:p>
    <w:p>
      <w:pPr>
        <w:spacing w:after="0" w:line="250"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Released on January 13, 2016, the new standard IFRS 16 on lease accounting will be mandatorily applicable for the financial years starting January 1, 2019 and should supersede the current IAS 17 and its related interpretations.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231F20"/>
        </w:rPr>
        <w:t>The Group is currently assessing the potential impacts of these three latest standards on its consolidated financial statements.</w:t>
      </w:r>
    </w:p>
    <w:p>
      <w:pPr>
        <w:spacing w:after="0" w:line="19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Due to the completion of the merger between Technip and FMC Technologies on January 16, 2017, preliminary assessments will be re-evaluated in context of TechnipFMC's combined operations and contracts with its customers.</w:t>
      </w:r>
    </w:p>
    <w:p>
      <w:pPr>
        <w:sectPr>
          <w:pgSz w:w="11900" w:h="16838" w:orient="portrait"/>
          <w:cols w:equalWidth="0" w:num="1">
            <w:col w:w="11340"/>
          </w:cols>
          <w:pgMar w:left="320" w:top="748" w:right="239" w:bottom="1440" w:gutter="0" w:footer="0" w:header="0"/>
        </w:sectPr>
      </w:pPr>
    </w:p>
    <w:bookmarkStart w:id="79" w:name="page80"/>
    <w:bookmarkEnd w:id="79"/>
    <w:p>
      <w:pPr>
        <w:ind w:left="140"/>
        <w:spacing w:after="0"/>
        <w:rPr>
          <w:sz w:val="20"/>
          <w:szCs w:val="20"/>
          <w:color w:val="auto"/>
        </w:rPr>
      </w:pPr>
      <w:r>
        <w:rPr>
          <w:rFonts w:ascii="Arial" w:cs="Arial" w:eastAsia="Arial" w:hAnsi="Arial"/>
          <w:sz w:val="22"/>
          <w:szCs w:val="22"/>
          <w:b w:val="1"/>
          <w:bCs w:val="1"/>
          <w:color w:val="2360A6"/>
        </w:rPr>
        <w:t>Standards effective in 2016</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adoption of new standards, amendments and interpretations that had mandatory application for periods starting after January 1, 2016, had no significant impact on the financial situation and performance of the Group.</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Standards effective in 2015</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adoption of new standards, amendments and interpretations that had mandatory application for periods starting after January 1, 2015, had no significant impact on the financial situation and performance of the Group.</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Standards effective in 2014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IFRIC 21 “LEVIES”</w:t>
      </w:r>
    </w:p>
    <w:p>
      <w:pPr>
        <w:spacing w:after="0" w:line="250"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IFRIC 21 “Levies” on operating tax recognition was effective for annual periods beginning on or after June 17, 2014, and retrospectively applied for all prior periods. The interpretation had no material impact on the Group consolidated statement of income and the consolidated shareholders’ equity.</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B. Consolidation Principles</w:t>
      </w:r>
    </w:p>
    <w:p>
      <w:pPr>
        <w:spacing w:after="0" w:line="15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In accordance with IFRS 10 “Consolidated Financial Statements”, are consolidated all the companies (including special purpose entities) for which the Group has all the following:</w:t>
      </w:r>
    </w:p>
    <w:p>
      <w:pPr>
        <w:spacing w:after="0" w:line="34" w:lineRule="exact"/>
        <w:rPr>
          <w:sz w:val="20"/>
          <w:szCs w:val="20"/>
          <w:color w:val="auto"/>
        </w:rPr>
      </w:pPr>
    </w:p>
    <w:p>
      <w:pPr>
        <w:ind w:left="140" w:hanging="131"/>
        <w:spacing w:after="0"/>
        <w:tabs>
          <w:tab w:leader="none" w:pos="140" w:val="left"/>
        </w:tabs>
        <w:numPr>
          <w:ilvl w:val="0"/>
          <w:numId w:val="31"/>
        </w:numPr>
        <w:rPr>
          <w:rFonts w:ascii="Arial" w:cs="Arial" w:eastAsia="Arial" w:hAnsi="Arial"/>
          <w:sz w:val="16"/>
          <w:szCs w:val="16"/>
          <w:color w:val="2360A6"/>
        </w:rPr>
      </w:pPr>
      <w:r>
        <w:rPr>
          <w:rFonts w:ascii="Arial" w:cs="Arial" w:eastAsia="Arial" w:hAnsi="Arial"/>
          <w:sz w:val="16"/>
          <w:szCs w:val="16"/>
          <w:color w:val="231F20"/>
        </w:rPr>
        <w:t>the power over the company subject to the investment;</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31"/>
        </w:numPr>
        <w:rPr>
          <w:rFonts w:ascii="Arial" w:cs="Arial" w:eastAsia="Arial" w:hAnsi="Arial"/>
          <w:sz w:val="16"/>
          <w:szCs w:val="16"/>
          <w:color w:val="2360A6"/>
        </w:rPr>
      </w:pPr>
      <w:r>
        <w:rPr>
          <w:rFonts w:ascii="Arial" w:cs="Arial" w:eastAsia="Arial" w:hAnsi="Arial"/>
          <w:sz w:val="16"/>
          <w:szCs w:val="16"/>
          <w:color w:val="231F20"/>
        </w:rPr>
        <w:t>an exposure or rights to the company’s variable returns; and</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31"/>
        </w:numPr>
        <w:rPr>
          <w:rFonts w:ascii="Arial" w:cs="Arial" w:eastAsia="Arial" w:hAnsi="Arial"/>
          <w:sz w:val="16"/>
          <w:szCs w:val="16"/>
          <w:color w:val="2360A6"/>
        </w:rPr>
      </w:pPr>
      <w:r>
        <w:rPr>
          <w:rFonts w:ascii="Arial" w:cs="Arial" w:eastAsia="Arial" w:hAnsi="Arial"/>
          <w:sz w:val="16"/>
          <w:szCs w:val="16"/>
          <w:color w:val="231F20"/>
        </w:rPr>
        <w:t>the ability to use its power over the entity to affect these returns.</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Where holding more than 50% of voting rights in an entity, the control exists when the voting rights held are substantive and provide the Group with the current ability to direct the relevant activities.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As per IFRS 11 “Joint Arrangements”, joint arrangements classified as joint operations should be recognized to the extent of the Group’s assets and its liabilities, including its share of any assets held jointly or liabilities incurred jointly.</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231F20"/>
        </w:rPr>
        <w:t>The equity method is used for joint ventures and for investments over which the Group exercises a significant influence on operational and financial policies.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Unless otherwise indicated, such influence is deemed to exist for investments in companies in which the Group’s ownership is between 20% and 50%.</w:t>
      </w:r>
    </w:p>
    <w:p>
      <w:pPr>
        <w:spacing w:after="0" w:line="8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Companies in which the Group’s ownership is less than 20% or that do not represent significant investments (such as dormant companies) are recorded under the “Other Financial Assets (Non-Current)” or “Available-for-Sale Financial Assets” line items and only impact net income through dividends received or in case of impairment loss. Where no active market exists and where no other valuation method can be used, these financial assets are maintained at historical cost, less any accumulated impairment losses.</w:t>
      </w:r>
    </w:p>
    <w:p>
      <w:pPr>
        <w:spacing w:after="0" w:line="5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list of the main Group’s consolidated companies and their respective method of consolidation is provided in Note 2 (c) - Scope of consolidation as of December 31, 2016, 2015 and 2014.</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231F20"/>
        </w:rPr>
        <w:t>The main affiliates of the Group close their accounts as of December 31 and all consolidated companies apply the Group accounting standards.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231F20"/>
        </w:rPr>
        <w:t>All intercompany balances and transactions, as well as internal income and expenses, are fully eliminated.</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Subsidiaries are consolidated as of the date of acquisition, being the date on which the Group obtains control, and continue to be consolidated until the date control ceases.</w:t>
      </w:r>
    </w:p>
    <w:p>
      <w:pPr>
        <w:sectPr>
          <w:pgSz w:w="11900" w:h="16838" w:orient="portrait"/>
          <w:cols w:equalWidth="0" w:num="1">
            <w:col w:w="11340"/>
          </w:cols>
          <w:pgMar w:left="320" w:top="580" w:right="239" w:bottom="1440" w:gutter="0" w:footer="0" w:header="0"/>
        </w:sectPr>
      </w:pPr>
    </w:p>
    <w:bookmarkStart w:id="80" w:name="page81"/>
    <w:bookmarkEnd w:id="80"/>
    <w:p>
      <w:pPr>
        <w:ind w:left="80"/>
        <w:spacing w:after="0"/>
        <w:rPr>
          <w:sz w:val="20"/>
          <w:szCs w:val="20"/>
          <w:color w:val="auto"/>
        </w:rPr>
      </w:pPr>
      <w:r>
        <w:rPr>
          <w:rFonts w:ascii="Arial" w:cs="Arial" w:eastAsia="Arial" w:hAnsi="Arial"/>
          <w:sz w:val="25"/>
          <w:szCs w:val="25"/>
          <w:b w:val="1"/>
          <w:bCs w:val="1"/>
          <w:color w:val="231F20"/>
        </w:rPr>
        <w:t>C. Accounting Rules and Policies</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The consolidated financial statements were prepared in accordance with IFRS.</w:t>
      </w:r>
    </w:p>
    <w:p>
      <w:pPr>
        <w:spacing w:after="0" w:line="86" w:lineRule="exact"/>
        <w:rPr>
          <w:sz w:val="20"/>
          <w:szCs w:val="20"/>
          <w:color w:val="auto"/>
        </w:rPr>
      </w:pPr>
    </w:p>
    <w:p>
      <w:pPr>
        <w:jc w:val="both"/>
        <w:ind w:left="80"/>
        <w:spacing w:after="0" w:line="253" w:lineRule="auto"/>
        <w:rPr>
          <w:sz w:val="20"/>
          <w:szCs w:val="20"/>
          <w:color w:val="auto"/>
        </w:rPr>
      </w:pPr>
      <w:r>
        <w:rPr>
          <w:rFonts w:ascii="Arial" w:cs="Arial" w:eastAsia="Arial" w:hAnsi="Arial"/>
          <w:sz w:val="16"/>
          <w:szCs w:val="16"/>
          <w:color w:val="231F20"/>
        </w:rPr>
        <w:t>The distinction between current assets and liabilities, and non-current assets and liabilities is based on the operating cycle of contracts. If related to contracts, assets and liabilities are classified as “current”; if not related to contracts, assets and liabilities are classified as “current” if their maturity is less than 12 months or “non-current” if their maturity exceeds 12 months.</w:t>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All assets are valued under the historical cost convention, except for financial assets and derivative financial instruments, which are measured at fair value.</w:t>
      </w:r>
    </w:p>
    <w:p>
      <w:pPr>
        <w:spacing w:after="0" w:line="86" w:lineRule="exact"/>
        <w:rPr>
          <w:sz w:val="20"/>
          <w:szCs w:val="20"/>
          <w:color w:val="auto"/>
        </w:rPr>
      </w:pPr>
    </w:p>
    <w:p>
      <w:pPr>
        <w:jc w:val="both"/>
        <w:ind w:left="80"/>
        <w:spacing w:after="0" w:line="260" w:lineRule="auto"/>
        <w:rPr>
          <w:sz w:val="20"/>
          <w:szCs w:val="20"/>
          <w:color w:val="auto"/>
        </w:rPr>
      </w:pPr>
      <w:r>
        <w:rPr>
          <w:rFonts w:ascii="Arial" w:cs="Arial" w:eastAsia="Arial" w:hAnsi="Arial"/>
          <w:sz w:val="16"/>
          <w:szCs w:val="16"/>
          <w:color w:val="231F20"/>
        </w:rPr>
        <w:t>The preparation of financial statements in compliance with IFRS requires the use of certain critical accounting estimates. Areas involving a higher degree of judgment or complexity, or areas where assumptions and estimates are material, are disclosed in the paragraphs below.</w:t>
      </w:r>
    </w:p>
    <w:p>
      <w:pPr>
        <w:spacing w:after="0" w:line="256"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2360A6"/>
        </w:rPr>
        <w:t>(a) Use of Estimates</w:t>
      </w:r>
    </w:p>
    <w:p>
      <w:pPr>
        <w:spacing w:after="0" w:line="214" w:lineRule="exact"/>
        <w:rPr>
          <w:sz w:val="20"/>
          <w:szCs w:val="20"/>
          <w:color w:val="auto"/>
        </w:rPr>
      </w:pPr>
    </w:p>
    <w:p>
      <w:pPr>
        <w:jc w:val="both"/>
        <w:ind w:left="80"/>
        <w:spacing w:after="0" w:line="251" w:lineRule="auto"/>
        <w:rPr>
          <w:sz w:val="20"/>
          <w:szCs w:val="20"/>
          <w:color w:val="auto"/>
        </w:rPr>
      </w:pPr>
      <w:r>
        <w:rPr>
          <w:rFonts w:ascii="Arial" w:cs="Arial" w:eastAsia="Arial" w:hAnsi="Arial"/>
          <w:sz w:val="16"/>
          <w:szCs w:val="16"/>
          <w:color w:val="231F20"/>
        </w:rPr>
        <w:t>Preparation of the consolidated financial statements requires the use of estimates and assumptions to be made that may affect the assessment and disclosure of assets and liabilities at the date of the financial statements, as well as the income and the reported expenses regarding this financial year. Estimates may be revised if the circumstances and the assumptions on which they were based change, if new information becomes available, or as a result of greater experience. Consequently, the actual result from these operations may differ from these estimates.</w:t>
      </w:r>
    </w:p>
    <w:p>
      <w:pPr>
        <w:spacing w:after="0" w:line="54" w:lineRule="exact"/>
        <w:rPr>
          <w:sz w:val="20"/>
          <w:szCs w:val="20"/>
          <w:color w:val="auto"/>
        </w:rPr>
      </w:pPr>
    </w:p>
    <w:p>
      <w:pPr>
        <w:jc w:val="both"/>
        <w:ind w:left="80"/>
        <w:spacing w:after="0" w:line="249" w:lineRule="auto"/>
        <w:rPr>
          <w:sz w:val="20"/>
          <w:szCs w:val="20"/>
          <w:color w:val="auto"/>
        </w:rPr>
      </w:pPr>
      <w:r>
        <w:rPr>
          <w:rFonts w:ascii="Arial" w:cs="Arial" w:eastAsia="Arial" w:hAnsi="Arial"/>
          <w:sz w:val="16"/>
          <w:szCs w:val="16"/>
          <w:color w:val="231F20"/>
        </w:rPr>
        <w:t>The main assessments and accounting assumptions made in the financial statements of the Group relate to construction contracts, the valuation of Group exposure to litigation with third parties, the valuation of goodwill and the assessment of recoverable goodwill, the valuation of income tax assets resulting from tax losses carried forward (the latter is measured in compliance with accounting principles shown in Note 1-C (v) - Deferred income tax) as well as the valuation of defined benefit plans described in Note 1-C (u). Regarding construction contracts, the Group policy is described in Note 1-C (b) - Long-term contracts. In terms of legal proceedings and claims, the Group regularly establishes lists and performs analyses of significant ongoing litigations, so as to record the adequate provisions when necessary. Possible uncertainties related to ongoing litigations are described in Note 31 - Litigation and contingent liabilities.</w:t>
      </w:r>
    </w:p>
    <w:p>
      <w:pPr>
        <w:spacing w:after="0" w:line="394" w:lineRule="exact"/>
        <w:rPr>
          <w:sz w:val="20"/>
          <w:szCs w:val="20"/>
          <w:color w:val="auto"/>
        </w:rPr>
      </w:pPr>
    </w:p>
    <w:p>
      <w:pPr>
        <w:jc w:val="both"/>
        <w:ind w:left="80"/>
        <w:spacing w:after="0" w:line="253" w:lineRule="auto"/>
        <w:rPr>
          <w:sz w:val="20"/>
          <w:szCs w:val="20"/>
          <w:color w:val="auto"/>
        </w:rPr>
      </w:pPr>
      <w:r>
        <w:rPr>
          <w:rFonts w:ascii="Arial" w:cs="Arial" w:eastAsia="Arial" w:hAnsi="Arial"/>
          <w:sz w:val="16"/>
          <w:szCs w:val="16"/>
          <w:color w:val="231F20"/>
        </w:rPr>
        <w:t>Goodwill, measured pursuant to principles described in Note 1-C (d) - Business Combinations, is tested for impairment at least annually and whenever a trigger event is identified. Technip also performs sensitivity analyses on key assumptions used for impairment tests, in order to make sure that no reasonable change of an assumption on which the Group has based its CGUs’ recoverable value jeopardizes the conclusions of these impairment tests.</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2360A6"/>
        </w:rPr>
        <w:t>(b) Long-term Contracts</w:t>
      </w:r>
    </w:p>
    <w:p>
      <w:pPr>
        <w:spacing w:after="0" w:line="254"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Long-term contracts are recorded in accordance with IAS 11 (“Construction Contracts”) where they include construction and delivery of a complex physical</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asset, or in accordance with IAS 18 (“Revenue”) in all other cases.</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Costs incurred on contracts include the following:</w:t>
      </w:r>
    </w:p>
    <w:p>
      <w:pPr>
        <w:spacing w:after="0" w:line="59" w:lineRule="exact"/>
        <w:rPr>
          <w:sz w:val="20"/>
          <w:szCs w:val="20"/>
          <w:color w:val="auto"/>
        </w:rPr>
      </w:pPr>
    </w:p>
    <w:p>
      <w:pPr>
        <w:ind w:left="220" w:hanging="131"/>
        <w:spacing w:after="0"/>
        <w:tabs>
          <w:tab w:leader="none" w:pos="220" w:val="left"/>
        </w:tabs>
        <w:numPr>
          <w:ilvl w:val="0"/>
          <w:numId w:val="32"/>
        </w:numPr>
        <w:rPr>
          <w:rFonts w:ascii="Arial" w:cs="Arial" w:eastAsia="Arial" w:hAnsi="Arial"/>
          <w:sz w:val="16"/>
          <w:szCs w:val="16"/>
          <w:color w:val="2360A6"/>
        </w:rPr>
      </w:pPr>
      <w:r>
        <w:rPr>
          <w:rFonts w:ascii="Arial" w:cs="Arial" w:eastAsia="Arial" w:hAnsi="Arial"/>
          <w:sz w:val="16"/>
          <w:szCs w:val="16"/>
          <w:color w:val="231F20"/>
        </w:rPr>
        <w:t>the purchase of material, the subcontracting cost of engineering, the cost of markets, and all other costs directly linked to the contract;</w:t>
      </w:r>
    </w:p>
    <w:p>
      <w:pPr>
        <w:spacing w:after="0" w:line="59" w:lineRule="exact"/>
        <w:rPr>
          <w:rFonts w:ascii="Arial" w:cs="Arial" w:eastAsia="Arial" w:hAnsi="Arial"/>
          <w:sz w:val="16"/>
          <w:szCs w:val="16"/>
          <w:color w:val="2360A6"/>
        </w:rPr>
      </w:pPr>
    </w:p>
    <w:p>
      <w:pPr>
        <w:ind w:left="220" w:hanging="131"/>
        <w:spacing w:after="0" w:line="260" w:lineRule="auto"/>
        <w:tabs>
          <w:tab w:leader="none" w:pos="220" w:val="left"/>
        </w:tabs>
        <w:numPr>
          <w:ilvl w:val="0"/>
          <w:numId w:val="32"/>
        </w:numPr>
        <w:rPr>
          <w:rFonts w:ascii="Arial" w:cs="Arial" w:eastAsia="Arial" w:hAnsi="Arial"/>
          <w:sz w:val="16"/>
          <w:szCs w:val="16"/>
          <w:color w:val="2360A6"/>
        </w:rPr>
      </w:pPr>
      <w:r>
        <w:rPr>
          <w:rFonts w:ascii="Arial" w:cs="Arial" w:eastAsia="Arial" w:hAnsi="Arial"/>
          <w:sz w:val="16"/>
          <w:szCs w:val="16"/>
          <w:color w:val="231F20"/>
        </w:rPr>
        <w:t>labour costs, related social charges and operating expenses that are directly connected. Selling costs of contracts, research and development costs and the potential charge of “overabsorption” are excluded from those evaluations; and</w:t>
      </w:r>
    </w:p>
    <w:p>
      <w:pPr>
        <w:spacing w:after="0" w:line="33" w:lineRule="exact"/>
        <w:rPr>
          <w:rFonts w:ascii="Arial" w:cs="Arial" w:eastAsia="Arial" w:hAnsi="Arial"/>
          <w:sz w:val="16"/>
          <w:szCs w:val="16"/>
          <w:color w:val="2360A6"/>
        </w:rPr>
      </w:pPr>
    </w:p>
    <w:p>
      <w:pPr>
        <w:ind w:left="220" w:hanging="131"/>
        <w:spacing w:after="0" w:line="260" w:lineRule="auto"/>
        <w:tabs>
          <w:tab w:leader="none" w:pos="220" w:val="left"/>
        </w:tabs>
        <w:numPr>
          <w:ilvl w:val="0"/>
          <w:numId w:val="32"/>
        </w:numPr>
        <w:rPr>
          <w:rFonts w:ascii="Arial" w:cs="Arial" w:eastAsia="Arial" w:hAnsi="Arial"/>
          <w:sz w:val="16"/>
          <w:szCs w:val="16"/>
          <w:color w:val="2360A6"/>
        </w:rPr>
      </w:pPr>
      <w:r>
        <w:rPr>
          <w:rFonts w:ascii="Arial" w:cs="Arial" w:eastAsia="Arial" w:hAnsi="Arial"/>
          <w:sz w:val="16"/>
          <w:szCs w:val="16"/>
          <w:color w:val="231F20"/>
        </w:rPr>
        <w:t>other costs, if any, which could be reinvoiced to the client when specified in the contract clauses. Costs on construction contracts do not include financial expenses.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231F20"/>
        </w:rPr>
        <w:t>Revenues on contracts at completion include:</w:t>
      </w:r>
    </w:p>
    <w:p>
      <w:pPr>
        <w:spacing w:after="0" w:line="59" w:lineRule="exact"/>
        <w:rPr>
          <w:sz w:val="20"/>
          <w:szCs w:val="20"/>
          <w:color w:val="auto"/>
        </w:rPr>
      </w:pPr>
    </w:p>
    <w:p>
      <w:pPr>
        <w:ind w:left="220" w:hanging="131"/>
        <w:spacing w:after="0"/>
        <w:tabs>
          <w:tab w:leader="none" w:pos="220" w:val="left"/>
        </w:tabs>
        <w:numPr>
          <w:ilvl w:val="0"/>
          <w:numId w:val="33"/>
        </w:numPr>
        <w:rPr>
          <w:rFonts w:ascii="Arial" w:cs="Arial" w:eastAsia="Arial" w:hAnsi="Arial"/>
          <w:sz w:val="16"/>
          <w:szCs w:val="16"/>
          <w:color w:val="2360A6"/>
        </w:rPr>
      </w:pPr>
      <w:r>
        <w:rPr>
          <w:rFonts w:ascii="Arial" w:cs="Arial" w:eastAsia="Arial" w:hAnsi="Arial"/>
          <w:sz w:val="16"/>
          <w:szCs w:val="16"/>
          <w:color w:val="231F20"/>
        </w:rPr>
        <w:t>the initial selling price;</w:t>
      </w:r>
    </w:p>
    <w:p>
      <w:pPr>
        <w:spacing w:after="0" w:line="59" w:lineRule="exact"/>
        <w:rPr>
          <w:rFonts w:ascii="Arial" w:cs="Arial" w:eastAsia="Arial" w:hAnsi="Arial"/>
          <w:sz w:val="16"/>
          <w:szCs w:val="16"/>
          <w:color w:val="2360A6"/>
        </w:rPr>
      </w:pPr>
    </w:p>
    <w:p>
      <w:pPr>
        <w:ind w:left="220" w:hanging="131"/>
        <w:spacing w:after="0" w:line="260" w:lineRule="auto"/>
        <w:tabs>
          <w:tab w:leader="none" w:pos="220" w:val="left"/>
        </w:tabs>
        <w:numPr>
          <w:ilvl w:val="0"/>
          <w:numId w:val="33"/>
        </w:numPr>
        <w:rPr>
          <w:rFonts w:ascii="Arial" w:cs="Arial" w:eastAsia="Arial" w:hAnsi="Arial"/>
          <w:sz w:val="16"/>
          <w:szCs w:val="16"/>
          <w:color w:val="2360A6"/>
        </w:rPr>
      </w:pPr>
      <w:r>
        <w:rPr>
          <w:rFonts w:ascii="Arial" w:cs="Arial" w:eastAsia="Arial" w:hAnsi="Arial"/>
          <w:sz w:val="16"/>
          <w:szCs w:val="16"/>
          <w:color w:val="231F20"/>
        </w:rPr>
        <w:t>every additional amendment, variation order and modification (together “changes”) to the initial contract if it is probable that these changes could be reliably measured and that they are accepted by the client; and</w:t>
      </w:r>
    </w:p>
    <w:p>
      <w:pPr>
        <w:spacing w:after="0" w:line="33" w:lineRule="exact"/>
        <w:rPr>
          <w:rFonts w:ascii="Arial" w:cs="Arial" w:eastAsia="Arial" w:hAnsi="Arial"/>
          <w:sz w:val="16"/>
          <w:szCs w:val="16"/>
          <w:color w:val="2360A6"/>
        </w:rPr>
      </w:pPr>
    </w:p>
    <w:p>
      <w:pPr>
        <w:ind w:left="220" w:hanging="131"/>
        <w:spacing w:after="0" w:line="260" w:lineRule="auto"/>
        <w:tabs>
          <w:tab w:leader="none" w:pos="220" w:val="left"/>
        </w:tabs>
        <w:numPr>
          <w:ilvl w:val="0"/>
          <w:numId w:val="33"/>
        </w:numPr>
        <w:rPr>
          <w:rFonts w:ascii="Arial" w:cs="Arial" w:eastAsia="Arial" w:hAnsi="Arial"/>
          <w:sz w:val="16"/>
          <w:szCs w:val="16"/>
          <w:color w:val="2360A6"/>
        </w:rPr>
      </w:pPr>
      <w:r>
        <w:rPr>
          <w:rFonts w:ascii="Arial" w:cs="Arial" w:eastAsia="Arial" w:hAnsi="Arial"/>
          <w:sz w:val="16"/>
          <w:szCs w:val="16"/>
          <w:color w:val="231F20"/>
        </w:rPr>
        <w:t>financial result on contracts when the corresponding cash management is completely separate from the central treasury and that contracts generate a significant net cash position.</w:t>
      </w:r>
    </w:p>
    <w:p>
      <w:pPr>
        <w:spacing w:after="0" w:line="250" w:lineRule="exact"/>
        <w:rPr>
          <w:sz w:val="20"/>
          <w:szCs w:val="20"/>
          <w:color w:val="auto"/>
        </w:rPr>
      </w:pPr>
    </w:p>
    <w:p>
      <w:pPr>
        <w:ind w:left="80" w:right="20"/>
        <w:spacing w:after="0" w:line="260" w:lineRule="auto"/>
        <w:rPr>
          <w:sz w:val="20"/>
          <w:szCs w:val="20"/>
          <w:color w:val="auto"/>
        </w:rPr>
      </w:pPr>
      <w:r>
        <w:rPr>
          <w:rFonts w:ascii="Arial" w:cs="Arial" w:eastAsia="Arial" w:hAnsi="Arial"/>
          <w:sz w:val="16"/>
          <w:szCs w:val="16"/>
          <w:color w:val="231F20"/>
        </w:rPr>
        <w:t>Revenues on ongoing contracts are measured on the basis of costs incurred and of margin recognized at the percentage of completion. Margin is recognized only when the visibility of the riskiest stages of the contract is deemed sufficient and when estimates of costs and revenues are considered to be reliable.</w:t>
      </w:r>
    </w:p>
    <w:p>
      <w:pPr>
        <w:sectPr>
          <w:pgSz w:w="11900" w:h="16838" w:orient="portrait"/>
          <w:cols w:equalWidth="0" w:num="1">
            <w:col w:w="11420"/>
          </w:cols>
          <w:pgMar w:left="240" w:top="676" w:right="239" w:bottom="1440" w:gutter="0" w:footer="0" w:header="0"/>
        </w:sectPr>
      </w:pPr>
    </w:p>
    <w:bookmarkStart w:id="81" w:name="page82"/>
    <w:bookmarkEnd w:id="81"/>
    <w:p>
      <w:pPr>
        <w:jc w:val="both"/>
        <w:spacing w:after="0" w:line="253" w:lineRule="auto"/>
        <w:rPr>
          <w:sz w:val="20"/>
          <w:szCs w:val="20"/>
          <w:color w:val="auto"/>
        </w:rPr>
      </w:pPr>
      <w:r>
        <w:rPr>
          <w:rFonts w:ascii="Arial" w:cs="Arial" w:eastAsia="Arial" w:hAnsi="Arial"/>
          <w:sz w:val="16"/>
          <w:szCs w:val="16"/>
          <w:color w:val="231F20"/>
        </w:rPr>
        <w:t>The percentage of completion is calculated according to the nature and the specific risk of each contract in order to reflect the effective completion of the project. This percentage of completion can be based on technical milestones defined for the main deliverables under the contracts or based on the ratio between costs incurred to date and estimated total costs at completion.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231F20"/>
        </w:rPr>
        <w:t>As soon as the estimate of the final outcome of a contract indicates a loss, a provision is recorded for the entire loss.</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gross margin of a long-term contract at completion is based on an analysis of total costs and income at completion, which are reviewed periodically and regularly throughout the life of the contract.</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In accordance with IAS 11, construction contracts are presented in the statement of financial position as follows: for each construction contract, the accumulated costs incurred, as well as the gross margin recognized at the contract’s percentage of completion (plus accruals for foreseeable losses if needed), after deduction of the payments received from the clients, are shown on the asset side under the “Construction Contracts - Amounts in Assets” line item if the balance of those combined components is a debit; if the balance is a credit, these are shown on the liability side under the “Construction Contracts - Amounts in Liabilities” line item.</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 construction contract is considered completed when the last technical milestone is achieved, which occurs upon contractual transfer of ownership of the asset or temporary delivery, even if conditional. Upon completion of the contract:</w:t>
      </w:r>
    </w:p>
    <w:p>
      <w:pPr>
        <w:spacing w:after="0" w:line="196" w:lineRule="exact"/>
        <w:rPr>
          <w:sz w:val="20"/>
          <w:szCs w:val="20"/>
          <w:color w:val="auto"/>
        </w:rPr>
      </w:pPr>
    </w:p>
    <w:p>
      <w:pPr>
        <w:jc w:val="both"/>
        <w:ind w:left="140" w:hanging="131"/>
        <w:spacing w:after="0" w:line="253" w:lineRule="auto"/>
        <w:tabs>
          <w:tab w:leader="none" w:pos="140" w:val="left"/>
        </w:tabs>
        <w:numPr>
          <w:ilvl w:val="0"/>
          <w:numId w:val="34"/>
        </w:numPr>
        <w:rPr>
          <w:rFonts w:ascii="Arial" w:cs="Arial" w:eastAsia="Arial" w:hAnsi="Arial"/>
          <w:sz w:val="16"/>
          <w:szCs w:val="16"/>
          <w:color w:val="2360A6"/>
        </w:rPr>
      </w:pPr>
      <w:r>
        <w:rPr>
          <w:rFonts w:ascii="Arial" w:cs="Arial" w:eastAsia="Arial" w:hAnsi="Arial"/>
          <w:sz w:val="16"/>
          <w:szCs w:val="16"/>
          <w:color w:val="231F20"/>
        </w:rPr>
        <w:t>the balance of “Construction Contracts - Amounts in Assets”, which at that time amounts to the total sale price of the contract, less accumulated payments received under this contract at the delivery date, is invoiced to the customer and recorded as current receivables on contracts (see Note 16 - Trade receivables);</w:t>
      </w:r>
    </w:p>
    <w:p>
      <w:pPr>
        <w:spacing w:after="0" w:line="174" w:lineRule="exact"/>
        <w:rPr>
          <w:rFonts w:ascii="Arial" w:cs="Arial" w:eastAsia="Arial" w:hAnsi="Arial"/>
          <w:sz w:val="16"/>
          <w:szCs w:val="16"/>
          <w:color w:val="2360A6"/>
        </w:rPr>
      </w:pPr>
    </w:p>
    <w:p>
      <w:pPr>
        <w:ind w:left="140" w:hanging="131"/>
        <w:spacing w:after="0" w:line="260" w:lineRule="auto"/>
        <w:tabs>
          <w:tab w:leader="none" w:pos="140" w:val="left"/>
        </w:tabs>
        <w:numPr>
          <w:ilvl w:val="0"/>
          <w:numId w:val="34"/>
        </w:numPr>
        <w:rPr>
          <w:rFonts w:ascii="Arial" w:cs="Arial" w:eastAsia="Arial" w:hAnsi="Arial"/>
          <w:sz w:val="16"/>
          <w:szCs w:val="16"/>
          <w:color w:val="2360A6"/>
        </w:rPr>
      </w:pPr>
      <w:r>
        <w:rPr>
          <w:rFonts w:ascii="Arial" w:cs="Arial" w:eastAsia="Arial" w:hAnsi="Arial"/>
          <w:sz w:val="16"/>
          <w:szCs w:val="16"/>
          <w:color w:val="231F20"/>
        </w:rPr>
        <w:t>if necessary, a liability may be accrued and recorded in “Other Current Payables” in the statement of financial position in order to cover pending expenses to get the acceptance certificate from the client.</w:t>
      </w:r>
    </w:p>
    <w:p>
      <w:pPr>
        <w:spacing w:after="0" w:line="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per IAS 18, other long-term contracts are recorded as follows in the statement of financial position: invoicing in advance of revenue to be recognized is recorded as advances received in “Other Current Liabilities” (see Note 25 - Other current and non-current liabilities); invoicing that trails revenues to be recognized is recorded in “Trade Receivables” (see Note 16 - Trade receivables).</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Costs incurred before contract signing (“bid costs”), when they can be directly linked to a future construction contract where the signature is almost certain, are recorded in “Construction Contracts - Amounts in Assets” (see Note 15 - Construction contracts), and then included in costs of ongoing contracts when the contract is obtained. From a practical point of view, costs effectively capitalized correspond to the bid costs incurred during the quarter of the contract’s award. Bid costs are directly recorded into consolidated income statement on the line “Selling Costs” when a contract is not secured.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(c) Foreign Currency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FOREIGN CURRENCY TRANSACTIONS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231F20"/>
        </w:rPr>
        <w:t>Foreign currency transactions are translated into the functional currency at the exchange rate applicable on the transaction date.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At the closing date, monetary assets and liabilities stated in foreign currencies are translated into the functional currency at the exchange rate prevailing on that date. Resulting exchange gains or losses are directly recorded in the income statement, except exchange gains or losses on cash accounts eligible for future cash flow hedging and for hedging on net foreign currency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TRANSLATION OF FINANCIAL STATEMENTS OF SUBSIDIARIES IN FOREIGN CURRENCY</w:t>
      </w:r>
    </w:p>
    <w:p>
      <w:pPr>
        <w:spacing w:after="0" w:line="25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31F20"/>
        </w:rPr>
        <w:t>The income statements of foreign subsidiaries are translated into Euro at the average exchange rate prevailing during the year. Statements of financial position are translated at the exchange rate at the closing date. Differences arising in the translation of financial statements of foreign subsidiaries are recorded in other comprehensive income as foreign currency translation reserve. The functional currency of the foreign subsidiaries is most commonly the local currency.</w:t>
      </w:r>
    </w:p>
    <w:p>
      <w:pPr>
        <w:sectPr>
          <w:pgSz w:w="11900" w:h="16838" w:orient="portrait"/>
          <w:cols w:equalWidth="0" w:num="1">
            <w:col w:w="11340"/>
          </w:cols>
          <w:pgMar w:left="320" w:top="60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231F20"/>
        </w:rPr>
        <w:t>DERIVATIVES AND HEDGING PROCESSING</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Every derivative financial instrument held by the Group is aimed at hedging future inflows or outflows against exchange rate fluctuations during the period of contract performance. Derivative instruments and in particular forward exchange transactions are aimed at hedging future inflows or outflows against exchange rate fluctuations in relation with awarded commercial contracts.</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Foreign currency treasury accounts designated for a contract and used to finance its future expenses in foreign currencies may qualify as a foreign currency cash flow hedge.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231F20"/>
        </w:rPr>
        <w:t>An economic hedging may occasionally be obtained by offsetting cash inflows and outflows on a single contract (“natural hedging”).</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When implementing hedging transactions, each Group’s subsidiary enters into forward exchange contracts with banks or with Technip Eurocash SNC, the company that performs centralized treasury management for the Group. However, only instruments that involve a third party outside of the Group are designated as hedging instruments.</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A derivative instrument qualifies for hedge accounting (fair value hedge or cash flow hedge) when there is a formal designation and documentation of the hedging relationship, and of the effectiveness of the hedge throughout the life of the contract. A fair value hedge aims at reducing risks incurred by changes in the market value of some assets, liabilities or firm commitments. A cash flow hedge aims at reducing risks incurred by variations in the value of future cash flows that may impact net income.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231F20"/>
        </w:rPr>
        <w:t>In order for a currency derivative to be eligible for hedge accounting treatment, the following conditions have to be met:</w:t>
      </w:r>
    </w:p>
    <w:p>
      <w:pPr>
        <w:spacing w:after="0" w:line="5" w:lineRule="exact"/>
        <w:rPr>
          <w:sz w:val="20"/>
          <w:szCs w:val="20"/>
          <w:color w:val="auto"/>
        </w:rPr>
      </w:pPr>
    </w:p>
    <w:p>
      <w:pPr>
        <w:ind w:left="140" w:hanging="131"/>
        <w:spacing w:after="0"/>
        <w:tabs>
          <w:tab w:leader="none" w:pos="140" w:val="left"/>
        </w:tabs>
        <w:numPr>
          <w:ilvl w:val="0"/>
          <w:numId w:val="35"/>
        </w:numPr>
        <w:rPr>
          <w:rFonts w:ascii="Arial" w:cs="Arial" w:eastAsia="Arial" w:hAnsi="Arial"/>
          <w:sz w:val="16"/>
          <w:szCs w:val="16"/>
          <w:color w:val="2360A6"/>
        </w:rPr>
      </w:pPr>
      <w:r>
        <w:rPr>
          <w:rFonts w:ascii="Arial" w:cs="Arial" w:eastAsia="Arial" w:hAnsi="Arial"/>
          <w:sz w:val="16"/>
          <w:szCs w:val="16"/>
          <w:color w:val="231F20"/>
        </w:rPr>
        <w:t>its hedging role must be clearly defined and documented at the date of inception; and</w:t>
      </w:r>
    </w:p>
    <w:p>
      <w:pPr>
        <w:spacing w:after="0" w:line="5" w:lineRule="exact"/>
        <w:rPr>
          <w:rFonts w:ascii="Arial" w:cs="Arial" w:eastAsia="Arial" w:hAnsi="Arial"/>
          <w:sz w:val="16"/>
          <w:szCs w:val="16"/>
          <w:color w:val="2360A6"/>
        </w:rPr>
      </w:pPr>
    </w:p>
    <w:p>
      <w:pPr>
        <w:jc w:val="both"/>
        <w:ind w:left="140" w:hanging="131"/>
        <w:spacing w:after="0" w:line="253" w:lineRule="auto"/>
        <w:tabs>
          <w:tab w:leader="none" w:pos="140" w:val="left"/>
        </w:tabs>
        <w:numPr>
          <w:ilvl w:val="0"/>
          <w:numId w:val="35"/>
        </w:numPr>
        <w:rPr>
          <w:rFonts w:ascii="Arial" w:cs="Arial" w:eastAsia="Arial" w:hAnsi="Arial"/>
          <w:sz w:val="16"/>
          <w:szCs w:val="16"/>
          <w:color w:val="2360A6"/>
        </w:rPr>
      </w:pPr>
      <w:r>
        <w:rPr>
          <w:rFonts w:ascii="Arial" w:cs="Arial" w:eastAsia="Arial" w:hAnsi="Arial"/>
          <w:sz w:val="16"/>
          <w:szCs w:val="16"/>
          <w:color w:val="231F20"/>
        </w:rPr>
        <w:t>its efficiency should be proved at the date of inception and/or as long as it remains efficient. If the efficiency test results in a score between 80 and 125%, changes in fair value or in cash flows of the covered element must be almost entirely offset by the changes in fair value or in cash flows of the derivative instrument.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231F20"/>
        </w:rPr>
        <w:t>All derivative instruments are recorded and disclosed in the statement of financial position at fair value:</w:t>
      </w:r>
    </w:p>
    <w:p>
      <w:pPr>
        <w:spacing w:after="0" w:line="59" w:lineRule="exact"/>
        <w:rPr>
          <w:sz w:val="20"/>
          <w:szCs w:val="20"/>
          <w:color w:val="auto"/>
        </w:rPr>
      </w:pPr>
    </w:p>
    <w:p>
      <w:pPr>
        <w:ind w:left="140" w:hanging="131"/>
        <w:spacing w:after="0"/>
        <w:tabs>
          <w:tab w:leader="none" w:pos="140" w:val="left"/>
        </w:tabs>
        <w:numPr>
          <w:ilvl w:val="0"/>
          <w:numId w:val="36"/>
        </w:numPr>
        <w:rPr>
          <w:rFonts w:ascii="Arial" w:cs="Arial" w:eastAsia="Arial" w:hAnsi="Arial"/>
          <w:sz w:val="16"/>
          <w:szCs w:val="16"/>
          <w:color w:val="2360A6"/>
        </w:rPr>
      </w:pPr>
      <w:r>
        <w:rPr>
          <w:rFonts w:ascii="Arial" w:cs="Arial" w:eastAsia="Arial" w:hAnsi="Arial"/>
          <w:sz w:val="16"/>
          <w:szCs w:val="16"/>
          <w:color w:val="231F20"/>
        </w:rPr>
        <w:t>derivative instruments considered as hedging are classified as current assets and liabilities, as they follow the operating cycle; and</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36"/>
        </w:numPr>
        <w:rPr>
          <w:rFonts w:ascii="Arial" w:cs="Arial" w:eastAsia="Arial" w:hAnsi="Arial"/>
          <w:sz w:val="16"/>
          <w:szCs w:val="16"/>
          <w:color w:val="2360A6"/>
        </w:rPr>
      </w:pPr>
      <w:r>
        <w:rPr>
          <w:rFonts w:ascii="Arial" w:cs="Arial" w:eastAsia="Arial" w:hAnsi="Arial"/>
          <w:sz w:val="16"/>
          <w:szCs w:val="16"/>
          <w:color w:val="231F20"/>
        </w:rPr>
        <w:t>derivative instruments not considered as hedging are also classified as current assets and liabilities.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231F20"/>
        </w:rPr>
        <w:t>Changes in fair value are recognized as follows:</w:t>
      </w:r>
    </w:p>
    <w:p>
      <w:pPr>
        <w:spacing w:after="0" w:line="59" w:lineRule="exact"/>
        <w:rPr>
          <w:sz w:val="20"/>
          <w:szCs w:val="20"/>
          <w:color w:val="auto"/>
        </w:rPr>
      </w:pPr>
    </w:p>
    <w:p>
      <w:pPr>
        <w:jc w:val="both"/>
        <w:ind w:left="140" w:hanging="131"/>
        <w:spacing w:after="0" w:line="251" w:lineRule="auto"/>
        <w:tabs>
          <w:tab w:leader="none" w:pos="140" w:val="left"/>
        </w:tabs>
        <w:numPr>
          <w:ilvl w:val="0"/>
          <w:numId w:val="37"/>
        </w:numPr>
        <w:rPr>
          <w:rFonts w:ascii="Arial" w:cs="Arial" w:eastAsia="Arial" w:hAnsi="Arial"/>
          <w:sz w:val="16"/>
          <w:szCs w:val="16"/>
          <w:color w:val="2360A6"/>
        </w:rPr>
      </w:pPr>
      <w:r>
        <w:rPr>
          <w:rFonts w:ascii="Arial" w:cs="Arial" w:eastAsia="Arial" w:hAnsi="Arial"/>
          <w:sz w:val="16"/>
          <w:szCs w:val="16"/>
          <w:color w:val="231F20"/>
        </w:rPr>
        <w:t>regarding cash flow hedges, the portion of the gain or loss corresponding to the effectiveness of the hedging instrument is recorded directly in other comprehensive income, and the ineffective portion of the gain or loss on the hedging instrument is recorded in the income statement. The exchange gain or loss on derivative cash flow hedging instruments, which is deferred in equity, is reclassified in the net income of the period(s) in which the specified hedged transaction affects the income statement;</w:t>
      </w:r>
    </w:p>
    <w:p>
      <w:pPr>
        <w:spacing w:after="0" w:line="40" w:lineRule="exact"/>
        <w:rPr>
          <w:rFonts w:ascii="Arial" w:cs="Arial" w:eastAsia="Arial" w:hAnsi="Arial"/>
          <w:sz w:val="16"/>
          <w:szCs w:val="16"/>
          <w:color w:val="2360A6"/>
        </w:rPr>
      </w:pPr>
    </w:p>
    <w:p>
      <w:pPr>
        <w:jc w:val="both"/>
        <w:ind w:left="140" w:hanging="131"/>
        <w:spacing w:after="0" w:line="253" w:lineRule="auto"/>
        <w:tabs>
          <w:tab w:leader="none" w:pos="140" w:val="left"/>
        </w:tabs>
        <w:numPr>
          <w:ilvl w:val="0"/>
          <w:numId w:val="37"/>
        </w:numPr>
        <w:rPr>
          <w:rFonts w:ascii="Arial" w:cs="Arial" w:eastAsia="Arial" w:hAnsi="Arial"/>
          <w:sz w:val="16"/>
          <w:szCs w:val="16"/>
          <w:color w:val="2360A6"/>
        </w:rPr>
      </w:pPr>
      <w:r>
        <w:rPr>
          <w:rFonts w:ascii="Arial" w:cs="Arial" w:eastAsia="Arial" w:hAnsi="Arial"/>
          <w:sz w:val="16"/>
          <w:szCs w:val="16"/>
          <w:color w:val="231F20"/>
        </w:rPr>
        <w:t>the changes in fair value of derivative financial instruments that qualify as fair value hedge are recorded as financial income or expenses. The ineffective portion of the gain or loss is immediately recorded in the income statement. The carrying amount of a hedged item is adjusted by the gain or loss on this hedged item which may be allocated to the hedged risk and is recorded in the income statement; and</w:t>
      </w:r>
    </w:p>
    <w:p>
      <w:pPr>
        <w:spacing w:after="0" w:line="39" w:lineRule="exact"/>
        <w:rPr>
          <w:rFonts w:ascii="Arial" w:cs="Arial" w:eastAsia="Arial" w:hAnsi="Arial"/>
          <w:sz w:val="16"/>
          <w:szCs w:val="16"/>
          <w:color w:val="2360A6"/>
        </w:rPr>
      </w:pPr>
    </w:p>
    <w:p>
      <w:pPr>
        <w:ind w:left="140" w:hanging="131"/>
        <w:spacing w:after="0" w:line="260" w:lineRule="auto"/>
        <w:tabs>
          <w:tab w:leader="none" w:pos="140" w:val="left"/>
        </w:tabs>
        <w:numPr>
          <w:ilvl w:val="0"/>
          <w:numId w:val="37"/>
        </w:numPr>
        <w:rPr>
          <w:rFonts w:ascii="Arial" w:cs="Arial" w:eastAsia="Arial" w:hAnsi="Arial"/>
          <w:sz w:val="16"/>
          <w:szCs w:val="16"/>
          <w:color w:val="2360A6"/>
        </w:rPr>
      </w:pPr>
      <w:r>
        <w:rPr>
          <w:rFonts w:ascii="Arial" w:cs="Arial" w:eastAsia="Arial" w:hAnsi="Arial"/>
          <w:sz w:val="16"/>
          <w:szCs w:val="16"/>
          <w:color w:val="231F20"/>
        </w:rPr>
        <w:t>the changes in fair value of derivative financial instruments that do not qualify as hedging in accounting standards are directly recorded in the income statement.</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The fair value of derivative financial instruments is estimated on the basis of valuations provided by bank counterparties or financial models commonly used in financial markets, using market data as of the statement of financial position date.</w:t>
      </w:r>
    </w:p>
    <w:p>
      <w:pPr>
        <w:spacing w:after="0" w:line="19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So as to determine this fair value, the Group uses the following hierarchy for determining and disclosing the fair value of financial instruments depending on the valuation methods:</w:t>
      </w:r>
    </w:p>
    <w:p>
      <w:pPr>
        <w:spacing w:after="0" w:line="34" w:lineRule="exact"/>
        <w:rPr>
          <w:sz w:val="20"/>
          <w:szCs w:val="20"/>
          <w:color w:val="auto"/>
        </w:rPr>
      </w:pPr>
    </w:p>
    <w:p>
      <w:pPr>
        <w:ind w:left="140" w:hanging="131"/>
        <w:spacing w:after="0"/>
        <w:tabs>
          <w:tab w:leader="none" w:pos="140" w:val="left"/>
        </w:tabs>
        <w:numPr>
          <w:ilvl w:val="0"/>
          <w:numId w:val="38"/>
        </w:numPr>
        <w:rPr>
          <w:rFonts w:ascii="Arial" w:cs="Arial" w:eastAsia="Arial" w:hAnsi="Arial"/>
          <w:sz w:val="16"/>
          <w:szCs w:val="16"/>
          <w:color w:val="2360A6"/>
        </w:rPr>
      </w:pPr>
      <w:r>
        <w:rPr>
          <w:rFonts w:ascii="Arial" w:cs="Arial" w:eastAsia="Arial" w:hAnsi="Arial"/>
          <w:sz w:val="16"/>
          <w:szCs w:val="16"/>
          <w:color w:val="231F20"/>
        </w:rPr>
        <w:t>Level 1: quoted (unadjusted) prices in active markets for identical assets or liabilities;</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38"/>
        </w:numPr>
        <w:rPr>
          <w:rFonts w:ascii="Arial" w:cs="Arial" w:eastAsia="Arial" w:hAnsi="Arial"/>
          <w:sz w:val="16"/>
          <w:szCs w:val="16"/>
          <w:color w:val="2360A6"/>
        </w:rPr>
      </w:pPr>
      <w:r>
        <w:rPr>
          <w:rFonts w:ascii="Arial" w:cs="Arial" w:eastAsia="Arial" w:hAnsi="Arial"/>
          <w:sz w:val="16"/>
          <w:szCs w:val="16"/>
          <w:color w:val="231F20"/>
        </w:rPr>
        <w:t>Level 2: inputs other than quoted prices included within Level 1, that are observable for the asset or liability, either directly or indirectly;</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38"/>
        </w:numPr>
        <w:rPr>
          <w:rFonts w:ascii="Arial" w:cs="Arial" w:eastAsia="Arial" w:hAnsi="Arial"/>
          <w:sz w:val="16"/>
          <w:szCs w:val="16"/>
          <w:color w:val="2360A6"/>
        </w:rPr>
      </w:pPr>
      <w:r>
        <w:rPr>
          <w:rFonts w:ascii="Arial" w:cs="Arial" w:eastAsia="Arial" w:hAnsi="Arial"/>
          <w:sz w:val="16"/>
          <w:szCs w:val="16"/>
          <w:color w:val="231F20"/>
        </w:rPr>
        <w:t>Level 3: inputs which have a significant effect on the recorded fair value and that are not based on observable market data.</w:t>
      </w:r>
    </w:p>
    <w:p>
      <w:pPr>
        <w:spacing w:after="0" w:line="221" w:lineRule="exact"/>
        <w:rPr>
          <w:sz w:val="20"/>
          <w:szCs w:val="20"/>
          <w:color w:val="auto"/>
        </w:rPr>
      </w:pPr>
    </w:p>
    <w:p>
      <w:pPr>
        <w:spacing w:after="0" w:line="250" w:lineRule="auto"/>
        <w:rPr>
          <w:sz w:val="20"/>
          <w:szCs w:val="20"/>
          <w:color w:val="auto"/>
        </w:rPr>
      </w:pPr>
      <w:r>
        <w:rPr>
          <w:rFonts w:ascii="Arial" w:cs="Arial" w:eastAsia="Arial" w:hAnsi="Arial"/>
          <w:sz w:val="16"/>
          <w:szCs w:val="16"/>
          <w:color w:val="231F20"/>
        </w:rPr>
        <w:t>Due to their short maturities, the fair value of cash, cash equivalents, trade receivables and trade payables is considered as being equivalent to carrying value.</w:t>
      </w:r>
    </w:p>
    <w:p>
      <w:pPr>
        <w:sectPr>
          <w:pgSz w:w="11900" w:h="16838" w:orient="portrait"/>
          <w:cols w:equalWidth="0" w:num="1">
            <w:col w:w="11340"/>
          </w:cols>
          <w:pgMar w:left="320" w:top="576"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231F20"/>
        </w:rPr>
        <w:t>BID CONTRACTS IN FOREIGN CURRENCY</w:t>
      </w: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To hedge its exposure to exchange rate fluctuations during the bid-period of construction contracts, Technip occasionally enters into insurance contracts under which foreign currencies are exchanged at a specified rate and at a specified future date only if the new contract is awarded. The premium the Group pays to enter into such an insurance contract is charged to the income statement when paid. If the commercial bid is not successful, the insurance contract is automatically terminated without any additional cash settlements or penalties.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231F20"/>
        </w:rPr>
        <w:t>In some cases, Technip may enter into foreign currency options for some proposals during the bid-period. These options cannot be eligible for hedging.</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(d) Business Combinations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231F20"/>
        </w:rPr>
        <w:t>Assets, liabilities and contingent liabilities acquired within business combinations are recorded and valued at their fair value using the purchase method.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Identifiable assets are depreciated over their estimated useful lives.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goodwill, of which measurement results in difference between the acquisition price and the estimation of identifiable assets, liabilities and contingent liabilities at their fair value, is posted on the “Goodwill” line item when significant, under the “Intangible Assets” category. Goodwill is no longer amortized as per IFRS 3.</w:t>
      </w:r>
    </w:p>
    <w:p>
      <w:pPr>
        <w:spacing w:after="0" w:line="20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Adjustments recorded for a business combination on the provisional values of assets, liabilities and contingent liabilities are recognized as a retrospective change in goodwill when occurring within a 12-month period after the acquisition date and resulting from facts or circumstances that existed as of the acquisition date. After this measurement period ends, any change in valuation of assets, liabilities and contingent liabilities is accounted for in profit and loss statement, with no impact on goodwill.</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net value of intangible assets is subject to impairment tests performed on a regular basis, using the discounted cash flow method on the basis of the estimates of cash flows generated by the activities to which these goodwill are allocated, these estimates correspond to the most likely assumptions adopted by the Board of Directors. Impairment tests are based on estimates in terms of growth rates, operating margin rates, discount rates and corporate tax rates. The assumptions used are based on the four-year business plans for each activity that have been approved by the Board of Directors.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a general rule, these business plans are determined in accordance with the Group accounting methods to establish its consolidated historical statements. The backlog and backlog scheduling forecasts, the investments in production capabilities, fleet and other logistic capabilities, as well as the internal and external market studies are critical to the elaboration of Technip’s business plans.</w:t>
      </w:r>
    </w:p>
    <w:p>
      <w:pPr>
        <w:spacing w:after="0" w:line="5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goodwill and corresponding assets and liabilities are allocated to the appropriate activities (Onshore/Offshore/ Subsea, corresponding to the Group CGUs).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231F20"/>
        </w:rPr>
        <w:t>Goodwill impairment analysis is performed during the fourth quarter of each financial year or whenever there is an indication that an asset may be impaired.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231F20"/>
        </w:rPr>
        <w:t>Actual figures may differ from projections. If calculations show that an asset shall be impaired, an impairment expense is recognized.</w:t>
      </w:r>
    </w:p>
    <w:p>
      <w:pPr>
        <w:sectPr>
          <w:pgSz w:w="11900" w:h="16838" w:orient="portrait"/>
          <w:cols w:equalWidth="0" w:num="1">
            <w:col w:w="11340"/>
          </w:cols>
          <w:pgMar w:left="320" w:top="576" w:right="239" w:bottom="1440" w:gutter="0" w:footer="0" w:header="0"/>
        </w:sectPr>
      </w:pPr>
    </w:p>
    <w:bookmarkStart w:id="84" w:name="page85"/>
    <w:bookmarkEnd w:id="84"/>
    <w:p>
      <w:pPr>
        <w:spacing w:after="0"/>
        <w:rPr>
          <w:sz w:val="20"/>
          <w:szCs w:val="20"/>
          <w:color w:val="auto"/>
        </w:rPr>
      </w:pPr>
      <w:r>
        <w:rPr>
          <w:rFonts w:ascii="Arial" w:cs="Arial" w:eastAsia="Arial" w:hAnsi="Arial"/>
          <w:sz w:val="22"/>
          <w:szCs w:val="22"/>
          <w:b w:val="1"/>
          <w:bCs w:val="1"/>
          <w:color w:val="2360A6"/>
        </w:rPr>
        <w:t>(e) Segment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INFORMATION BY BUSINESS SEGMENT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231F20"/>
        </w:rPr>
        <w:t>As per IFRS 8, an operating segment is a component of an entity:</w:t>
      </w:r>
    </w:p>
    <w:p>
      <w:pPr>
        <w:spacing w:after="0" w:line="59" w:lineRule="exact"/>
        <w:rPr>
          <w:sz w:val="20"/>
          <w:szCs w:val="20"/>
          <w:color w:val="auto"/>
        </w:rPr>
      </w:pPr>
    </w:p>
    <w:p>
      <w:pPr>
        <w:ind w:left="140" w:hanging="131"/>
        <w:spacing w:after="0"/>
        <w:tabs>
          <w:tab w:leader="none" w:pos="140" w:val="left"/>
        </w:tabs>
        <w:numPr>
          <w:ilvl w:val="0"/>
          <w:numId w:val="39"/>
        </w:numPr>
        <w:rPr>
          <w:rFonts w:ascii="Arial" w:cs="Arial" w:eastAsia="Arial" w:hAnsi="Arial"/>
          <w:sz w:val="16"/>
          <w:szCs w:val="16"/>
          <w:color w:val="2360A6"/>
        </w:rPr>
      </w:pPr>
      <w:r>
        <w:rPr>
          <w:rFonts w:ascii="Arial" w:cs="Arial" w:eastAsia="Arial" w:hAnsi="Arial"/>
          <w:sz w:val="16"/>
          <w:szCs w:val="16"/>
          <w:color w:val="231F20"/>
        </w:rPr>
        <w:t>that engages in business activities from which it may earn revenues and incur expenses;</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39"/>
        </w:numPr>
        <w:rPr>
          <w:rFonts w:ascii="Arial" w:cs="Arial" w:eastAsia="Arial" w:hAnsi="Arial"/>
          <w:sz w:val="16"/>
          <w:szCs w:val="16"/>
          <w:color w:val="2360A6"/>
        </w:rPr>
      </w:pPr>
      <w:r>
        <w:rPr>
          <w:rFonts w:ascii="Arial" w:cs="Arial" w:eastAsia="Arial" w:hAnsi="Arial"/>
          <w:sz w:val="16"/>
          <w:szCs w:val="16"/>
          <w:color w:val="231F20"/>
        </w:rPr>
        <w:t>whose operating results are regularly reviewed by the entity’s chief operating decision maker; and</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39"/>
        </w:numPr>
        <w:rPr>
          <w:rFonts w:ascii="Arial" w:cs="Arial" w:eastAsia="Arial" w:hAnsi="Arial"/>
          <w:sz w:val="16"/>
          <w:szCs w:val="16"/>
          <w:color w:val="2360A6"/>
        </w:rPr>
      </w:pPr>
      <w:r>
        <w:rPr>
          <w:rFonts w:ascii="Arial" w:cs="Arial" w:eastAsia="Arial" w:hAnsi="Arial"/>
          <w:sz w:val="16"/>
          <w:szCs w:val="16"/>
          <w:color w:val="231F20"/>
        </w:rPr>
        <w:t>for which distinct financial information is available.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231F20"/>
        </w:rPr>
        <w:t>The three business segments as reported to the main operating decision-maker, the Group Executive Committee, are organized as following:</w:t>
      </w:r>
    </w:p>
    <w:p>
      <w:pPr>
        <w:spacing w:after="0" w:line="59" w:lineRule="exact"/>
        <w:rPr>
          <w:sz w:val="20"/>
          <w:szCs w:val="20"/>
          <w:color w:val="auto"/>
        </w:rPr>
      </w:pPr>
    </w:p>
    <w:p>
      <w:pPr>
        <w:ind w:left="140" w:hanging="131"/>
        <w:spacing w:after="0"/>
        <w:tabs>
          <w:tab w:leader="none" w:pos="140" w:val="left"/>
        </w:tabs>
        <w:numPr>
          <w:ilvl w:val="0"/>
          <w:numId w:val="40"/>
        </w:numPr>
        <w:rPr>
          <w:rFonts w:ascii="Arial" w:cs="Arial" w:eastAsia="Arial" w:hAnsi="Arial"/>
          <w:sz w:val="16"/>
          <w:szCs w:val="16"/>
          <w:color w:val="2360A6"/>
        </w:rPr>
      </w:pPr>
      <w:r>
        <w:rPr>
          <w:rFonts w:ascii="Arial" w:cs="Arial" w:eastAsia="Arial" w:hAnsi="Arial"/>
          <w:sz w:val="16"/>
          <w:szCs w:val="16"/>
          <w:color w:val="231F20"/>
        </w:rPr>
        <w:t>the Subsea segment includes the design, manufacture, procurement and installation of subsea equipment;</w:t>
      </w:r>
    </w:p>
    <w:p>
      <w:pPr>
        <w:spacing w:after="0" w:line="59" w:lineRule="exact"/>
        <w:rPr>
          <w:rFonts w:ascii="Arial" w:cs="Arial" w:eastAsia="Arial" w:hAnsi="Arial"/>
          <w:sz w:val="16"/>
          <w:szCs w:val="16"/>
          <w:color w:val="2360A6"/>
        </w:rPr>
      </w:pPr>
    </w:p>
    <w:p>
      <w:pPr>
        <w:jc w:val="both"/>
        <w:ind w:left="140" w:hanging="131"/>
        <w:spacing w:after="0" w:line="251" w:lineRule="auto"/>
        <w:tabs>
          <w:tab w:leader="none" w:pos="140" w:val="left"/>
        </w:tabs>
        <w:numPr>
          <w:ilvl w:val="0"/>
          <w:numId w:val="40"/>
        </w:numPr>
        <w:rPr>
          <w:rFonts w:ascii="Arial" w:cs="Arial" w:eastAsia="Arial" w:hAnsi="Arial"/>
          <w:sz w:val="16"/>
          <w:szCs w:val="16"/>
          <w:color w:val="2360A6"/>
        </w:rPr>
      </w:pPr>
      <w:r>
        <w:rPr>
          <w:rFonts w:ascii="Arial" w:cs="Arial" w:eastAsia="Arial" w:hAnsi="Arial"/>
          <w:sz w:val="16"/>
          <w:szCs w:val="16"/>
          <w:color w:val="231F20"/>
        </w:rPr>
        <w:t>the Onshore/Offshore segment includes the entire engineering and construction business for petrochemical and refining plants as well as facilities for developing onshore oil and gas fields (including gas treatment units, liquefied natural gas (LNG) units and onshore pipelines). It also includes the renewable energies and the engineering and construction of non-petroleum facilities; as well as the design and construction of fixed or floating facilities and surface installations; and</w:t>
      </w:r>
    </w:p>
    <w:p>
      <w:pPr>
        <w:spacing w:after="0" w:line="40" w:lineRule="exact"/>
        <w:rPr>
          <w:rFonts w:ascii="Arial" w:cs="Arial" w:eastAsia="Arial" w:hAnsi="Arial"/>
          <w:sz w:val="16"/>
          <w:szCs w:val="16"/>
          <w:color w:val="2360A6"/>
        </w:rPr>
      </w:pPr>
    </w:p>
    <w:p>
      <w:pPr>
        <w:ind w:left="140" w:hanging="131"/>
        <w:spacing w:after="0" w:line="260" w:lineRule="auto"/>
        <w:tabs>
          <w:tab w:leader="none" w:pos="140" w:val="left"/>
        </w:tabs>
        <w:numPr>
          <w:ilvl w:val="0"/>
          <w:numId w:val="40"/>
        </w:numPr>
        <w:rPr>
          <w:rFonts w:ascii="Arial" w:cs="Arial" w:eastAsia="Arial" w:hAnsi="Arial"/>
          <w:sz w:val="16"/>
          <w:szCs w:val="16"/>
          <w:color w:val="2360A6"/>
        </w:rPr>
      </w:pPr>
      <w:r>
        <w:rPr>
          <w:rFonts w:ascii="Arial" w:cs="Arial" w:eastAsia="Arial" w:hAnsi="Arial"/>
          <w:sz w:val="16"/>
          <w:szCs w:val="16"/>
          <w:color w:val="231F20"/>
        </w:rPr>
        <w:t>the Corporate segment includes holding company activities and central services rendered to Group subsidiaries, including IT services and reinsurance activities.</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items related to segment result disclosed by Technip in its business segment information are the “Operating Income/(Loss) from Recurring Activities” and the “Operating Income/(Loss)”. As a result, the segment result does not include financial income and expenses (except financial result on contracts) or income tax expense (because of shared treasury and tax management). Segment assets do not include asset items related to the latter, such as current and deferred income tax assets. Similarly, segment liabilities do not include liability items that are not connected to segment result, such as current and deferred income tax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231F20"/>
        </w:rPr>
        <w:t>Adjustment items relate to the integration for their respective shares of incorporated entities linked to construction contracts in joint arrangements.</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Joint arrangements in which the Group hold investments could be classified in two categories: those set up for the purpose of fulfilling a defined construction contract and those set up to build and operate vessels, principally flexible pipeline installation vessels (PLSVs) in Brazil. The fulfillment of contracts in joint arrangement being the core business of Technip, the Group should continue to release its contracts in partnership for their respective shares, whatever the legal structuration of the joint arrangement and whether or not the constitution of an incorporated legal entity is scheduled to host partly or fully the contract. The objective is to disclose all relevant financial information to the Group management and to the different participants of the financial markets.</w:t>
      </w:r>
    </w:p>
    <w:p>
      <w:pPr>
        <w:spacing w:after="0" w:line="20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Entities holding pipeline installation vessels should remain accounted using the equity method as their management and operational methods intrinsically corresponds to the concept of joint ventures as described in IFRS 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INFORMATION BY GEOGRAPHICAL AREA</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231F20"/>
        </w:rPr>
        <w:t>From a geographical standpoint, operating activities and performances of Technip are reported on the basis of five areas, as follows:</w:t>
      </w:r>
    </w:p>
    <w:p>
      <w:pPr>
        <w:spacing w:after="0" w:line="59" w:lineRule="exact"/>
        <w:rPr>
          <w:sz w:val="20"/>
          <w:szCs w:val="20"/>
          <w:color w:val="auto"/>
        </w:rPr>
      </w:pPr>
    </w:p>
    <w:p>
      <w:pPr>
        <w:ind w:left="140" w:hanging="131"/>
        <w:spacing w:after="0"/>
        <w:tabs>
          <w:tab w:leader="none" w:pos="140" w:val="left"/>
        </w:tabs>
        <w:numPr>
          <w:ilvl w:val="0"/>
          <w:numId w:val="41"/>
        </w:numPr>
        <w:rPr>
          <w:rFonts w:ascii="Arial" w:cs="Arial" w:eastAsia="Arial" w:hAnsi="Arial"/>
          <w:sz w:val="16"/>
          <w:szCs w:val="16"/>
          <w:color w:val="2360A6"/>
        </w:rPr>
      </w:pPr>
      <w:r>
        <w:rPr>
          <w:rFonts w:ascii="Arial" w:cs="Arial" w:eastAsia="Arial" w:hAnsi="Arial"/>
          <w:sz w:val="16"/>
          <w:szCs w:val="16"/>
          <w:color w:val="231F20"/>
        </w:rPr>
        <w:t>Europe, Russia and Central Asia;</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1"/>
        </w:numPr>
        <w:rPr>
          <w:rFonts w:ascii="Arial" w:cs="Arial" w:eastAsia="Arial" w:hAnsi="Arial"/>
          <w:sz w:val="16"/>
          <w:szCs w:val="16"/>
          <w:color w:val="2360A6"/>
        </w:rPr>
      </w:pPr>
      <w:r>
        <w:rPr>
          <w:rFonts w:ascii="Arial" w:cs="Arial" w:eastAsia="Arial" w:hAnsi="Arial"/>
          <w:sz w:val="16"/>
          <w:szCs w:val="16"/>
          <w:color w:val="231F20"/>
        </w:rPr>
        <w:t>Africa;</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1"/>
        </w:numPr>
        <w:rPr>
          <w:rFonts w:ascii="Arial" w:cs="Arial" w:eastAsia="Arial" w:hAnsi="Arial"/>
          <w:sz w:val="16"/>
          <w:szCs w:val="16"/>
          <w:color w:val="2360A6"/>
        </w:rPr>
      </w:pPr>
      <w:r>
        <w:rPr>
          <w:rFonts w:ascii="Arial" w:cs="Arial" w:eastAsia="Arial" w:hAnsi="Arial"/>
          <w:sz w:val="16"/>
          <w:szCs w:val="16"/>
          <w:color w:val="231F20"/>
        </w:rPr>
        <w:t>Middle East;</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1"/>
        </w:numPr>
        <w:rPr>
          <w:rFonts w:ascii="Arial" w:cs="Arial" w:eastAsia="Arial" w:hAnsi="Arial"/>
          <w:sz w:val="16"/>
          <w:szCs w:val="16"/>
          <w:color w:val="2360A6"/>
        </w:rPr>
      </w:pPr>
      <w:r>
        <w:rPr>
          <w:rFonts w:ascii="Arial" w:cs="Arial" w:eastAsia="Arial" w:hAnsi="Arial"/>
          <w:sz w:val="16"/>
          <w:szCs w:val="16"/>
          <w:color w:val="231F20"/>
        </w:rPr>
        <w:t>Asia Pacific; and</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1"/>
        </w:numPr>
        <w:rPr>
          <w:rFonts w:ascii="Arial" w:cs="Arial" w:eastAsia="Arial" w:hAnsi="Arial"/>
          <w:sz w:val="16"/>
          <w:szCs w:val="16"/>
          <w:color w:val="2360A6"/>
        </w:rPr>
      </w:pPr>
      <w:r>
        <w:rPr>
          <w:rFonts w:ascii="Arial" w:cs="Arial" w:eastAsia="Arial" w:hAnsi="Arial"/>
          <w:sz w:val="16"/>
          <w:szCs w:val="16"/>
          <w:color w:val="231F20"/>
        </w:rPr>
        <w:t>Americas.</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items related to segment result disclosed by Technip in its geographical segment information are the “Operating Income/(Loss) from Recurring Activities” and the “Operating Income/(Loss)”.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231F20"/>
        </w:rPr>
        <w:t>Consequently, the segment result does not include financial income and expenses (except for the financial result on contracts), or income tax expense.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Segment assets do not include asset items related to the latter, such as deferred and current tax assets.</w:t>
      </w:r>
    </w:p>
    <w:p>
      <w:pPr>
        <w:spacing w:after="0" w:line="8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Geographical areas are defined according to the following criteria: specific risks associated with activities performed in a given area, similarity of economic and political framework, regulation of exchange control, and underlying monetary risks.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231F20"/>
        </w:rPr>
        <w:t>The breakdown by geographical area is based on the contract delivery within the specific country.</w:t>
      </w:r>
    </w:p>
    <w:p>
      <w:pPr>
        <w:sectPr>
          <w:pgSz w:w="11900" w:h="16838" w:orient="portrait"/>
          <w:cols w:equalWidth="0" w:num="1">
            <w:col w:w="11340"/>
          </w:cols>
          <w:pgMar w:left="320" w:top="580" w:right="239" w:bottom="1440" w:gutter="0" w:footer="0" w:header="0"/>
        </w:sectPr>
      </w:pPr>
    </w:p>
    <w:bookmarkStart w:id="85" w:name="page86"/>
    <w:bookmarkEnd w:id="85"/>
    <w:p>
      <w:pPr>
        <w:spacing w:after="0"/>
        <w:rPr>
          <w:sz w:val="20"/>
          <w:szCs w:val="20"/>
          <w:color w:val="auto"/>
        </w:rPr>
      </w:pPr>
      <w:r>
        <w:rPr>
          <w:rFonts w:ascii="Arial" w:cs="Arial" w:eastAsia="Arial" w:hAnsi="Arial"/>
          <w:sz w:val="22"/>
          <w:szCs w:val="22"/>
          <w:b w:val="1"/>
          <w:bCs w:val="1"/>
          <w:color w:val="2360A6"/>
        </w:rPr>
        <w:t>(f) Operating Income from Recurring Activities and Operating Income</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whole share of income/(loss) of equity affiliates has been reclassified to operating income, these companies’ operations being in the continuation of the Group activity.</w:t>
      </w:r>
    </w:p>
    <w:p>
      <w:pPr>
        <w:spacing w:after="0" w:line="6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Income/(Charges) from disposals of consolidated companies (or group of assets and liabilities) disposed or to be disposed are identified in a separate item under operating income/(loss).</w:t>
      </w:r>
    </w:p>
    <w:p>
      <w:pPr>
        <w:spacing w:after="0" w:line="6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Income/(Charges) from non-current activities principally comprise restructuring costs, acquisition and integration expenses, impairment losses on non-current tangible or intangible assets (or group of assets), as well as other operating income and charges such as provisions related to litigations.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As per IAS 1, these two last items only include impacts from operations and transactions that should be unusual in terms of nature and/or material in terms of amounts and that the Group deems necessary to disclose distinctly to ensure reliability and relevance of its financial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(g) Financial Result on Contracts</w:t>
      </w:r>
    </w:p>
    <w:p>
      <w:pPr>
        <w:spacing w:after="0" w:line="9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financial result of cash management related to construction contracts is recorded together with the revenues when the corresponding treasury management is completely separate from the Central treasury and that contracts generate a significant net cash position.</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(h) Income/(Loss) from Discontinued Operations</w:t>
      </w:r>
    </w:p>
    <w:p>
      <w:pPr>
        <w:spacing w:after="0" w:line="9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In compliance with IFRS 5, the result incurred by discontinued operations through sales or disposals is recorded under this line item. Discontinued operations consist of a whole line of business or geographical area.</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(i) Earnings per Share</w:t>
      </w:r>
    </w:p>
    <w:p>
      <w:pPr>
        <w:spacing w:after="0" w:line="9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As per IAS 33 “Earnings per Share”, Earnings Per Share (EPS) are based on the average number of outstanding shares over the period, after deducting treasury shares.</w:t>
      </w:r>
    </w:p>
    <w:p>
      <w:pPr>
        <w:spacing w:after="0" w:line="6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Diluted earnings per share amounts are calculated by dividing the net profit of the period, restated if need be for the after-tax financial cost of dilutive financial instruments, by the sum of the weighted average number of outstanding shares, the weighted average number of share subscription options not yet exercised, the weighted average number of performance shares granted calculated using the share purchase method, and the weighted average number of shares of the convertible bonds and, if applicable, the effects of any other dilutive instrument.</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 accordance with the share purchase method, only dilutive instruments are used in calculating EPS. Dilutive instruments are those for which the option exercise price plus the future IFRS 2 expense not yet recognized is lower than the average share price during the EPS calculation period.</w:t>
      </w:r>
    </w:p>
    <w:p>
      <w:pPr>
        <w:sectPr>
          <w:pgSz w:w="11900" w:h="16838" w:orient="portrait"/>
          <w:cols w:equalWidth="0" w:num="1">
            <w:col w:w="11340"/>
          </w:cols>
          <w:pgMar w:left="320" w:top="661" w:right="23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color w:val="2360A6"/>
        </w:rPr>
        <w:t>(j) Property, Plant and Equipment (Tangible Assets)</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In compliance with IAS 16 “Property, Plant and Equipment”, an asset is recognized only if the cost can be measured reliably and if future economic benefits are expected from its use.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231F20"/>
        </w:rPr>
        <w:t>Property, plant and equipment are carried at their historical cost or at their fair value in case of business combinations.</w:t>
      </w:r>
    </w:p>
    <w:p>
      <w:pPr>
        <w:spacing w:after="0" w:line="8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As per IAS 16, Technip uses different depreciation periods for each of the significant components of a single property, plant and equipment asset where the useful life of the component differs from that of the main asset. Following are the useful lives most commonly applied by the Group:</w:t>
      </w:r>
    </w:p>
    <w:p>
      <w:pPr>
        <w:spacing w:after="0" w:line="34" w:lineRule="exact"/>
        <w:rPr>
          <w:sz w:val="20"/>
          <w:szCs w:val="20"/>
          <w:color w:val="auto"/>
        </w:rPr>
      </w:pPr>
    </w:p>
    <w:p>
      <w:pPr>
        <w:ind w:left="140" w:hanging="131"/>
        <w:spacing w:after="0"/>
        <w:tabs>
          <w:tab w:leader="none" w:pos="140" w:val="left"/>
        </w:tabs>
        <w:numPr>
          <w:ilvl w:val="0"/>
          <w:numId w:val="42"/>
        </w:numPr>
        <w:rPr>
          <w:rFonts w:ascii="Arial" w:cs="Arial" w:eastAsia="Arial" w:hAnsi="Arial"/>
          <w:sz w:val="16"/>
          <w:szCs w:val="16"/>
          <w:color w:val="2360A6"/>
        </w:rPr>
      </w:pPr>
      <w:r>
        <w:rPr>
          <w:rFonts w:ascii="Arial" w:cs="Arial" w:eastAsia="Arial" w:hAnsi="Arial"/>
          <w:sz w:val="16"/>
          <w:szCs w:val="16"/>
          <w:color w:val="231F20"/>
        </w:rPr>
        <w:t>Buildings 10 to 50 years</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2"/>
        </w:numPr>
        <w:rPr>
          <w:rFonts w:ascii="Arial" w:cs="Arial" w:eastAsia="Arial" w:hAnsi="Arial"/>
          <w:sz w:val="16"/>
          <w:szCs w:val="16"/>
          <w:color w:val="2360A6"/>
        </w:rPr>
      </w:pPr>
      <w:r>
        <w:rPr>
          <w:rFonts w:ascii="Arial" w:cs="Arial" w:eastAsia="Arial" w:hAnsi="Arial"/>
          <w:sz w:val="16"/>
          <w:szCs w:val="16"/>
          <w:color w:val="231F20"/>
        </w:rPr>
        <w:t>Vessels 10 to 30 years</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2"/>
        </w:numPr>
        <w:rPr>
          <w:rFonts w:ascii="Arial" w:cs="Arial" w:eastAsia="Arial" w:hAnsi="Arial"/>
          <w:sz w:val="16"/>
          <w:szCs w:val="16"/>
          <w:color w:val="2360A6"/>
        </w:rPr>
      </w:pPr>
      <w:r>
        <w:rPr>
          <w:rFonts w:ascii="Arial" w:cs="Arial" w:eastAsia="Arial" w:hAnsi="Arial"/>
          <w:sz w:val="16"/>
          <w:szCs w:val="16"/>
          <w:color w:val="231F20"/>
        </w:rPr>
        <w:t>Machinery and Equipment 6 to 10 years</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2"/>
        </w:numPr>
        <w:rPr>
          <w:rFonts w:ascii="Arial" w:cs="Arial" w:eastAsia="Arial" w:hAnsi="Arial"/>
          <w:sz w:val="16"/>
          <w:szCs w:val="16"/>
          <w:color w:val="2360A6"/>
        </w:rPr>
      </w:pPr>
      <w:r>
        <w:rPr>
          <w:rFonts w:ascii="Arial" w:cs="Arial" w:eastAsia="Arial" w:hAnsi="Arial"/>
          <w:sz w:val="16"/>
          <w:szCs w:val="16"/>
          <w:color w:val="231F20"/>
        </w:rPr>
        <w:t>Office Fixtures and Furniture 5 to 10 years</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2"/>
        </w:numPr>
        <w:rPr>
          <w:rFonts w:ascii="Arial" w:cs="Arial" w:eastAsia="Arial" w:hAnsi="Arial"/>
          <w:sz w:val="16"/>
          <w:szCs w:val="16"/>
          <w:color w:val="2360A6"/>
        </w:rPr>
      </w:pPr>
      <w:r>
        <w:rPr>
          <w:rFonts w:ascii="Arial" w:cs="Arial" w:eastAsia="Arial" w:hAnsi="Arial"/>
          <w:sz w:val="16"/>
          <w:szCs w:val="16"/>
          <w:color w:val="231F20"/>
        </w:rPr>
        <w:t>Vehicles 3 to 7 years</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2"/>
        </w:numPr>
        <w:rPr>
          <w:rFonts w:ascii="Arial" w:cs="Arial" w:eastAsia="Arial" w:hAnsi="Arial"/>
          <w:sz w:val="16"/>
          <w:szCs w:val="16"/>
          <w:color w:val="2360A6"/>
        </w:rPr>
      </w:pPr>
      <w:r>
        <w:rPr>
          <w:rFonts w:ascii="Arial" w:cs="Arial" w:eastAsia="Arial" w:hAnsi="Arial"/>
          <w:sz w:val="16"/>
          <w:szCs w:val="16"/>
          <w:color w:val="231F20"/>
        </w:rPr>
        <w:t>IT Equipment 3 to 5 years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231F20"/>
        </w:rPr>
        <w:t>If the residual value of an asset is material and can be measured, it is taken into account in calculating its depreciable amount.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231F20"/>
        </w:rPr>
        <w:t>On a regular basis, the Group reviews the useful lives of its assets. That review is based on the effective use of the assets.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231F20"/>
        </w:rPr>
        <w:t>As per IAS 16, dry-dock expenses are capitalized as a separate component of the principal asset. They are depreciated over a period of three to five years.</w:t>
      </w:r>
    </w:p>
    <w:p>
      <w:pPr>
        <w:spacing w:after="0" w:line="8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Depreciation costs are recorded in the income statement as a function of the fixed assets’ use, split between the following line items: cost of sales, research and development costs, selling costs or general administrative costs.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In accordance with IAS 36, the carrying value of property, plant and equipment is reviewed for impairment whenever internal or external events indicate that there may be impairment, in which case, an impairment loss is recognized. As an example, indications of impairment loss used for vessels and analyzed together are mainly the asset workload scheduling, the change in its daily invoicing rate, its age as well as the frequency of its dry-docking.</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231F20"/>
        </w:rPr>
        <w:t>In application of IAS 23, borrowing costs related to assets under construction are capitalized as part of the value of the asset.</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(k) Intangible Assets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RESEARCH AND DEVELOPMENT COSTS GENERATED INTERNALLY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31F20"/>
        </w:rPr>
        <w:t>Research costs are expensed when incurred. In compliance with IAS 38, development costs are capitalized if all of the following criteria are met:</w:t>
      </w:r>
    </w:p>
    <w:p>
      <w:pPr>
        <w:spacing w:after="0" w:line="59" w:lineRule="exact"/>
        <w:rPr>
          <w:sz w:val="20"/>
          <w:szCs w:val="20"/>
          <w:color w:val="auto"/>
        </w:rPr>
      </w:pPr>
    </w:p>
    <w:p>
      <w:pPr>
        <w:ind w:left="140" w:hanging="131"/>
        <w:spacing w:after="0"/>
        <w:tabs>
          <w:tab w:leader="none" w:pos="140" w:val="left"/>
        </w:tabs>
        <w:numPr>
          <w:ilvl w:val="0"/>
          <w:numId w:val="43"/>
        </w:numPr>
        <w:rPr>
          <w:rFonts w:ascii="Arial" w:cs="Arial" w:eastAsia="Arial" w:hAnsi="Arial"/>
          <w:sz w:val="16"/>
          <w:szCs w:val="16"/>
          <w:color w:val="2360A6"/>
        </w:rPr>
      </w:pPr>
      <w:r>
        <w:rPr>
          <w:rFonts w:ascii="Arial" w:cs="Arial" w:eastAsia="Arial" w:hAnsi="Arial"/>
          <w:sz w:val="16"/>
          <w:szCs w:val="16"/>
          <w:color w:val="231F20"/>
        </w:rPr>
        <w:t>the projects are clearly identified;</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3"/>
        </w:numPr>
        <w:rPr>
          <w:rFonts w:ascii="Arial" w:cs="Arial" w:eastAsia="Arial" w:hAnsi="Arial"/>
          <w:sz w:val="16"/>
          <w:szCs w:val="16"/>
          <w:color w:val="2360A6"/>
        </w:rPr>
      </w:pPr>
      <w:r>
        <w:rPr>
          <w:rFonts w:ascii="Arial" w:cs="Arial" w:eastAsia="Arial" w:hAnsi="Arial"/>
          <w:sz w:val="16"/>
          <w:szCs w:val="16"/>
          <w:color w:val="231F20"/>
        </w:rPr>
        <w:t>the Group is able to reliably measure expenditures incurred by each project during its development;</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3"/>
        </w:numPr>
        <w:rPr>
          <w:rFonts w:ascii="Arial" w:cs="Arial" w:eastAsia="Arial" w:hAnsi="Arial"/>
          <w:sz w:val="16"/>
          <w:szCs w:val="16"/>
          <w:color w:val="2360A6"/>
        </w:rPr>
      </w:pPr>
      <w:r>
        <w:rPr>
          <w:rFonts w:ascii="Arial" w:cs="Arial" w:eastAsia="Arial" w:hAnsi="Arial"/>
          <w:sz w:val="16"/>
          <w:szCs w:val="16"/>
          <w:color w:val="231F20"/>
        </w:rPr>
        <w:t>the Group is able to demonstrate the technical and industrial feasibility of the project;</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3"/>
        </w:numPr>
        <w:rPr>
          <w:rFonts w:ascii="Arial" w:cs="Arial" w:eastAsia="Arial" w:hAnsi="Arial"/>
          <w:sz w:val="16"/>
          <w:szCs w:val="16"/>
          <w:color w:val="2360A6"/>
        </w:rPr>
      </w:pPr>
      <w:r>
        <w:rPr>
          <w:rFonts w:ascii="Arial" w:cs="Arial" w:eastAsia="Arial" w:hAnsi="Arial"/>
          <w:sz w:val="16"/>
          <w:szCs w:val="16"/>
          <w:color w:val="231F20"/>
        </w:rPr>
        <w:t>the Group has the financial and technical resources available to achieve the project;</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3"/>
        </w:numPr>
        <w:rPr>
          <w:rFonts w:ascii="Arial" w:cs="Arial" w:eastAsia="Arial" w:hAnsi="Arial"/>
          <w:sz w:val="16"/>
          <w:szCs w:val="16"/>
          <w:color w:val="2360A6"/>
        </w:rPr>
      </w:pPr>
      <w:r>
        <w:rPr>
          <w:rFonts w:ascii="Arial" w:cs="Arial" w:eastAsia="Arial" w:hAnsi="Arial"/>
          <w:sz w:val="16"/>
          <w:szCs w:val="16"/>
          <w:color w:val="231F20"/>
        </w:rPr>
        <w:t>the Group can demonstrate its intention to complete, to use or to commercialize products resulting from the project; and</w:t>
      </w:r>
    </w:p>
    <w:p>
      <w:pPr>
        <w:spacing w:after="0" w:line="59" w:lineRule="exact"/>
        <w:rPr>
          <w:rFonts w:ascii="Arial" w:cs="Arial" w:eastAsia="Arial" w:hAnsi="Arial"/>
          <w:sz w:val="16"/>
          <w:szCs w:val="16"/>
          <w:color w:val="2360A6"/>
        </w:rPr>
      </w:pPr>
    </w:p>
    <w:p>
      <w:pPr>
        <w:ind w:left="140" w:hanging="131"/>
        <w:spacing w:after="0" w:line="260" w:lineRule="auto"/>
        <w:tabs>
          <w:tab w:leader="none" w:pos="140" w:val="left"/>
        </w:tabs>
        <w:numPr>
          <w:ilvl w:val="0"/>
          <w:numId w:val="43"/>
        </w:numPr>
        <w:rPr>
          <w:rFonts w:ascii="Arial" w:cs="Arial" w:eastAsia="Arial" w:hAnsi="Arial"/>
          <w:sz w:val="16"/>
          <w:szCs w:val="16"/>
          <w:color w:val="2360A6"/>
        </w:rPr>
      </w:pPr>
      <w:r>
        <w:rPr>
          <w:rFonts w:ascii="Arial" w:cs="Arial" w:eastAsia="Arial" w:hAnsi="Arial"/>
          <w:sz w:val="16"/>
          <w:szCs w:val="16"/>
          <w:color w:val="231F20"/>
        </w:rPr>
        <w:t>the Group is able to demonstrate the existence of a market for the output of the intangible asset, or, if it is used internally, the usefulness of the intangible asset.</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Since not all of the IAS 38 conditions were met for the disclosed period on ongoing development projects, no development expenses were capitalized, except some expenses related to IT projects developed internally.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OTHER INTANGIBLE ASSETS</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Patents are amortized over their useful life, generally on a straight line basis over ten years. Costs related to software rights are capitalized, as are those related to creating proprietary IT tools, such as the E-procurement platform, or Group management applications which are amortized over their useful life, generally five years.</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 accordance with IAS 36, the carrying value of intangible assets is reviewed for impairment whenever internal or external events indicate that there may be impairment, in which case, an impairment loss is recognized.</w:t>
      </w:r>
    </w:p>
    <w:p>
      <w:pPr>
        <w:sectPr>
          <w:pgSz w:w="11900" w:h="16838" w:orient="portrait"/>
          <w:cols w:equalWidth="0" w:num="1">
            <w:col w:w="11340"/>
          </w:cols>
          <w:pgMar w:left="320" w:top="661" w:right="239" w:bottom="1440" w:gutter="0" w:footer="0" w:header="0"/>
        </w:sectPr>
      </w:pPr>
    </w:p>
    <w:bookmarkStart w:id="87" w:name="page88"/>
    <w:bookmarkEnd w:id="87"/>
    <w:p>
      <w:pPr>
        <w:spacing w:after="0"/>
        <w:rPr>
          <w:sz w:val="20"/>
          <w:szCs w:val="20"/>
          <w:color w:val="auto"/>
        </w:rPr>
      </w:pPr>
      <w:r>
        <w:rPr>
          <w:rFonts w:ascii="Arial" w:cs="Arial" w:eastAsia="Arial" w:hAnsi="Arial"/>
          <w:sz w:val="22"/>
          <w:szCs w:val="22"/>
          <w:b w:val="1"/>
          <w:bCs w:val="1"/>
          <w:color w:val="2360A6"/>
        </w:rPr>
        <w:t>(l) Other Financial Assets</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Other financial assets are recorded at fair value or at historical cost, as of the transaction date, if they cannot be measured reliably. In the latter case, impairment is recorded if the recoverable value is lower than the historical cost. The estimated recoverable value is computed by type of financial asset based on the future profitability or the market value of the company considered, as well as its net equity if needed.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NON-CONSOLIDATED INVESTMENTS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31F20"/>
        </w:rPr>
        <w:t>On initial recognition, non-consolidated investments are recognized at their acquisition cost including directly attributable transaction costs.</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At the closing date, these investments are measured at their fair value. As investments under this category relate to unlisted securities, fair value is determined on the basis of discounted cash flows or failing that, based on the Group’s share in the Company’s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RECEIVABLES RELATED TO INVESTMENTS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31F20"/>
        </w:rPr>
        <w:t>This item comprises loans and advances through current accounts granted to non-consolidated or equity affiliates.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SECURITY DEPOSITS AND OTHERS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231F20"/>
        </w:rPr>
        <w:t>This item essentially includes guarantee security deposits and escrow accounts related to litigation or arbitration.</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(m) Available-for-Sale Financial Assets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231F20"/>
        </w:rPr>
        <w:t>Investments in listed companies which are not consolidated are recorded in this line item. They are initially and subsequently measured at fair value.</w:t>
      </w:r>
    </w:p>
    <w:p>
      <w:pPr>
        <w:spacing w:after="0" w:line="7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Variations in fair value are booked directly in other comprehensive income and unrealized gains or losses are recycled in the income statement upon disposal of the investment. An impairment loss is recorded through the income statement when the loss is sustained or significant.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(n) Inventories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231F20"/>
        </w:rPr>
        <w:t>Inventories are recognized at the lower of cost and net realisable value with cost being principally determined on a weighted-average cost basis.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31F20"/>
        </w:rPr>
        <w:t>Write-down of inventories are recorded when the net realizable value of inventories is lower than their net book value.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(o) Advances Paid to Suppliers</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Advance payments made to suppliers under long-term contracts are shown under the “Advances to Suppliers” line item, on the asset side of the statement of financial position.</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(p) Trade Receivables</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Trade receivables are measured at amortized cost. A provision for doubtful accounts is recorded when the Group assesses the recoverable value is lower than the amortized costs.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231F20"/>
        </w:rPr>
        <w:t>Trade receivables only relate to contracts accounted for as per IAS 18 (see Note 1-C (b) - Long-term contracts) and delivered contracts.</w:t>
      </w:r>
    </w:p>
    <w:p>
      <w:pPr>
        <w:sectPr>
          <w:pgSz w:w="11900" w:h="16838" w:orient="portrait"/>
          <w:cols w:equalWidth="0" w:num="1">
            <w:col w:w="11340"/>
          </w:cols>
          <w:pgMar w:left="320" w:top="661" w:right="23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color w:val="2360A6"/>
        </w:rPr>
        <w:t>(q) Cash and Cash Equivalents</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Cash and cash equivalents consist of cash in bank and in hand, as well as marketable securities fulfilling the following criteria: a maturity of usually less than three months, highly liquid, a fixed exchange value and an insignificant risk of loss of value. Marketable securities are measured at their market value at period-end. Any change in fair value is recorded in the income statement.</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(r) Treasury Shares</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Treasury shares are recorded as a deduction to equity at their acquisition cost. Any gain or loss related to the sale of treasury shares is recognized directly in equity without affecting the income statement.</w:t>
      </w:r>
    </w:p>
    <w:p>
      <w:pPr>
        <w:spacing w:after="0" w:line="377" w:lineRule="exact"/>
        <w:rPr>
          <w:sz w:val="20"/>
          <w:szCs w:val="20"/>
          <w:color w:val="auto"/>
        </w:rPr>
      </w:pPr>
    </w:p>
    <w:p>
      <w:pPr>
        <w:ind w:left="320" w:right="4060" w:hanging="311"/>
        <w:spacing w:after="0" w:line="274" w:lineRule="auto"/>
        <w:tabs>
          <w:tab w:leader="none" w:pos="334" w:val="left"/>
        </w:tabs>
        <w:numPr>
          <w:ilvl w:val="0"/>
          <w:numId w:val="44"/>
        </w:numPr>
        <w:rPr>
          <w:rFonts w:ascii="Arial" w:cs="Arial" w:eastAsia="Arial" w:hAnsi="Arial"/>
          <w:sz w:val="22"/>
          <w:szCs w:val="22"/>
          <w:b w:val="1"/>
          <w:bCs w:val="1"/>
          <w:color w:val="2360A6"/>
        </w:rPr>
      </w:pPr>
      <w:r>
        <w:rPr>
          <w:rFonts w:ascii="Arial" w:cs="Arial" w:eastAsia="Arial" w:hAnsi="Arial"/>
          <w:sz w:val="22"/>
          <w:szCs w:val="22"/>
          <w:b w:val="1"/>
          <w:bCs w:val="1"/>
          <w:color w:val="2360A6"/>
        </w:rPr>
        <w:t>Grants of Share Subscription Options, Share Purchase Options and Performance Shares</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In accordance with IFRS 2, share subscription options, share purchase options and performance share grants constitute a benefit to the beneficiaries and represent additional compensation paid by the Group. This supplementary benefit is recognized as follows: the fair value of the granted options and shares which correspond to the services rendered by the employees in exchange for the options and shares received is determined at the grant date and recorded as an expense against the equity line item over the vesting period.</w:t>
      </w:r>
    </w:p>
    <w:p>
      <w:pPr>
        <w:spacing w:after="0" w:line="5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The fair value of the share subscription options, the share purchase options or the performance share grants is determined using the Cox Ross Rubinstein binomial model. The model takes into account the features of the option plan (exercise price, vesting period and exercise period) and the market data at the grant date (risk-free rate, expected volatility of the share price, estimated dividends, share price at grant date). Regarding the assessment of volatility, historical measures performed on the share price show great discrepancies depending upon the periods and the maturity chosen. In order to achieve a reliable measure of the future volatility, Technip decided to use an approach that consists in comparing measures of historical volatility over periods of one year, two years, three years and five years on the one hand and the share’s implied volatility on the other hand.</w:t>
      </w:r>
    </w:p>
    <w:p>
      <w:pPr>
        <w:spacing w:after="0" w:line="97" w:lineRule="exact"/>
        <w:rPr>
          <w:sz w:val="20"/>
          <w:szCs w:val="20"/>
          <w:color w:val="auto"/>
        </w:rPr>
      </w:pPr>
    </w:p>
    <w:p>
      <w:pPr>
        <w:jc w:val="both"/>
        <w:spacing w:after="0" w:line="366" w:lineRule="auto"/>
        <w:rPr>
          <w:sz w:val="20"/>
          <w:szCs w:val="20"/>
          <w:color w:val="auto"/>
        </w:rPr>
      </w:pPr>
      <w:r>
        <w:rPr>
          <w:rFonts w:ascii="Arial" w:cs="Arial" w:eastAsia="Arial" w:hAnsi="Arial"/>
          <w:sz w:val="16"/>
          <w:szCs w:val="16"/>
          <w:color w:val="231F20"/>
        </w:rPr>
        <w:t>All share subscription option, share purchase option and performance share plans are exclusively settled in shares. IFRS 2 applies to share-based payment plans granted after November 7, 2002 and not vested before January 1, 2005.</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(t) Capital Increase Reserved for Employees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 compliance with IFRS 2, instruments awarded under employee share purchase plans are measured at fair value, estimated at the grant date based on the discount awarded to employees and the non-transferability period applicable to the shares subscribed.</w:t>
      </w:r>
    </w:p>
    <w:p>
      <w:pPr>
        <w:spacing w:after="0" w:line="4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cost of employee share purchase plans is recognized in full in the statement of income and offset against consolidated equity, without any impact on total equity.</w:t>
      </w: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(u) Provisions (Current and Non-Current)</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231F20"/>
        </w:rPr>
        <w:t>Accrued liabilities are recognized if and only if the following criteria are simultaneously met:</w:t>
      </w:r>
    </w:p>
    <w:p>
      <w:pPr>
        <w:spacing w:after="0" w:line="59" w:lineRule="exact"/>
        <w:rPr>
          <w:sz w:val="20"/>
          <w:szCs w:val="20"/>
          <w:color w:val="auto"/>
        </w:rPr>
      </w:pPr>
    </w:p>
    <w:p>
      <w:pPr>
        <w:ind w:left="140" w:hanging="131"/>
        <w:spacing w:after="0"/>
        <w:tabs>
          <w:tab w:leader="none" w:pos="140" w:val="left"/>
        </w:tabs>
        <w:numPr>
          <w:ilvl w:val="0"/>
          <w:numId w:val="45"/>
        </w:numPr>
        <w:rPr>
          <w:rFonts w:ascii="Arial" w:cs="Arial" w:eastAsia="Arial" w:hAnsi="Arial"/>
          <w:sz w:val="16"/>
          <w:szCs w:val="16"/>
          <w:color w:val="2360A6"/>
        </w:rPr>
      </w:pPr>
      <w:r>
        <w:rPr>
          <w:rFonts w:ascii="Arial" w:cs="Arial" w:eastAsia="Arial" w:hAnsi="Arial"/>
          <w:sz w:val="16"/>
          <w:szCs w:val="16"/>
          <w:color w:val="231F20"/>
        </w:rPr>
        <w:t>the Group has an ongoing obligation (legal or constructive) as a result of a past event;</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5"/>
        </w:numPr>
        <w:rPr>
          <w:rFonts w:ascii="Arial" w:cs="Arial" w:eastAsia="Arial" w:hAnsi="Arial"/>
          <w:sz w:val="16"/>
          <w:szCs w:val="16"/>
          <w:color w:val="2360A6"/>
        </w:rPr>
      </w:pPr>
      <w:r>
        <w:rPr>
          <w:rFonts w:ascii="Arial" w:cs="Arial" w:eastAsia="Arial" w:hAnsi="Arial"/>
          <w:sz w:val="16"/>
          <w:szCs w:val="16"/>
          <w:color w:val="231F20"/>
        </w:rPr>
        <w:t>the settlement of the obligation will likely require an outflow of resources embodying economic benefits without expected counterpart; and</w:t>
      </w:r>
    </w:p>
    <w:p>
      <w:pPr>
        <w:spacing w:after="0" w:line="59" w:lineRule="exact"/>
        <w:rPr>
          <w:rFonts w:ascii="Arial" w:cs="Arial" w:eastAsia="Arial" w:hAnsi="Arial"/>
          <w:sz w:val="16"/>
          <w:szCs w:val="16"/>
          <w:color w:val="2360A6"/>
        </w:rPr>
      </w:pPr>
    </w:p>
    <w:p>
      <w:pPr>
        <w:ind w:left="140" w:hanging="131"/>
        <w:spacing w:after="0" w:line="260" w:lineRule="auto"/>
        <w:tabs>
          <w:tab w:leader="none" w:pos="140" w:val="left"/>
        </w:tabs>
        <w:numPr>
          <w:ilvl w:val="0"/>
          <w:numId w:val="45"/>
        </w:numPr>
        <w:rPr>
          <w:rFonts w:ascii="Arial" w:cs="Arial" w:eastAsia="Arial" w:hAnsi="Arial"/>
          <w:sz w:val="16"/>
          <w:szCs w:val="16"/>
          <w:color w:val="2360A6"/>
        </w:rPr>
      </w:pPr>
      <w:r>
        <w:rPr>
          <w:rFonts w:ascii="Arial" w:cs="Arial" w:eastAsia="Arial" w:hAnsi="Arial"/>
          <w:sz w:val="16"/>
          <w:szCs w:val="16"/>
          <w:color w:val="231F20"/>
        </w:rPr>
        <w:t>the amount of the obligation can be reliably estimated: provisions are measured according to the risk assessment or the exposed charge, based upon best-known elements.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CURRENT PROVISIONS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231F20"/>
        </w:rPr>
        <w:t>Contingencies related to contracts: these provisions relate to claims and litigations on contracts.</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Restructuring: once a restructuring plan has been decided and the interested parties have been informed, the plan is scheduled and valued. Restructuring provisions are fully recognized in compliance with IAS 37.</w:t>
      </w:r>
    </w:p>
    <w:p>
      <w:pPr>
        <w:sectPr>
          <w:pgSz w:w="11900" w:h="16838" w:orient="portrait"/>
          <w:cols w:equalWidth="0" w:num="1">
            <w:col w:w="11340"/>
          </w:cols>
          <w:pgMar w:left="320" w:top="66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231F20"/>
        </w:rPr>
        <w:t>NON-CURRENT PROVISIONS</w:t>
      </w:r>
    </w:p>
    <w:p>
      <w:pPr>
        <w:spacing w:after="0" w:line="2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Pensions and other long-term benefits: the Group is committed to various employee benefit plans. Those obligations are settled either at the date of employee departures or at subsequent date in accordance with the laws and practices of each country in which it operates. Depending on affiliates, the main defined benefit plans can be:</w:t>
      </w:r>
    </w:p>
    <w:p>
      <w:pPr>
        <w:spacing w:after="0" w:line="39" w:lineRule="exact"/>
        <w:rPr>
          <w:sz w:val="20"/>
          <w:szCs w:val="20"/>
          <w:color w:val="auto"/>
        </w:rPr>
      </w:pPr>
    </w:p>
    <w:p>
      <w:pPr>
        <w:ind w:left="140" w:hanging="131"/>
        <w:spacing w:after="0"/>
        <w:tabs>
          <w:tab w:leader="none" w:pos="140" w:val="left"/>
        </w:tabs>
        <w:numPr>
          <w:ilvl w:val="0"/>
          <w:numId w:val="46"/>
        </w:numPr>
        <w:rPr>
          <w:rFonts w:ascii="Arial" w:cs="Arial" w:eastAsia="Arial" w:hAnsi="Arial"/>
          <w:sz w:val="16"/>
          <w:szCs w:val="16"/>
          <w:color w:val="2360A6"/>
        </w:rPr>
      </w:pPr>
      <w:r>
        <w:rPr>
          <w:rFonts w:ascii="Arial" w:cs="Arial" w:eastAsia="Arial" w:hAnsi="Arial"/>
          <w:sz w:val="16"/>
          <w:szCs w:val="16"/>
          <w:color w:val="231F20"/>
        </w:rPr>
        <w:t>end-of-career benefits, to be paid at the retirement date;</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6"/>
        </w:numPr>
        <w:rPr>
          <w:rFonts w:ascii="Arial" w:cs="Arial" w:eastAsia="Arial" w:hAnsi="Arial"/>
          <w:sz w:val="16"/>
          <w:szCs w:val="16"/>
          <w:color w:val="2360A6"/>
        </w:rPr>
      </w:pPr>
      <w:r>
        <w:rPr>
          <w:rFonts w:ascii="Arial" w:cs="Arial" w:eastAsia="Arial" w:hAnsi="Arial"/>
          <w:sz w:val="16"/>
          <w:szCs w:val="16"/>
          <w:color w:val="231F20"/>
        </w:rPr>
        <w:t>deferred compensation, to be paid when an employee leaves the Company;</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6"/>
        </w:numPr>
        <w:rPr>
          <w:rFonts w:ascii="Arial" w:cs="Arial" w:eastAsia="Arial" w:hAnsi="Arial"/>
          <w:sz w:val="16"/>
          <w:szCs w:val="16"/>
          <w:color w:val="2360A6"/>
        </w:rPr>
      </w:pPr>
      <w:r>
        <w:rPr>
          <w:rFonts w:ascii="Arial" w:cs="Arial" w:eastAsia="Arial" w:hAnsi="Arial"/>
          <w:sz w:val="16"/>
          <w:szCs w:val="16"/>
          <w:color w:val="231F20"/>
        </w:rPr>
        <w:t>retirement benefits to be paid in the form of a pension.</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31F20"/>
        </w:rPr>
        <w:t>In compliance with IAS 19 revised in 2011, the Group has assessed its obligations in respect of employee pension plans and other long-term benefits such as “jubilee benefits”, post-retirement medical benefits, special termination benefits and cash incentive plans. The plan assets are recorded at fair value. Evaluations were coordinated so that liabilities could be measured using recognized and uniform actuarial methods, and were performed by an independent actuary.</w:t>
      </w:r>
    </w:p>
    <w:p>
      <w:pPr>
        <w:spacing w:after="0" w:line="3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obligations of providing benefits under defined benefit plans are determined by independent actuaries using the projected unit credit actuarial valuation method as per IAS 19. The actuarial assumptions used to determine the obligations may vary depending on the country. The actuarial estimation is based on usual parameters such as future wage and salary increases, life expectancy, staff turnover rate and inflation rate.</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defined benefit liability equals the present value of the defined benefit obligation after deducting the plan assets. Present value of the defined benefit obligation is determined using present value of future cash disbursements based on interest rates of convertible bonds, in the currency used for benefit payment, and whose term is equal to the average expected life of the defined benefit plan.</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According to amended IAS 19, the actuarial gains and losses resulting from adjustments related to experience and changes in actuarial assumptions are now recorded in other comprehensive income (see Note 23 - Pensions and other long-term employee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(v) Deferred Income Tax</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Deferred income taxes are recognized in accordance with IAS 12, using the liability method (use of the last forecast tax rate passed or almost passed into law at the closing date), on all temporary differences at the closing date, between the tax bases of assets and liabilities and their carrying amounts for each Group’s company.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231F20"/>
        </w:rPr>
        <w:t>Deferred income taxes are reviewed at each closing date to take into account the effect of any changes in tax law and in the prospects of recovery.</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Deferred income tax assets are recognized for all deductible temporary differences, unused tax credits carry-forwards and unused tax losses carry-forwards, to the extent that it is probable that taxable profit will be available.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231F20"/>
        </w:rPr>
        <w:t>To properly estimate the existence of future taxable income on which deferred tax assets could be allocated, the following items are taken into account:</w:t>
      </w:r>
    </w:p>
    <w:p>
      <w:pPr>
        <w:spacing w:after="0" w:line="59" w:lineRule="exact"/>
        <w:rPr>
          <w:sz w:val="20"/>
          <w:szCs w:val="20"/>
          <w:color w:val="auto"/>
        </w:rPr>
      </w:pPr>
    </w:p>
    <w:p>
      <w:pPr>
        <w:ind w:left="140" w:hanging="131"/>
        <w:spacing w:after="0"/>
        <w:tabs>
          <w:tab w:leader="none" w:pos="140" w:val="left"/>
        </w:tabs>
        <w:numPr>
          <w:ilvl w:val="0"/>
          <w:numId w:val="47"/>
        </w:numPr>
        <w:rPr>
          <w:rFonts w:ascii="Arial" w:cs="Arial" w:eastAsia="Arial" w:hAnsi="Arial"/>
          <w:sz w:val="16"/>
          <w:szCs w:val="16"/>
          <w:color w:val="2360A6"/>
        </w:rPr>
      </w:pPr>
      <w:r>
        <w:rPr>
          <w:rFonts w:ascii="Arial" w:cs="Arial" w:eastAsia="Arial" w:hAnsi="Arial"/>
          <w:sz w:val="16"/>
          <w:szCs w:val="16"/>
          <w:color w:val="231F20"/>
        </w:rPr>
        <w:t>existence of temporary differences which will cause taxation in the future;</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7"/>
        </w:numPr>
        <w:rPr>
          <w:rFonts w:ascii="Arial" w:cs="Arial" w:eastAsia="Arial" w:hAnsi="Arial"/>
          <w:sz w:val="16"/>
          <w:szCs w:val="16"/>
          <w:color w:val="2360A6"/>
        </w:rPr>
      </w:pPr>
      <w:r>
        <w:rPr>
          <w:rFonts w:ascii="Arial" w:cs="Arial" w:eastAsia="Arial" w:hAnsi="Arial"/>
          <w:sz w:val="16"/>
          <w:szCs w:val="16"/>
          <w:color w:val="231F20"/>
        </w:rPr>
        <w:t>forecasts of taxable results;</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7"/>
        </w:numPr>
        <w:rPr>
          <w:rFonts w:ascii="Arial" w:cs="Arial" w:eastAsia="Arial" w:hAnsi="Arial"/>
          <w:sz w:val="16"/>
          <w:szCs w:val="16"/>
          <w:color w:val="2360A6"/>
        </w:rPr>
      </w:pPr>
      <w:r>
        <w:rPr>
          <w:rFonts w:ascii="Arial" w:cs="Arial" w:eastAsia="Arial" w:hAnsi="Arial"/>
          <w:sz w:val="16"/>
          <w:szCs w:val="16"/>
          <w:color w:val="231F20"/>
        </w:rPr>
        <w:t>analysis of the past taxable results; and</w:t>
      </w:r>
    </w:p>
    <w:p>
      <w:pPr>
        <w:spacing w:after="0" w:line="59" w:lineRule="exact"/>
        <w:rPr>
          <w:rFonts w:ascii="Arial" w:cs="Arial" w:eastAsia="Arial" w:hAnsi="Arial"/>
          <w:sz w:val="16"/>
          <w:szCs w:val="16"/>
          <w:color w:val="2360A6"/>
        </w:rPr>
      </w:pPr>
    </w:p>
    <w:p>
      <w:pPr>
        <w:ind w:left="140" w:hanging="131"/>
        <w:spacing w:after="0"/>
        <w:tabs>
          <w:tab w:leader="none" w:pos="140" w:val="left"/>
        </w:tabs>
        <w:numPr>
          <w:ilvl w:val="0"/>
          <w:numId w:val="47"/>
        </w:numPr>
        <w:rPr>
          <w:rFonts w:ascii="Arial" w:cs="Arial" w:eastAsia="Arial" w:hAnsi="Arial"/>
          <w:sz w:val="16"/>
          <w:szCs w:val="16"/>
          <w:color w:val="2360A6"/>
        </w:rPr>
      </w:pPr>
      <w:r>
        <w:rPr>
          <w:rFonts w:ascii="Arial" w:cs="Arial" w:eastAsia="Arial" w:hAnsi="Arial"/>
          <w:sz w:val="16"/>
          <w:szCs w:val="16"/>
          <w:color w:val="231F20"/>
        </w:rPr>
        <w:t>existence of significant and non-recurring income and expenses, included in the past tax results, which should not repeat in the future.</w:t>
      </w:r>
    </w:p>
    <w:p>
      <w:pPr>
        <w:spacing w:after="0" w:line="4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Deferred income tax liabilities are recognized for all taxable temporary differences, except restrictively enumerated circumstances, in accordance with the provisions of IAS 12.</w:t>
      </w:r>
    </w:p>
    <w:p>
      <w:pPr>
        <w:spacing w:after="0" w:line="47"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When a tax consolidation mechanism is in place for companies in a given country, the deferred tax calculation takes into account the individual tax situation of each subsidiary located in that country as well as the overall situation of all subsidiaries included in the scope of tax consolidation.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231F20"/>
        </w:rPr>
        <w:t>Tax assets and liabilities are not discounted.</w:t>
      </w:r>
    </w:p>
    <w:p>
      <w:pPr>
        <w:sectPr>
          <w:pgSz w:w="11900" w:h="16838" w:orient="portrait"/>
          <w:cols w:equalWidth="0" w:num="1">
            <w:col w:w="11340"/>
          </w:cols>
          <w:pgMar w:left="320" w:top="576" w:right="23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color w:val="2360A6"/>
        </w:rPr>
        <w:t>(w) Financial Debts (Current and Non-Current)</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Current and non-current financial debts include bond loans and other borrowings. Issuance fees and redemption premium on convertible bonds are included in the cost of debt on the liability side of the statement of financial position, as an adjustment to the nominal amount of the debt. The difference between the initial debt and redemption at maturity is amortized at the effective interest rate.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231F20"/>
        </w:rPr>
        <w:t>The convertible bonds with an option for conversion and/or exchangeable for new or existing shares (OCEANE) are recognized in two distinct components:</w:t>
      </w:r>
    </w:p>
    <w:p>
      <w:pPr>
        <w:spacing w:after="0" w:line="275" w:lineRule="exact"/>
        <w:rPr>
          <w:sz w:val="20"/>
          <w:szCs w:val="20"/>
          <w:color w:val="auto"/>
        </w:rPr>
      </w:pPr>
    </w:p>
    <w:p>
      <w:pPr>
        <w:ind w:left="140" w:hanging="131"/>
        <w:spacing w:after="0" w:line="260" w:lineRule="auto"/>
        <w:tabs>
          <w:tab w:leader="none" w:pos="140" w:val="left"/>
        </w:tabs>
        <w:numPr>
          <w:ilvl w:val="0"/>
          <w:numId w:val="48"/>
        </w:numPr>
        <w:rPr>
          <w:rFonts w:ascii="Arial" w:cs="Arial" w:eastAsia="Arial" w:hAnsi="Arial"/>
          <w:sz w:val="16"/>
          <w:szCs w:val="16"/>
          <w:color w:val="2360A6"/>
        </w:rPr>
      </w:pPr>
      <w:r>
        <w:rPr>
          <w:rFonts w:ascii="Arial" w:cs="Arial" w:eastAsia="Arial" w:hAnsi="Arial"/>
          <w:sz w:val="16"/>
          <w:szCs w:val="16"/>
          <w:color w:val="231F20"/>
        </w:rPr>
        <w:t>a debt component is recognized at amortized cost, which was determined using the market interest rate for a non- convertible bond with similar features. The carrying amount is recognized net of its proportionate share of the debt issuance costs; and</w:t>
      </w:r>
    </w:p>
    <w:p>
      <w:pPr>
        <w:spacing w:after="0" w:line="276" w:lineRule="exact"/>
        <w:rPr>
          <w:rFonts w:ascii="Arial" w:cs="Arial" w:eastAsia="Arial" w:hAnsi="Arial"/>
          <w:sz w:val="16"/>
          <w:szCs w:val="16"/>
          <w:color w:val="2360A6"/>
        </w:rPr>
      </w:pPr>
    </w:p>
    <w:p>
      <w:pPr>
        <w:jc w:val="both"/>
        <w:ind w:left="140" w:hanging="131"/>
        <w:spacing w:after="0" w:line="253" w:lineRule="auto"/>
        <w:tabs>
          <w:tab w:leader="none" w:pos="140" w:val="left"/>
        </w:tabs>
        <w:numPr>
          <w:ilvl w:val="0"/>
          <w:numId w:val="48"/>
        </w:numPr>
        <w:rPr>
          <w:rFonts w:ascii="Arial" w:cs="Arial" w:eastAsia="Arial" w:hAnsi="Arial"/>
          <w:sz w:val="16"/>
          <w:szCs w:val="16"/>
          <w:color w:val="2360A6"/>
        </w:rPr>
      </w:pPr>
      <w:r>
        <w:rPr>
          <w:rFonts w:ascii="Arial" w:cs="Arial" w:eastAsia="Arial" w:hAnsi="Arial"/>
          <w:sz w:val="16"/>
          <w:szCs w:val="16"/>
          <w:color w:val="231F20"/>
        </w:rPr>
        <w:t>a conversion option component is recognized in equity for an amount equal to the difference between the issuing price of the OCEANE convertible bond and the value of the debt component. The carrying amount is recognized net of its proportionate share of the debt issuance costs and corresponding deferred taxes. This value is not remeasured but will be adjusted for all conversion of bonds.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(x) Assets and Liabilities Held for Sale</w:t>
      </w:r>
    </w:p>
    <w:p>
      <w:pPr>
        <w:spacing w:after="0" w:line="24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Group considers every non-current asset as an asset held for sale if it is very likely that its book value will be recovered principally by a sale transaction rather than by its continued use. Assets classified as held for sale are measured at the lower of either the carrying amount or the fair value less selling costs.</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2360A6"/>
        </w:rPr>
        <w:t>Note 2 Scope of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Main Variations</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360A6"/>
        </w:rPr>
        <w:t>Year Ended December 31, 2016</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March 31, 2016, Technip sold the totality of its fully owned subsidiaries Technip Germany Holding GmbH and Technip Germany GmbH to Atop Beteiligungs GmbH. A net loss of €21.6 million was recorded on the consolidated accounts as of December 31, 2016 as regards this disposal.</w:t>
      </w:r>
    </w:p>
    <w:p>
      <w:pPr>
        <w:spacing w:after="0" w:line="3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October 28, 2016, Technip acquired 20% of Serimax Holdings, a world leader in offshore &amp; onshore welding solutions, from Vallourec Tubes. This acquisition follows the agreement signed on January 11, 2016 between Technip and Serimax in order to achieve a strategic partnership in the domain of pipeline welding, combine expertise and deploy the Serimax welding technology at Technip’ spoolbases and S-lay vessels.</w:t>
      </w:r>
    </w:p>
    <w:p>
      <w:pPr>
        <w:spacing w:after="0" w:line="309"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During the second half of the year, the Group and its partners have amended the contractual terms and schemes of some construction contracts on which the Group is working. As a consequence, some joint arrangements such as the ones related to Yamal contract were therefore amended and re-qualified as entities fully consolidated as of December 31, 2016.</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December 16, 2016, Technip participated in DCNS Energies’ capital increase by subscribing newly issued shares. DCNS Energies, majority owned by DCNS and 36% by the SPI fund (“</w:t>
      </w:r>
      <w:r>
        <w:rPr>
          <w:rFonts w:ascii="Arial" w:cs="Arial" w:eastAsia="Arial" w:hAnsi="Arial"/>
          <w:sz w:val="16"/>
          <w:szCs w:val="16"/>
          <w:i w:val="1"/>
          <w:iCs w:val="1"/>
          <w:color w:val="auto"/>
        </w:rPr>
        <w:t>Société de Projets Industriels</w:t>
      </w:r>
      <w:r>
        <w:rPr>
          <w:rFonts w:ascii="Arial" w:cs="Arial" w:eastAsia="Arial" w:hAnsi="Arial"/>
          <w:sz w:val="16"/>
          <w:szCs w:val="16"/>
          <w:color w:val="auto"/>
        </w:rPr>
        <w:t>” / Industrial Projects Company) of Bpifrance, will devote its activity to the industrial and commercial development of three technologies for the production of electricity from Marine Renewable Energies (MRE): tidal turbine power that uses the kinetic energy of sea currents, Ocean Thermal Energy Conversion (OTEC) and offshore wind energy via semi-submersible floats. DCNS Energies positions itself as a turnkey constructor of MRE plants for the French and export markets.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a consequence of these main variations in the consolidation scope, a total amount of €3.3 billion of cash, net of acquisition costs, was acquired and therefore disclosed in the Group consolidated statement of cash flows.</w:t>
      </w:r>
    </w:p>
    <w:p>
      <w:pPr>
        <w:sectPr>
          <w:pgSz w:w="11900" w:h="16838" w:orient="portrait"/>
          <w:cols w:equalWidth="0" w:num="1">
            <w:col w:w="11340"/>
          </w:cols>
          <w:pgMar w:left="320" w:top="580" w:right="239" w:bottom="1440" w:gutter="0" w:footer="0" w:header="0"/>
        </w:sectPr>
      </w:pPr>
    </w:p>
    <w:bookmarkStart w:id="91" w:name="page92"/>
    <w:bookmarkEnd w:id="91"/>
    <w:p>
      <w:pPr>
        <w:ind w:left="100"/>
        <w:spacing w:after="0"/>
        <w:rPr>
          <w:sz w:val="20"/>
          <w:szCs w:val="20"/>
          <w:color w:val="auto"/>
        </w:rPr>
      </w:pPr>
      <w:r>
        <w:rPr>
          <w:rFonts w:ascii="Arial" w:cs="Arial" w:eastAsia="Arial" w:hAnsi="Arial"/>
          <w:sz w:val="22"/>
          <w:szCs w:val="22"/>
          <w:b w:val="1"/>
          <w:bCs w:val="1"/>
          <w:color w:val="2360A6"/>
        </w:rPr>
        <w:t>Year Ended December 31, 2015</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 xml:space="preserve">On May 29, 2015, Technip acquired the remaining 50% of Doftech DA’s shares from DOF Subsea AS. As a consequence, Doftech DA previously consolidated by equity method is consolidated at 100% by global integration. In addition, Technip becomes the sole owner of the </w:t>
      </w:r>
      <w:r>
        <w:rPr>
          <w:rFonts w:ascii="Arial" w:cs="Arial" w:eastAsia="Arial" w:hAnsi="Arial"/>
          <w:sz w:val="16"/>
          <w:szCs w:val="16"/>
          <w:i w:val="1"/>
          <w:iCs w:val="1"/>
          <w:color w:val="231F20"/>
        </w:rPr>
        <w:t>Deep Arctic</w:t>
      </w:r>
      <w:r>
        <w:rPr>
          <w:rFonts w:ascii="Arial" w:cs="Arial" w:eastAsia="Arial" w:hAnsi="Arial"/>
          <w:sz w:val="16"/>
          <w:szCs w:val="16"/>
          <w:color w:val="231F20"/>
        </w:rPr>
        <w:t xml:space="preserve"> (ex-</w:t>
      </w:r>
      <w:r>
        <w:rPr>
          <w:rFonts w:ascii="Arial" w:cs="Arial" w:eastAsia="Arial" w:hAnsi="Arial"/>
          <w:sz w:val="16"/>
          <w:szCs w:val="16"/>
          <w:i w:val="1"/>
          <w:iCs w:val="1"/>
          <w:color w:val="231F20"/>
        </w:rPr>
        <w:t>Skandi Arctic</w:t>
      </w:r>
      <w:r>
        <w:rPr>
          <w:rFonts w:ascii="Arial" w:cs="Arial" w:eastAsia="Arial" w:hAnsi="Arial"/>
          <w:sz w:val="16"/>
          <w:szCs w:val="16"/>
          <w:color w:val="231F20"/>
        </w:rPr>
        <w:t>), a diving support vessel specially designed to meet the North Sea market requirements.</w:t>
      </w:r>
    </w:p>
    <w:p>
      <w:pPr>
        <w:spacing w:after="0" w:line="28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2360A6"/>
        </w:rPr>
        <w:t>Year Ended December 31, 2014</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On April 30, 2014, Technip sold the totality of its fully owned subsidiary Technip TPS, specialized in engineering and construction for the industry, to the WSP Group (WSP is one of the world’s leading professional services firms) for a total amount of €12.1 million as of December 31, 2014.</w:t>
      </w:r>
    </w:p>
    <w:p>
      <w:pPr>
        <w:spacing w:after="0" w:line="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On June 3, 2014, September 26, 2014 then on December 4, 2014, Technip sold the totality of its 75% of investment in Seamec to HAL Offshore Limited, India at a consideration of 97 Indian rupees per share (translating to a total amount of €31.4 million as of December 31, 2014).</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231F20"/>
        </w:rPr>
        <w:t>Seamec Limited and its 100% subsidiary Seamec International FZE are not anymore consolidated in Technip Group accounts as of December 31, 2014.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31F20"/>
        </w:rPr>
        <w:t>On December 30, 2014, Technip acquired the technology Zimmer</w:t>
      </w:r>
      <w:r>
        <w:rPr>
          <w:rFonts w:ascii="Arial" w:cs="Arial" w:eastAsia="Arial" w:hAnsi="Arial"/>
          <w:sz w:val="10"/>
          <w:szCs w:val="10"/>
          <w:color w:val="231F20"/>
        </w:rPr>
        <w:t>®</w:t>
      </w:r>
      <w:r>
        <w:rPr>
          <w:rFonts w:ascii="Arial" w:cs="Arial" w:eastAsia="Arial" w:hAnsi="Arial"/>
          <w:sz w:val="16"/>
          <w:szCs w:val="16"/>
          <w:color w:val="231F20"/>
        </w:rPr>
        <w:t>. Based in Frankfurt, Germany, Technip Zimmer GmbH constitutes the new polymers</w:t>
      </w:r>
    </w:p>
    <w:p>
      <w:pPr>
        <w:spacing w:after="0" w:line="3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technology business of Technip. This activity is integrated through Technip Stone &amp; Webster Process Technology, the Onshore global business unit formed in 2012 to manage the Company’s expanding portfolio of downstream process technologies.</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Technip Zimmer GmbH’s business includes technologies for the processing of polyesters and polyamides, research and development facilities, and a team of around forty skilled engineers, researchers and project teams.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231F20"/>
        </w:rPr>
        <w:t>The new polymers business will diversify and strengthen Technip’s portfolio of downstream technologies in its Onshore segment.</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No material impact was recognized following the completion of the purchase price allocation performed in 2015 and the final goodwill recognized in the consolidated financial statements as of December 31, 2015 for the acquisition of the technology Zimmer</w:t>
      </w:r>
      <w:r>
        <w:rPr>
          <w:rFonts w:ascii="Arial" w:cs="Arial" w:eastAsia="Arial" w:hAnsi="Arial"/>
          <w:sz w:val="10"/>
          <w:szCs w:val="10"/>
          <w:color w:val="231F20"/>
        </w:rPr>
        <w:t>®</w:t>
      </w:r>
      <w:r>
        <w:rPr>
          <w:rFonts w:ascii="Arial" w:cs="Arial" w:eastAsia="Arial" w:hAnsi="Arial"/>
          <w:sz w:val="16"/>
          <w:szCs w:val="16"/>
          <w:color w:val="231F20"/>
        </w:rPr>
        <w:t xml:space="preserve"> amounts to €62.4 million.</w:t>
      </w:r>
    </w:p>
    <w:p>
      <w:pPr>
        <w:spacing w:after="0" w:line="298"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(B) Other Variations</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Year ended December 31, 2016</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231F20"/>
        </w:rPr>
        <w:t>There is no other significant change in the scope of consolidation compared to December 31, 2015.</w:t>
      </w:r>
    </w:p>
    <w:p>
      <w:pPr>
        <w:spacing w:after="0" w:line="308"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Year ended December 31, 2015</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31F20"/>
        </w:rPr>
        <w:t>On October 12, 2015, Technip divested its 100% ownership in the company Technip Benelux NV (Belgium).</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31F20"/>
        </w:rPr>
        <w:t>On December 15, 2015, the Group also decided to dispose its 39% share in the company Crestech (Nigeria) to its partner Highcrest Technologies Ltd.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231F20"/>
        </w:rPr>
        <w:t>There is no other significant change in the scope of consolidation compared to December 31, 2014.</w:t>
      </w:r>
    </w:p>
    <w:p>
      <w:pPr>
        <w:spacing w:after="0" w:line="308"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Year ended December 31, 2014</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On April 3, 2014, Technip purchased 49% of Kanfa AS, a company that delivers overall process solutions and services to the Offshore and Oil, Gas and LNG Industry with main focus on the worldwide FPSO market. This company is integrated by equity method in Group accounts.</w:t>
      </w:r>
    </w:p>
    <w:p>
      <w:pPr>
        <w:spacing w:after="0" w:line="4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On October 14, 2014, Technip purchased 51% of Inocean AS, a company that offers naval architect and engineering services in all phases of a project cycle and has activities primarily within the offshore oil and gas sector. Inocean AS has intellectual property rights to various floating installations and vessels. This company is fully consolidated in Group consolidated accounts.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231F20"/>
        </w:rPr>
        <w:t>There is no other significant change in the scope of consolidation compared to December 31, 2013.</w:t>
      </w:r>
    </w:p>
    <w:p>
      <w:pPr>
        <w:sectPr>
          <w:pgSz w:w="11900" w:h="16838" w:orient="portrait"/>
          <w:cols w:equalWidth="0" w:num="1">
            <w:col w:w="11340"/>
          </w:cols>
          <w:pgMar w:left="320" w:top="688" w:right="239" w:bottom="1440" w:gutter="0" w:footer="0" w:header="0"/>
        </w:sectPr>
      </w:pPr>
    </w:p>
    <w:bookmarkStart w:id="92" w:name="page93"/>
    <w:bookmarkEnd w:id="92"/>
    <w:p>
      <w:pPr>
        <w:ind w:left="80"/>
        <w:spacing w:after="0"/>
        <w:rPr>
          <w:sz w:val="20"/>
          <w:szCs w:val="20"/>
          <w:color w:val="auto"/>
        </w:rPr>
      </w:pPr>
      <w:r>
        <w:rPr>
          <w:rFonts w:ascii="Arial" w:cs="Arial" w:eastAsia="Arial" w:hAnsi="Arial"/>
          <w:sz w:val="25"/>
          <w:szCs w:val="25"/>
          <w:b w:val="1"/>
          <w:bCs w:val="1"/>
          <w:color w:val="231F20"/>
        </w:rPr>
        <w:t>(C) Scope of Consolidation</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2360A6"/>
        </w:rPr>
        <w:t>As of December 31, 2016</w:t>
      </w:r>
    </w:p>
    <w:p>
      <w:pPr>
        <w:spacing w:after="0" w:line="133" w:lineRule="exact"/>
        <w:rPr>
          <w:sz w:val="20"/>
          <w:szCs w:val="20"/>
          <w:color w:val="auto"/>
        </w:rPr>
      </w:pPr>
    </w:p>
    <w:p>
      <w:pPr>
        <w:ind w:left="80" w:right="460"/>
        <w:spacing w:after="0" w:line="260" w:lineRule="auto"/>
        <w:rPr>
          <w:sz w:val="20"/>
          <w:szCs w:val="20"/>
          <w:color w:val="auto"/>
        </w:rPr>
      </w:pPr>
      <w:r>
        <w:rPr>
          <w:rFonts w:ascii="Arial" w:cs="Arial" w:eastAsia="Arial" w:hAnsi="Arial"/>
          <w:sz w:val="16"/>
          <w:szCs w:val="16"/>
          <w:color w:val="231F20"/>
        </w:rPr>
        <w:t>As of December 31, 2016, the scope of consolidation consists of 206 entities, out of which 162 are fully consolidated and 44 are accounted for under the equity method.</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The table below sets forth the main consolidated entities: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260" w:type="dxa"/>
            <w:vAlign w:val="bottom"/>
            <w:tcBorders>
              <w:top w:val="single" w:sz="8" w:color="231F20"/>
              <w:left w:val="single" w:sz="8" w:color="231F20"/>
              <w:right w:val="single" w:sz="8" w:color="231F20"/>
            </w:tcBorders>
          </w:tcPr>
          <w:p>
            <w:pPr>
              <w:spacing w:after="0"/>
              <w:rPr>
                <w:sz w:val="16"/>
                <w:szCs w:val="16"/>
                <w:color w:val="auto"/>
              </w:rPr>
            </w:pPr>
          </w:p>
        </w:tc>
        <w:tc>
          <w:tcPr>
            <w:tcW w:w="2860" w:type="dxa"/>
            <w:vAlign w:val="bottom"/>
            <w:tcBorders>
              <w:top w:val="single" w:sz="8" w:color="231F20"/>
              <w:right w:val="single" w:sz="8" w:color="231F20"/>
            </w:tcBorders>
          </w:tcPr>
          <w:p>
            <w:pPr>
              <w:spacing w:after="0"/>
              <w:rPr>
                <w:sz w:val="16"/>
                <w:szCs w:val="16"/>
                <w:color w:val="auto"/>
              </w:rPr>
            </w:pPr>
          </w:p>
        </w:tc>
        <w:tc>
          <w:tcPr>
            <w:tcW w:w="2160" w:type="dxa"/>
            <w:vAlign w:val="bottom"/>
            <w:tcBorders>
              <w:top w:val="single" w:sz="8" w:color="231F20"/>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 December 31, 2016</w:t>
            </w:r>
          </w:p>
        </w:tc>
        <w:tc>
          <w:tcPr>
            <w:tcW w:w="2160" w:type="dxa"/>
            <w:vAlign w:val="bottom"/>
            <w:tcBorders>
              <w:top w:val="single" w:sz="8" w:color="231F20"/>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 December 31, 2016</w:t>
            </w:r>
          </w:p>
        </w:tc>
      </w:tr>
      <w:tr>
        <w:trPr>
          <w:trHeight w:val="196"/>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Fully Consolidated Companies</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Country</w:t>
            </w:r>
          </w:p>
        </w:tc>
        <w:tc>
          <w:tcPr>
            <w:tcW w:w="2160" w:type="dxa"/>
            <w:vAlign w:val="bottom"/>
            <w:tcBorders>
              <w:bottom w:val="single" w:sz="8" w:color="2360A6"/>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 Interest</w:t>
            </w:r>
          </w:p>
        </w:tc>
        <w:tc>
          <w:tcPr>
            <w:tcW w:w="2160" w:type="dxa"/>
            <w:vAlign w:val="bottom"/>
            <w:tcBorders>
              <w:bottom w:val="single" w:sz="8" w:color="2360A6"/>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 Control</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Consolidating Company</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Consolidating Company</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Cofri</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Flexi France</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Safrel</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France</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Offshore International</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Technipnet</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Yamgaz</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50%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South Tambey LNG</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50%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Angoflex - Industrial Lda</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Angola</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70%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Angola Engenharia Ltda</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Angola</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60%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Oceania Pty Ltd</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Australia</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Flexibras Tubos Flexiveis</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Brazil</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Brasil Engenharia</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Brazil</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India</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India</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Italy</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Italy</w:t>
            </w:r>
          </w:p>
        </w:tc>
        <w:tc>
          <w:tcPr>
            <w:tcW w:w="2160" w:type="dxa"/>
            <w:vAlign w:val="bottom"/>
            <w:tcBorders>
              <w:bottom w:val="single" w:sz="8" w:color="2360A6"/>
              <w:right w:val="single" w:sz="8" w:color="231F20"/>
            </w:tcBorders>
            <w:shd w:val="clear" w:color="auto" w:fill="F2F2F2"/>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F2F2F2"/>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PT Technip Indonesia</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Indonesia</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Asiaflex Products</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Malaysia</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Far East</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Malaysia</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Geoproduction (M)</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Malaysia</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Marine (M) Sdn. Bhd.</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Malaysia</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Global Vessels Mexico S. de R.L. de C.V.</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Mexico</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Benelux BV</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Netherlands</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Holding Benelux BV</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Netherlands</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Ships (Netherlands) BV</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Netherlands</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Norge AS</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Norway</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RUS</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Russia</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UK Ltd</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Kingdom</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Stone &amp; Webster Process Technology, Inc.</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States of America</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Umbilicals Inc.</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States of America</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Technip USA Inc.</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States of America</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100%</w:t>
            </w:r>
          </w:p>
        </w:tc>
      </w:tr>
    </w:tbl>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260" w:type="dxa"/>
            <w:vAlign w:val="bottom"/>
            <w:tcBorders>
              <w:top w:val="single" w:sz="8" w:color="231F20"/>
              <w:left w:val="single" w:sz="8" w:color="231F20"/>
              <w:right w:val="single" w:sz="8" w:color="231F20"/>
            </w:tcBorders>
          </w:tcPr>
          <w:p>
            <w:pPr>
              <w:spacing w:after="0"/>
              <w:rPr>
                <w:sz w:val="17"/>
                <w:szCs w:val="17"/>
                <w:color w:val="auto"/>
              </w:rPr>
            </w:pPr>
          </w:p>
        </w:tc>
        <w:tc>
          <w:tcPr>
            <w:tcW w:w="2860" w:type="dxa"/>
            <w:vAlign w:val="bottom"/>
            <w:tcBorders>
              <w:top w:val="single" w:sz="8" w:color="231F20"/>
              <w:right w:val="single" w:sz="8" w:color="231F20"/>
            </w:tcBorders>
          </w:tcPr>
          <w:p>
            <w:pPr>
              <w:spacing w:after="0"/>
              <w:rPr>
                <w:sz w:val="17"/>
                <w:szCs w:val="17"/>
                <w:color w:val="auto"/>
              </w:rPr>
            </w:pPr>
          </w:p>
        </w:tc>
        <w:tc>
          <w:tcPr>
            <w:tcW w:w="2160" w:type="dxa"/>
            <w:vAlign w:val="bottom"/>
            <w:tcBorders>
              <w:top w:val="single" w:sz="8" w:color="231F20"/>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 December 31, 2016</w:t>
            </w:r>
          </w:p>
        </w:tc>
        <w:tc>
          <w:tcPr>
            <w:tcW w:w="2160" w:type="dxa"/>
            <w:vAlign w:val="bottom"/>
            <w:tcBorders>
              <w:top w:val="single" w:sz="8" w:color="231F20"/>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 December 31, 2016</w:t>
            </w:r>
          </w:p>
        </w:tc>
      </w:tr>
      <w:tr>
        <w:trPr>
          <w:trHeight w:val="196"/>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Companies accounted for under the equity method</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Country</w:t>
            </w:r>
          </w:p>
        </w:tc>
        <w:tc>
          <w:tcPr>
            <w:tcW w:w="2160" w:type="dxa"/>
            <w:vAlign w:val="bottom"/>
            <w:tcBorders>
              <w:bottom w:val="single" w:sz="8" w:color="2360A6"/>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 Interest</w:t>
            </w:r>
          </w:p>
        </w:tc>
        <w:tc>
          <w:tcPr>
            <w:tcW w:w="2160" w:type="dxa"/>
            <w:vAlign w:val="bottom"/>
            <w:tcBorders>
              <w:bottom w:val="single" w:sz="8" w:color="2360A6"/>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 Control</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Dofcon Navegaçao Ltda</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Brazil</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50%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50%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Odebrecht PLSV CV</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Netherlands</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50%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50%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Forsys Subsea Ltd</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Kingdom</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50%</w:t>
            </w:r>
          </w:p>
        </w:tc>
        <w:tc>
          <w:tcPr>
            <w:tcW w:w="21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50%</w:t>
            </w:r>
          </w:p>
        </w:tc>
      </w:tr>
    </w:tbl>
    <w:p>
      <w:pPr>
        <w:spacing w:after="0" w:line="258" w:lineRule="exact"/>
        <w:rPr>
          <w:sz w:val="20"/>
          <w:szCs w:val="20"/>
          <w:color w:val="auto"/>
        </w:rPr>
      </w:pPr>
    </w:p>
    <w:p>
      <w:pPr>
        <w:ind w:left="80" w:right="20"/>
        <w:spacing w:after="0" w:line="260" w:lineRule="auto"/>
        <w:rPr>
          <w:sz w:val="20"/>
          <w:szCs w:val="20"/>
          <w:color w:val="auto"/>
        </w:rPr>
      </w:pPr>
      <w:r>
        <w:rPr>
          <w:rFonts w:ascii="Arial" w:cs="Arial" w:eastAsia="Arial" w:hAnsi="Arial"/>
          <w:sz w:val="16"/>
          <w:szCs w:val="16"/>
          <w:color w:val="231F20"/>
        </w:rPr>
        <w:t>All consolidated companies close their accounts as of December 31 except Technip India which closes their statutory accounts as of March 31. However, the entity performs an interim account closing as of December 31 for the purpose of Group consolidation.</w:t>
      </w:r>
    </w:p>
    <w:p>
      <w:pPr>
        <w:sectPr>
          <w:pgSz w:w="11900" w:h="16838" w:orient="portrait"/>
          <w:cols w:equalWidth="0" w:num="1">
            <w:col w:w="11440"/>
          </w:cols>
          <w:pgMar w:left="240" w:top="609" w:right="219" w:bottom="1440" w:gutter="0" w:footer="0" w:header="0"/>
        </w:sectPr>
      </w:pPr>
    </w:p>
    <w:bookmarkStart w:id="93" w:name="page94"/>
    <w:bookmarkEnd w:id="93"/>
    <w:p>
      <w:pPr>
        <w:ind w:left="120"/>
        <w:spacing w:after="0"/>
        <w:rPr>
          <w:sz w:val="20"/>
          <w:szCs w:val="20"/>
          <w:color w:val="auto"/>
        </w:rPr>
      </w:pPr>
      <w:r>
        <w:rPr>
          <w:rFonts w:ascii="Arial" w:cs="Arial" w:eastAsia="Arial" w:hAnsi="Arial"/>
          <w:sz w:val="22"/>
          <w:szCs w:val="22"/>
          <w:b w:val="1"/>
          <w:bCs w:val="1"/>
          <w:color w:val="2360A6"/>
        </w:rPr>
        <w:t>As of December 31, 2015</w:t>
      </w:r>
    </w:p>
    <w:p>
      <w:pPr>
        <w:spacing w:after="0" w:line="133"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231F20"/>
        </w:rPr>
        <w:t>As of December 31, 2015, the scope of consolidation consists of 210 entities, out of which 166 are fully consolidated and 44 are accounted for under the equity method.</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231F20"/>
        </w:rPr>
        <w:t>The table below sets forth the main consolidated entities:</w:t>
      </w:r>
    </w:p>
    <w:p>
      <w:pPr>
        <w:spacing w:after="0" w:line="118" w:lineRule="exact"/>
        <w:rPr>
          <w:sz w:val="20"/>
          <w:szCs w:val="20"/>
          <w:color w:val="auto"/>
        </w:rPr>
      </w:pPr>
    </w:p>
    <w:tbl>
      <w:tblPr>
        <w:tblLayout w:type="fixed"/>
        <w:tblInd w:w="270" w:type="dxa"/>
        <w:tblCellMar>
          <w:top w:w="0" w:type="dxa"/>
          <w:left w:w="0" w:type="dxa"/>
          <w:bottom w:w="0" w:type="dxa"/>
          <w:right w:w="0" w:type="dxa"/>
        </w:tblCellMar>
      </w:tblPr>
      <w:tr>
        <w:trPr>
          <w:trHeight w:val="189"/>
        </w:trPr>
        <w:tc>
          <w:tcPr>
            <w:tcW w:w="3580" w:type="dxa"/>
            <w:vAlign w:val="bottom"/>
            <w:tcBorders>
              <w:top w:val="single" w:sz="8" w:color="231F20"/>
              <w:left w:val="single" w:sz="8" w:color="231F20"/>
              <w:right w:val="single" w:sz="8" w:color="231F20"/>
            </w:tcBorders>
          </w:tcPr>
          <w:p>
            <w:pPr>
              <w:spacing w:after="0"/>
              <w:rPr>
                <w:sz w:val="16"/>
                <w:szCs w:val="16"/>
                <w:color w:val="auto"/>
              </w:rPr>
            </w:pPr>
          </w:p>
        </w:tc>
        <w:tc>
          <w:tcPr>
            <w:tcW w:w="2880" w:type="dxa"/>
            <w:vAlign w:val="bottom"/>
            <w:tcBorders>
              <w:top w:val="single" w:sz="8" w:color="231F20"/>
              <w:right w:val="single" w:sz="8" w:color="231F20"/>
            </w:tcBorders>
          </w:tcPr>
          <w:p>
            <w:pPr>
              <w:spacing w:after="0"/>
              <w:rPr>
                <w:sz w:val="16"/>
                <w:szCs w:val="16"/>
                <w:color w:val="auto"/>
              </w:rPr>
            </w:pPr>
          </w:p>
        </w:tc>
        <w:tc>
          <w:tcPr>
            <w:tcW w:w="2160" w:type="dxa"/>
            <w:vAlign w:val="bottom"/>
            <w:tcBorders>
              <w:top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As of December 31, 2015</w:t>
            </w:r>
          </w:p>
        </w:tc>
        <w:tc>
          <w:tcPr>
            <w:tcW w:w="2140" w:type="dxa"/>
            <w:vAlign w:val="bottom"/>
            <w:tcBorders>
              <w:top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As of December 31, 2015</w:t>
            </w:r>
          </w:p>
        </w:tc>
      </w:tr>
      <w:tr>
        <w:trPr>
          <w:trHeight w:val="196"/>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Fully Consolidated Companies</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Country</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 Interest</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 Control</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Consolidating Company</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Consolidating Company</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Angoflex SAS</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Cybernétix</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Flexi France</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Seal Engineering</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Eurocash SNC</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France</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Offshore International</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Technipnet</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Angola</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Angola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60%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Global Offshore Pty Ltd</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Australia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Oceania Pty Ltd</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Australia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Flexibras Tubos Flexiveis</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Brazil</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Global Brasil Oleodutos e Servicos Ltda</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Brazil</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Brasil Engenharia</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Brazil</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Operadora Portuaria</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Brazil</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Offshore Finland OY</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Finland</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Germany</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Germany</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India</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India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PT Global Industries Asia Pacific</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Indonesia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PT Technip Indonesia</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Indonesia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Italy</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Italy</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Front End Re</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Luxembourg</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Asiaflex Products</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Malaysia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Far East</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Malaysia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Geoproduction (M)</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Malaysia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Marine (M) Sdn. Bhd.</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Malaysia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Global Offshore Mexico S. de R.L. de C.V.</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Mexico</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de Mexico S. de R. L. de C.V.</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Mexico</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Benelux BV</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Netherlands</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Ships (Netherlands) BV</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Netherlands</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Offshore (Nigeria)</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Nigeria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Chartering Norge AS</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Norway</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Coflexip Norge AS</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Norway</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Norge AS</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Norway</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Chemical Engineering (Tianjin)</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People’s Republic of China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RUS</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Russia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Saudi Arabia</w:t>
            </w:r>
          </w:p>
        </w:tc>
        <w:tc>
          <w:tcPr>
            <w:tcW w:w="28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Saudi Arabia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100%</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bl>
    <w:p>
      <w:pPr>
        <w:sectPr>
          <w:pgSz w:w="11900" w:h="16838" w:orient="portrait"/>
          <w:cols w:equalWidth="0" w:num="1">
            <w:col w:w="11020"/>
          </w:cols>
          <w:pgMar w:left="320" w:top="688" w:right="559" w:bottom="1440" w:gutter="0" w:footer="0" w:header="0"/>
        </w:sectPr>
      </w:pPr>
    </w:p>
    <w:bookmarkStart w:id="94" w:name="page95"/>
    <w:bookmarkEnd w:id="94"/>
    <w:p>
      <w:pPr>
        <w:spacing w:after="0" w:line="1" w:lineRule="exact"/>
        <w:rPr>
          <w:sz w:val="20"/>
          <w:szCs w:val="20"/>
          <w:color w:val="auto"/>
        </w:rPr>
      </w:pPr>
    </w:p>
    <w:tbl>
      <w:tblPr>
        <w:tblLayout w:type="fixed"/>
        <w:tblInd w:w="270" w:type="dxa"/>
        <w:tblCellMar>
          <w:top w:w="0" w:type="dxa"/>
          <w:left w:w="0" w:type="dxa"/>
          <w:bottom w:w="0" w:type="dxa"/>
          <w:right w:w="0" w:type="dxa"/>
        </w:tblCellMar>
      </w:tblPr>
      <w:tr>
        <w:trPr>
          <w:trHeight w:val="189"/>
        </w:trPr>
        <w:tc>
          <w:tcPr>
            <w:tcW w:w="3580" w:type="dxa"/>
            <w:vAlign w:val="bottom"/>
            <w:tcBorders>
              <w:top w:val="single" w:sz="8" w:color="231F20"/>
              <w:left w:val="single" w:sz="8" w:color="231F20"/>
              <w:right w:val="single" w:sz="8" w:color="231F20"/>
            </w:tcBorders>
          </w:tcPr>
          <w:p>
            <w:pPr>
              <w:spacing w:after="0"/>
              <w:rPr>
                <w:sz w:val="16"/>
                <w:szCs w:val="16"/>
                <w:color w:val="auto"/>
              </w:rPr>
            </w:pPr>
          </w:p>
        </w:tc>
        <w:tc>
          <w:tcPr>
            <w:tcW w:w="2900" w:type="dxa"/>
            <w:vAlign w:val="bottom"/>
            <w:tcBorders>
              <w:top w:val="single" w:sz="8" w:color="231F20"/>
              <w:right w:val="single" w:sz="8" w:color="231F20"/>
            </w:tcBorders>
          </w:tcPr>
          <w:p>
            <w:pPr>
              <w:spacing w:after="0"/>
              <w:rPr>
                <w:sz w:val="16"/>
                <w:szCs w:val="16"/>
                <w:color w:val="auto"/>
              </w:rPr>
            </w:pPr>
          </w:p>
        </w:tc>
        <w:tc>
          <w:tcPr>
            <w:tcW w:w="2140" w:type="dxa"/>
            <w:vAlign w:val="bottom"/>
            <w:tcBorders>
              <w:top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As of December 31, 2015</w:t>
            </w:r>
          </w:p>
        </w:tc>
        <w:tc>
          <w:tcPr>
            <w:tcW w:w="2160" w:type="dxa"/>
            <w:vAlign w:val="bottom"/>
            <w:tcBorders>
              <w:top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As of December 31, 2015</w:t>
            </w:r>
          </w:p>
        </w:tc>
      </w:tr>
      <w:tr>
        <w:trPr>
          <w:trHeight w:val="196"/>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Fully Consolidated Companies</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Country</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 Interest</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 Control</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Coflexip Singapore</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Singapore</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Singapore</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Singapore</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Engineering (Thailand)</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Thailand</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Genesis Oil &amp; Gas Consultants Ltd</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Kingdom</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E&amp;C Ltd</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Kingdom</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UK Ltd</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Kingdom</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E&amp;C, Inc.</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States of America</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S&amp;W International, Inc.</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States of America</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193"/>
        </w:trPr>
        <w:tc>
          <w:tcPr>
            <w:tcW w:w="358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4"/>
                <w:szCs w:val="14"/>
                <w:color w:val="231F20"/>
              </w:rPr>
              <w:t>Technip Stone &amp; Webster Process</w:t>
            </w:r>
          </w:p>
        </w:tc>
        <w:tc>
          <w:tcPr>
            <w:tcW w:w="2900" w:type="dxa"/>
            <w:vAlign w:val="bottom"/>
            <w:tcBorders>
              <w:right w:val="single" w:sz="8" w:color="231F20"/>
            </w:tcBorders>
          </w:tcPr>
          <w:p>
            <w:pPr>
              <w:spacing w:after="0"/>
              <w:rPr>
                <w:sz w:val="16"/>
                <w:szCs w:val="16"/>
                <w:color w:val="auto"/>
              </w:rPr>
            </w:pPr>
          </w:p>
        </w:tc>
        <w:tc>
          <w:tcPr>
            <w:tcW w:w="2140" w:type="dxa"/>
            <w:vAlign w:val="bottom"/>
            <w:tcBorders>
              <w:right w:val="single" w:sz="8" w:color="231F20"/>
            </w:tcBorders>
          </w:tcPr>
          <w:p>
            <w:pPr>
              <w:spacing w:after="0"/>
              <w:rPr>
                <w:sz w:val="16"/>
                <w:szCs w:val="16"/>
                <w:color w:val="auto"/>
              </w:rPr>
            </w:pPr>
          </w:p>
        </w:tc>
        <w:tc>
          <w:tcPr>
            <w:tcW w:w="2160" w:type="dxa"/>
            <w:vAlign w:val="bottom"/>
            <w:tcBorders>
              <w:right w:val="single" w:sz="8" w:color="231F20"/>
            </w:tcBorders>
          </w:tcPr>
          <w:p>
            <w:pPr>
              <w:spacing w:after="0"/>
              <w:rPr>
                <w:sz w:val="16"/>
                <w:szCs w:val="16"/>
                <w:color w:val="auto"/>
              </w:rPr>
            </w:pPr>
          </w:p>
        </w:tc>
      </w:tr>
      <w:tr>
        <w:trPr>
          <w:trHeight w:val="178"/>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Technology, Inc.</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States of America</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Umbilicals Inc.</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States of America</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USA Holdings Inc.</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States of America</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35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USA Inc.</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States of America</w:t>
            </w:r>
          </w:p>
        </w:tc>
        <w:tc>
          <w:tcPr>
            <w:tcW w:w="21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bl>
    <w:p>
      <w:pPr>
        <w:spacing w:after="0" w:line="115" w:lineRule="exact"/>
        <w:rPr>
          <w:sz w:val="20"/>
          <w:szCs w:val="20"/>
          <w:color w:val="auto"/>
        </w:rPr>
      </w:pPr>
    </w:p>
    <w:tbl>
      <w:tblPr>
        <w:tblLayout w:type="fixed"/>
        <w:tblInd w:w="270" w:type="dxa"/>
        <w:tblCellMar>
          <w:top w:w="0" w:type="dxa"/>
          <w:left w:w="0" w:type="dxa"/>
          <w:bottom w:w="0" w:type="dxa"/>
          <w:right w:w="0" w:type="dxa"/>
        </w:tblCellMar>
      </w:tblPr>
      <w:tr>
        <w:trPr>
          <w:trHeight w:val="203"/>
        </w:trPr>
        <w:tc>
          <w:tcPr>
            <w:tcW w:w="3360" w:type="dxa"/>
            <w:vAlign w:val="bottom"/>
            <w:tcBorders>
              <w:top w:val="single" w:sz="8" w:color="231F20"/>
              <w:left w:val="single" w:sz="8" w:color="231F20"/>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Companies accounted for under the equity</w:t>
            </w:r>
          </w:p>
        </w:tc>
        <w:tc>
          <w:tcPr>
            <w:tcW w:w="2900" w:type="dxa"/>
            <w:vAlign w:val="bottom"/>
            <w:tcBorders>
              <w:top w:val="single" w:sz="8" w:color="231F20"/>
              <w:right w:val="single" w:sz="8" w:color="231F20"/>
            </w:tcBorders>
          </w:tcPr>
          <w:p>
            <w:pPr>
              <w:spacing w:after="0"/>
              <w:rPr>
                <w:sz w:val="17"/>
                <w:szCs w:val="17"/>
                <w:color w:val="auto"/>
              </w:rPr>
            </w:pPr>
          </w:p>
        </w:tc>
        <w:tc>
          <w:tcPr>
            <w:tcW w:w="2260" w:type="dxa"/>
            <w:vAlign w:val="bottom"/>
            <w:tcBorders>
              <w:top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As of December 31, 2015</w:t>
            </w:r>
          </w:p>
        </w:tc>
        <w:tc>
          <w:tcPr>
            <w:tcW w:w="2240" w:type="dxa"/>
            <w:vAlign w:val="bottom"/>
            <w:tcBorders>
              <w:top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As of December 31, 2015</w:t>
            </w:r>
          </w:p>
        </w:tc>
      </w:tr>
      <w:tr>
        <w:trPr>
          <w:trHeight w:val="196"/>
        </w:trPr>
        <w:tc>
          <w:tcPr>
            <w:tcW w:w="33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method</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Country</w:t>
            </w:r>
          </w:p>
        </w:tc>
        <w:tc>
          <w:tcPr>
            <w:tcW w:w="2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 Interest</w:t>
            </w:r>
          </w:p>
        </w:tc>
        <w:tc>
          <w:tcPr>
            <w:tcW w:w="2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 Control</w:t>
            </w:r>
          </w:p>
        </w:tc>
      </w:tr>
      <w:tr>
        <w:trPr>
          <w:trHeight w:val="210"/>
        </w:trPr>
        <w:tc>
          <w:tcPr>
            <w:tcW w:w="33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South Tambey LNG</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2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r>
      <w:tr>
        <w:trPr>
          <w:trHeight w:val="210"/>
        </w:trPr>
        <w:tc>
          <w:tcPr>
            <w:tcW w:w="33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Yamgaz</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2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r>
      <w:tr>
        <w:trPr>
          <w:trHeight w:val="210"/>
        </w:trPr>
        <w:tc>
          <w:tcPr>
            <w:tcW w:w="33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Dofcon Navegaçao Ltda</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Brazil</w:t>
            </w:r>
          </w:p>
        </w:tc>
        <w:tc>
          <w:tcPr>
            <w:tcW w:w="2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2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r>
      <w:tr>
        <w:trPr>
          <w:trHeight w:val="193"/>
        </w:trPr>
        <w:tc>
          <w:tcPr>
            <w:tcW w:w="336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4"/>
                <w:szCs w:val="14"/>
                <w:color w:val="231F20"/>
              </w:rPr>
              <w:t>Desarrolladora de Etileno, S. de R.L. de</w:t>
            </w:r>
          </w:p>
        </w:tc>
        <w:tc>
          <w:tcPr>
            <w:tcW w:w="2900" w:type="dxa"/>
            <w:vAlign w:val="bottom"/>
            <w:tcBorders>
              <w:right w:val="single" w:sz="8" w:color="231F20"/>
            </w:tcBorders>
          </w:tcPr>
          <w:p>
            <w:pPr>
              <w:spacing w:after="0"/>
              <w:rPr>
                <w:sz w:val="16"/>
                <w:szCs w:val="16"/>
                <w:color w:val="auto"/>
              </w:rPr>
            </w:pPr>
          </w:p>
        </w:tc>
        <w:tc>
          <w:tcPr>
            <w:tcW w:w="2260" w:type="dxa"/>
            <w:vAlign w:val="bottom"/>
            <w:tcBorders>
              <w:right w:val="single" w:sz="8" w:color="231F20"/>
            </w:tcBorders>
          </w:tcPr>
          <w:p>
            <w:pPr>
              <w:spacing w:after="0"/>
              <w:rPr>
                <w:sz w:val="16"/>
                <w:szCs w:val="16"/>
                <w:color w:val="auto"/>
              </w:rPr>
            </w:pPr>
          </w:p>
        </w:tc>
        <w:tc>
          <w:tcPr>
            <w:tcW w:w="2240" w:type="dxa"/>
            <w:vAlign w:val="bottom"/>
            <w:tcBorders>
              <w:right w:val="single" w:sz="8" w:color="231F20"/>
            </w:tcBorders>
          </w:tcPr>
          <w:p>
            <w:pPr>
              <w:spacing w:after="0"/>
              <w:rPr>
                <w:sz w:val="16"/>
                <w:szCs w:val="16"/>
                <w:color w:val="auto"/>
              </w:rPr>
            </w:pPr>
          </w:p>
        </w:tc>
      </w:tr>
      <w:tr>
        <w:trPr>
          <w:trHeight w:val="178"/>
        </w:trPr>
        <w:tc>
          <w:tcPr>
            <w:tcW w:w="33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C.V.</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Mexico</w:t>
            </w:r>
          </w:p>
        </w:tc>
        <w:tc>
          <w:tcPr>
            <w:tcW w:w="2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40%</w:t>
            </w:r>
          </w:p>
        </w:tc>
        <w:tc>
          <w:tcPr>
            <w:tcW w:w="2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40%</w:t>
            </w:r>
          </w:p>
        </w:tc>
      </w:tr>
      <w:tr>
        <w:trPr>
          <w:trHeight w:val="210"/>
        </w:trPr>
        <w:tc>
          <w:tcPr>
            <w:tcW w:w="33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Ethylene XXI Contractors S.A.P.I. de C.V.</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Mexico</w:t>
            </w:r>
          </w:p>
        </w:tc>
        <w:tc>
          <w:tcPr>
            <w:tcW w:w="2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40%</w:t>
            </w:r>
          </w:p>
        </w:tc>
        <w:tc>
          <w:tcPr>
            <w:tcW w:w="2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40%</w:t>
            </w:r>
          </w:p>
        </w:tc>
      </w:tr>
      <w:tr>
        <w:trPr>
          <w:trHeight w:val="210"/>
        </w:trPr>
        <w:tc>
          <w:tcPr>
            <w:tcW w:w="33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Etileno XXI Holding BV</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Netherlands</w:t>
            </w:r>
          </w:p>
        </w:tc>
        <w:tc>
          <w:tcPr>
            <w:tcW w:w="2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2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r>
      <w:tr>
        <w:trPr>
          <w:trHeight w:val="210"/>
        </w:trPr>
        <w:tc>
          <w:tcPr>
            <w:tcW w:w="33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Etileno XXI Services BV</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Netherlands</w:t>
            </w:r>
          </w:p>
        </w:tc>
        <w:tc>
          <w:tcPr>
            <w:tcW w:w="2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40%</w:t>
            </w:r>
          </w:p>
        </w:tc>
        <w:tc>
          <w:tcPr>
            <w:tcW w:w="2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40%</w:t>
            </w:r>
          </w:p>
        </w:tc>
      </w:tr>
      <w:tr>
        <w:trPr>
          <w:trHeight w:val="210"/>
        </w:trPr>
        <w:tc>
          <w:tcPr>
            <w:tcW w:w="33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Odebrecht PLSV CV</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Netherlands</w:t>
            </w:r>
          </w:p>
        </w:tc>
        <w:tc>
          <w:tcPr>
            <w:tcW w:w="2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2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r>
      <w:tr>
        <w:trPr>
          <w:trHeight w:val="210"/>
        </w:trPr>
        <w:tc>
          <w:tcPr>
            <w:tcW w:w="33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Yamgaz (Shanghai) Co. Ltd</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People’s Republic of China</w:t>
            </w:r>
          </w:p>
        </w:tc>
        <w:tc>
          <w:tcPr>
            <w:tcW w:w="2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2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r>
      <w:tr>
        <w:trPr>
          <w:trHeight w:val="210"/>
        </w:trPr>
        <w:tc>
          <w:tcPr>
            <w:tcW w:w="33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Forsys Subsea Ltd</w:t>
            </w:r>
          </w:p>
        </w:tc>
        <w:tc>
          <w:tcPr>
            <w:tcW w:w="29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United Kingdom</w:t>
            </w:r>
          </w:p>
        </w:tc>
        <w:tc>
          <w:tcPr>
            <w:tcW w:w="22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224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r>
    </w:tbl>
    <w:p>
      <w:pPr>
        <w:spacing w:after="0" w:line="2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All consolidated companies close their accounts as of December 31 except Technip India which closes their statutory accounts as of March 31, and Technip South Africa which closes its statutory accounts as of June 30. However, both entities perform an interim account closing as of December 31 for the purpose of Group consolidation.</w:t>
      </w:r>
    </w:p>
    <w:p>
      <w:pPr>
        <w:sectPr>
          <w:pgSz w:w="11900" w:h="16838" w:orient="portrait"/>
          <w:cols w:equalWidth="0" w:num="1">
            <w:col w:w="11340"/>
          </w:cols>
          <w:pgMar w:left="320" w:top="714" w:right="239" w:bottom="1440" w:gutter="0" w:footer="0" w:header="0"/>
        </w:sectPr>
      </w:pPr>
    </w:p>
    <w:bookmarkStart w:id="95" w:name="page96"/>
    <w:bookmarkEnd w:id="95"/>
    <w:p>
      <w:pPr>
        <w:ind w:left="200"/>
        <w:spacing w:after="0"/>
        <w:rPr>
          <w:sz w:val="20"/>
          <w:szCs w:val="20"/>
          <w:color w:val="auto"/>
        </w:rPr>
      </w:pPr>
      <w:r>
        <w:rPr>
          <w:rFonts w:ascii="Arial" w:cs="Arial" w:eastAsia="Arial" w:hAnsi="Arial"/>
          <w:sz w:val="22"/>
          <w:szCs w:val="22"/>
          <w:b w:val="1"/>
          <w:bCs w:val="1"/>
          <w:color w:val="2360A6"/>
        </w:rPr>
        <w:t>As of December 31, 2014</w:t>
      </w:r>
    </w:p>
    <w:p>
      <w:pPr>
        <w:spacing w:after="0" w:line="133" w:lineRule="exact"/>
        <w:rPr>
          <w:sz w:val="20"/>
          <w:szCs w:val="20"/>
          <w:color w:val="auto"/>
        </w:rPr>
      </w:pPr>
    </w:p>
    <w:p>
      <w:pPr>
        <w:ind w:left="80" w:right="40"/>
        <w:spacing w:after="0" w:line="260" w:lineRule="auto"/>
        <w:rPr>
          <w:sz w:val="20"/>
          <w:szCs w:val="20"/>
          <w:color w:val="auto"/>
        </w:rPr>
      </w:pPr>
      <w:r>
        <w:rPr>
          <w:rFonts w:ascii="Arial" w:cs="Arial" w:eastAsia="Arial" w:hAnsi="Arial"/>
          <w:sz w:val="16"/>
          <w:szCs w:val="16"/>
          <w:color w:val="231F20"/>
        </w:rPr>
        <w:t>As of December 31, 2014, the scope of consolidation consists of 209 entities, out of which 170 are fully consolidated and 39 are accounted under the equity method.</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The table below sets forth the main consolidated entities:</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260" w:type="dxa"/>
            <w:vAlign w:val="bottom"/>
            <w:tcBorders>
              <w:top w:val="single" w:sz="8" w:color="231F20"/>
              <w:left w:val="single" w:sz="8" w:color="231F20"/>
              <w:right w:val="single" w:sz="8" w:color="231F20"/>
            </w:tcBorders>
          </w:tcPr>
          <w:p>
            <w:pPr>
              <w:spacing w:after="0"/>
              <w:rPr>
                <w:sz w:val="16"/>
                <w:szCs w:val="16"/>
                <w:color w:val="auto"/>
              </w:rPr>
            </w:pPr>
          </w:p>
        </w:tc>
        <w:tc>
          <w:tcPr>
            <w:tcW w:w="2860" w:type="dxa"/>
            <w:vAlign w:val="bottom"/>
            <w:tcBorders>
              <w:top w:val="single" w:sz="8" w:color="231F20"/>
              <w:right w:val="single" w:sz="8" w:color="231F20"/>
            </w:tcBorders>
          </w:tcPr>
          <w:p>
            <w:pPr>
              <w:spacing w:after="0"/>
              <w:rPr>
                <w:sz w:val="16"/>
                <w:szCs w:val="16"/>
                <w:color w:val="auto"/>
              </w:rPr>
            </w:pPr>
          </w:p>
        </w:tc>
        <w:tc>
          <w:tcPr>
            <w:tcW w:w="2160" w:type="dxa"/>
            <w:vAlign w:val="bottom"/>
            <w:tcBorders>
              <w:top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As of December 31, 2014</w:t>
            </w:r>
          </w:p>
        </w:tc>
        <w:tc>
          <w:tcPr>
            <w:tcW w:w="2160" w:type="dxa"/>
            <w:vAlign w:val="bottom"/>
            <w:tcBorders>
              <w:top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As of December 31, 2014</w:t>
            </w:r>
          </w:p>
        </w:tc>
      </w:tr>
      <w:tr>
        <w:trPr>
          <w:trHeight w:val="196"/>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Fully Consolidated Companies</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Country</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 interest</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 control</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Consolidating Company</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Consolidating Company</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France</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Flexi France</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Corporate Services</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Eurocash SNC</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Offshore International</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Technipnet</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Angoflex Lda.</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Angola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70%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Angola</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Angola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60%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Global Offshore Pty Ltd</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Australia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Flexibras Tubos Flexiveis</w:t>
            </w:r>
          </w:p>
        </w:tc>
        <w:tc>
          <w:tcPr>
            <w:tcW w:w="28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Brazil</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bl>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260" w:type="dxa"/>
            <w:vAlign w:val="bottom"/>
            <w:tcBorders>
              <w:top w:val="single" w:sz="8" w:color="231F20"/>
              <w:left w:val="single" w:sz="8" w:color="231F20"/>
              <w:right w:val="single" w:sz="8" w:color="231F20"/>
            </w:tcBorders>
          </w:tcPr>
          <w:p>
            <w:pPr>
              <w:spacing w:after="0"/>
              <w:rPr>
                <w:sz w:val="16"/>
                <w:szCs w:val="16"/>
                <w:color w:val="auto"/>
              </w:rPr>
            </w:pPr>
          </w:p>
        </w:tc>
        <w:tc>
          <w:tcPr>
            <w:tcW w:w="2860" w:type="dxa"/>
            <w:vAlign w:val="bottom"/>
            <w:tcBorders>
              <w:top w:val="single" w:sz="8" w:color="231F20"/>
              <w:right w:val="single" w:sz="8" w:color="231F20"/>
            </w:tcBorders>
          </w:tcPr>
          <w:p>
            <w:pPr>
              <w:spacing w:after="0"/>
              <w:rPr>
                <w:sz w:val="16"/>
                <w:szCs w:val="16"/>
                <w:color w:val="auto"/>
              </w:rPr>
            </w:pPr>
          </w:p>
        </w:tc>
        <w:tc>
          <w:tcPr>
            <w:tcW w:w="2160" w:type="dxa"/>
            <w:vAlign w:val="bottom"/>
            <w:tcBorders>
              <w:top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As of December 31, 2014</w:t>
            </w:r>
          </w:p>
        </w:tc>
        <w:tc>
          <w:tcPr>
            <w:tcW w:w="2160" w:type="dxa"/>
            <w:vAlign w:val="bottom"/>
            <w:tcBorders>
              <w:top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As of December 31, 2014</w:t>
            </w:r>
          </w:p>
        </w:tc>
      </w:tr>
      <w:tr>
        <w:trPr>
          <w:trHeight w:val="196"/>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Fully Consolidated Companies</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b w:val="1"/>
                <w:bCs w:val="1"/>
                <w:color w:val="2360A6"/>
              </w:rPr>
              <w:t>Country</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 interest</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 control</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Global Brasil Oleodutos E Servicos Ltda</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Brazil</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Brasil Engenharia</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Brazil</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Canada</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Canada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Global Industries International, LP</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Cayman Islands, British West-Indies</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Offshore Finland OY</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Finland</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Zimmer Gmbh</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Germany</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India</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India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Italy</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Italy</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Front End Re</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Luxembourg</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Global Asia Pacific Industries Sdn. Bhd.</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Malaysia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Far East</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Malaysia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Geoproduction (M)</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Malaysia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Marine (M) Sdn. Bhd.</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Malaysia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Coflexip Stena Offshore (Mauritius)</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Mauritius</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193"/>
        </w:trPr>
        <w:tc>
          <w:tcPr>
            <w:tcW w:w="426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4"/>
                <w:szCs w:val="14"/>
                <w:color w:val="231F20"/>
              </w:rPr>
              <w:t>Global Offshore Mexico S. de R.L. de</w:t>
            </w:r>
          </w:p>
        </w:tc>
        <w:tc>
          <w:tcPr>
            <w:tcW w:w="2860" w:type="dxa"/>
            <w:vAlign w:val="bottom"/>
            <w:tcBorders>
              <w:right w:val="single" w:sz="8" w:color="231F20"/>
            </w:tcBorders>
          </w:tcPr>
          <w:p>
            <w:pPr>
              <w:spacing w:after="0"/>
              <w:rPr>
                <w:sz w:val="16"/>
                <w:szCs w:val="16"/>
                <w:color w:val="auto"/>
              </w:rPr>
            </w:pPr>
          </w:p>
        </w:tc>
        <w:tc>
          <w:tcPr>
            <w:tcW w:w="2160" w:type="dxa"/>
            <w:vAlign w:val="bottom"/>
            <w:tcBorders>
              <w:right w:val="single" w:sz="8" w:color="231F20"/>
            </w:tcBorders>
          </w:tcPr>
          <w:p>
            <w:pPr>
              <w:spacing w:after="0"/>
              <w:rPr>
                <w:sz w:val="16"/>
                <w:szCs w:val="16"/>
                <w:color w:val="auto"/>
              </w:rPr>
            </w:pPr>
          </w:p>
        </w:tc>
        <w:tc>
          <w:tcPr>
            <w:tcW w:w="2160" w:type="dxa"/>
            <w:vAlign w:val="bottom"/>
            <w:tcBorders>
              <w:right w:val="single" w:sz="8" w:color="231F20"/>
            </w:tcBorders>
          </w:tcPr>
          <w:p>
            <w:pPr>
              <w:spacing w:after="0"/>
              <w:rPr>
                <w:sz w:val="16"/>
                <w:szCs w:val="16"/>
                <w:color w:val="auto"/>
              </w:rPr>
            </w:pPr>
          </w:p>
        </w:tc>
      </w:tr>
      <w:tr>
        <w:trPr>
          <w:trHeight w:val="178"/>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C.V.</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Mexico</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Benelux BV</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Netherlands</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Ships (Netherlands) BV</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Netherlands</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Offshore (Nigeria)</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Nigeria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Norge AS</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Norway</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RUS</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Russia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Saudi Arabia</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Saoudi Arabia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Singapore</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Singapore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Middle East</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United Arab Emirates</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Genesis Oil &amp; Gas Consultants Ltd</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United Kingdom</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UK Ltd</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United Kingdom</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E&amp;C, Inc.</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United States of America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193"/>
        </w:trPr>
        <w:tc>
          <w:tcPr>
            <w:tcW w:w="426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4"/>
                <w:szCs w:val="14"/>
                <w:color w:val="231F20"/>
              </w:rPr>
              <w:t>Technip Stone &amp; Webster Process</w:t>
            </w:r>
          </w:p>
        </w:tc>
        <w:tc>
          <w:tcPr>
            <w:tcW w:w="2860" w:type="dxa"/>
            <w:vAlign w:val="bottom"/>
            <w:tcBorders>
              <w:right w:val="single" w:sz="8" w:color="231F20"/>
            </w:tcBorders>
          </w:tcPr>
          <w:p>
            <w:pPr>
              <w:spacing w:after="0"/>
              <w:rPr>
                <w:sz w:val="16"/>
                <w:szCs w:val="16"/>
                <w:color w:val="auto"/>
              </w:rPr>
            </w:pPr>
          </w:p>
        </w:tc>
        <w:tc>
          <w:tcPr>
            <w:tcW w:w="2160" w:type="dxa"/>
            <w:vAlign w:val="bottom"/>
            <w:tcBorders>
              <w:right w:val="single" w:sz="8" w:color="231F20"/>
            </w:tcBorders>
          </w:tcPr>
          <w:p>
            <w:pPr>
              <w:spacing w:after="0"/>
              <w:rPr>
                <w:sz w:val="16"/>
                <w:szCs w:val="16"/>
                <w:color w:val="auto"/>
              </w:rPr>
            </w:pPr>
          </w:p>
        </w:tc>
        <w:tc>
          <w:tcPr>
            <w:tcW w:w="2160" w:type="dxa"/>
            <w:vAlign w:val="bottom"/>
            <w:tcBorders>
              <w:right w:val="single" w:sz="8" w:color="231F20"/>
            </w:tcBorders>
          </w:tcPr>
          <w:p>
            <w:pPr>
              <w:spacing w:after="0"/>
              <w:rPr>
                <w:sz w:val="16"/>
                <w:szCs w:val="16"/>
                <w:color w:val="auto"/>
              </w:rPr>
            </w:pPr>
          </w:p>
        </w:tc>
      </w:tr>
      <w:tr>
        <w:trPr>
          <w:trHeight w:val="178"/>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Technology, Inc.</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United States of America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Umbilicals Inc.</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United States of America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USA Holdings Inc.</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United States of America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USA Inc.</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United States of America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w:t>
            </w:r>
          </w:p>
        </w:tc>
      </w:tr>
    </w:tbl>
    <w:p>
      <w:pPr>
        <w:sectPr>
          <w:pgSz w:w="11900" w:h="16838" w:orient="portrait"/>
          <w:cols w:equalWidth="0" w:num="1">
            <w:col w:w="11440"/>
          </w:cols>
          <w:pgMar w:left="240" w:top="580" w:right="219" w:bottom="1440" w:gutter="0" w:footer="0" w:header="0"/>
        </w:sectPr>
      </w:pPr>
    </w:p>
    <w:bookmarkStart w:id="96" w:name="page97"/>
    <w:bookmarkEnd w:id="9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4260" w:type="dxa"/>
            <w:vAlign w:val="bottom"/>
            <w:tcBorders>
              <w:top w:val="single" w:sz="8" w:color="231F20"/>
              <w:left w:val="single" w:sz="8" w:color="231F20"/>
              <w:right w:val="single" w:sz="8" w:color="231F20"/>
            </w:tcBorders>
          </w:tcPr>
          <w:p>
            <w:pPr>
              <w:spacing w:after="0"/>
              <w:rPr>
                <w:sz w:val="18"/>
                <w:szCs w:val="18"/>
                <w:color w:val="auto"/>
              </w:rPr>
            </w:pPr>
          </w:p>
        </w:tc>
        <w:tc>
          <w:tcPr>
            <w:tcW w:w="2860" w:type="dxa"/>
            <w:vAlign w:val="bottom"/>
            <w:tcBorders>
              <w:top w:val="single" w:sz="8" w:color="231F20"/>
              <w:right w:val="single" w:sz="8" w:color="231F20"/>
            </w:tcBorders>
          </w:tcPr>
          <w:p>
            <w:pPr>
              <w:spacing w:after="0"/>
              <w:rPr>
                <w:sz w:val="18"/>
                <w:szCs w:val="18"/>
                <w:color w:val="auto"/>
              </w:rPr>
            </w:pPr>
          </w:p>
        </w:tc>
        <w:tc>
          <w:tcPr>
            <w:tcW w:w="2160" w:type="dxa"/>
            <w:vAlign w:val="bottom"/>
            <w:tcBorders>
              <w:top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As of December 31,</w:t>
            </w:r>
          </w:p>
        </w:tc>
        <w:tc>
          <w:tcPr>
            <w:tcW w:w="2160" w:type="dxa"/>
            <w:vAlign w:val="bottom"/>
            <w:tcBorders>
              <w:top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As of December 31,</w:t>
            </w:r>
          </w:p>
        </w:tc>
      </w:tr>
      <w:tr>
        <w:trPr>
          <w:trHeight w:val="162"/>
        </w:trPr>
        <w:tc>
          <w:tcPr>
            <w:tcW w:w="4260" w:type="dxa"/>
            <w:vAlign w:val="bottom"/>
            <w:tcBorders>
              <w:left w:val="single" w:sz="8" w:color="231F20"/>
              <w:right w:val="single" w:sz="8" w:color="231F20"/>
            </w:tcBorders>
          </w:tcPr>
          <w:p>
            <w:pPr>
              <w:spacing w:after="0"/>
              <w:rPr>
                <w:sz w:val="14"/>
                <w:szCs w:val="14"/>
                <w:color w:val="auto"/>
              </w:rPr>
            </w:pPr>
          </w:p>
        </w:tc>
        <w:tc>
          <w:tcPr>
            <w:tcW w:w="2860" w:type="dxa"/>
            <w:vAlign w:val="bottom"/>
            <w:tcBorders>
              <w:right w:val="single" w:sz="8" w:color="231F20"/>
            </w:tcBorders>
          </w:tcPr>
          <w:p>
            <w:pPr>
              <w:spacing w:after="0"/>
              <w:rPr>
                <w:sz w:val="14"/>
                <w:szCs w:val="14"/>
                <w:color w:val="auto"/>
              </w:rPr>
            </w:pPr>
          </w:p>
        </w:tc>
        <w:tc>
          <w:tcPr>
            <w:tcW w:w="2160" w:type="dxa"/>
            <w:vAlign w:val="bottom"/>
            <w:tcBorders>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2014</w:t>
            </w:r>
          </w:p>
        </w:tc>
        <w:tc>
          <w:tcPr>
            <w:tcW w:w="2160" w:type="dxa"/>
            <w:vAlign w:val="bottom"/>
            <w:tcBorders>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196"/>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Companies accounted for under the equity method</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b w:val="1"/>
                <w:bCs w:val="1"/>
                <w:color w:val="2360A6"/>
              </w:rPr>
              <w:t>Country</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 interest</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 control</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South Tambey LNG</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Yamgaz</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France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FSTP Brasil Ltda</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Brazil</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25%</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25%</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Dofcon Navegacao Ltda</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Brazil</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Ethylene XXI Contractors S.A.P.I. de C.V.</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Mexico</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Etileno XXI Services BV</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Netherlands</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Technip Odebrecht PLSV CV</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Netherlands</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FSTP Pte Ltd</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Singapore</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25%</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25%</w:t>
            </w:r>
          </w:p>
        </w:tc>
      </w:tr>
      <w:tr>
        <w:trPr>
          <w:trHeight w:val="210"/>
        </w:trPr>
        <w:tc>
          <w:tcPr>
            <w:tcW w:w="4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Badger Licensing LLC - JV</w:t>
            </w:r>
          </w:p>
        </w:tc>
        <w:tc>
          <w:tcPr>
            <w:tcW w:w="286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4"/>
                <w:szCs w:val="14"/>
                <w:color w:val="231F20"/>
              </w:rPr>
              <w:t>United States of America</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21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w:t>
            </w:r>
          </w:p>
        </w:tc>
      </w:tr>
    </w:tbl>
    <w:p>
      <w:pPr>
        <w:spacing w:after="0" w:line="218" w:lineRule="exact"/>
        <w:rPr>
          <w:sz w:val="20"/>
          <w:szCs w:val="20"/>
          <w:color w:val="auto"/>
        </w:rPr>
      </w:pPr>
    </w:p>
    <w:p>
      <w:pPr>
        <w:jc w:val="both"/>
        <w:ind w:left="80" w:right="20"/>
        <w:spacing w:after="0" w:line="253" w:lineRule="auto"/>
        <w:rPr>
          <w:sz w:val="20"/>
          <w:szCs w:val="20"/>
          <w:color w:val="auto"/>
        </w:rPr>
      </w:pPr>
      <w:r>
        <w:rPr>
          <w:rFonts w:ascii="Arial" w:cs="Arial" w:eastAsia="Arial" w:hAnsi="Arial"/>
          <w:sz w:val="16"/>
          <w:szCs w:val="16"/>
          <w:color w:val="231F20"/>
        </w:rPr>
        <w:t>All consolidated companies close their accounts as of December 31 except Technip India which closes their statutory accounts as of March 31, and Technip South Africa which closes its statutory accounts as of June 30. However, both entities perform an interim account closing as of December 31 for the purpose of Group consolidation.</w:t>
      </w:r>
    </w:p>
    <w:p>
      <w:pPr>
        <w:sectPr>
          <w:pgSz w:w="11900" w:h="16838" w:orient="portrait"/>
          <w:cols w:equalWidth="0" w:num="1">
            <w:col w:w="11440"/>
          </w:cols>
          <w:pgMar w:left="240" w:top="714" w:right="219" w:bottom="1440" w:gutter="0" w:footer="0" w:header="0"/>
        </w:sectPr>
      </w:pPr>
    </w:p>
    <w:bookmarkStart w:id="97" w:name="page98"/>
    <w:bookmarkEnd w:id="97"/>
    <w:p>
      <w:pPr>
        <w:spacing w:after="0"/>
        <w:rPr>
          <w:sz w:val="20"/>
          <w:szCs w:val="20"/>
          <w:color w:val="auto"/>
        </w:rPr>
      </w:pPr>
      <w:r>
        <w:rPr>
          <w:rFonts w:ascii="Arial" w:cs="Arial" w:eastAsia="Arial" w:hAnsi="Arial"/>
          <w:sz w:val="29"/>
          <w:szCs w:val="29"/>
          <w:b w:val="1"/>
          <w:bCs w:val="1"/>
          <w:color w:val="2360A6"/>
        </w:rPr>
        <w:t>Note 3 Segment Information</w:t>
      </w:r>
    </w:p>
    <w:p>
      <w:pPr>
        <w:spacing w:after="0" w:line="23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231F20"/>
        </w:rPr>
        <w:t>The table below shows information on Technip’s reportable business and geographical segments in accordance with IFRS 8 (see Note 1-C (e) - Segment information).</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Information by Business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111125</wp:posOffset>
            </wp:positionV>
            <wp:extent cx="6852285" cy="56000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2285" cy="5600065"/>
                    </a:xfrm>
                    <a:prstGeom prst="rect">
                      <a:avLst/>
                    </a:prstGeom>
                    <a:noFill/>
                  </pic:spPr>
                </pic:pic>
              </a:graphicData>
            </a:graphic>
          </wp:anchor>
        </w:drawing>
      </w:r>
    </w:p>
    <w:p>
      <w:pPr>
        <w:spacing w:after="0" w:line="135"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2600" w:type="dxa"/>
            <w:vAlign w:val="bottom"/>
            <w:tcBorders>
              <w:top w:val="single" w:sz="8" w:color="2360A6"/>
              <w:right w:val="single" w:sz="8" w:color="2360A6"/>
            </w:tcBorders>
          </w:tcPr>
          <w:p>
            <w:pPr>
              <w:spacing w:after="0"/>
              <w:rPr>
                <w:sz w:val="17"/>
                <w:szCs w:val="17"/>
                <w:color w:val="auto"/>
              </w:rPr>
            </w:pPr>
          </w:p>
        </w:tc>
        <w:tc>
          <w:tcPr>
            <w:tcW w:w="760" w:type="dxa"/>
            <w:vAlign w:val="bottom"/>
            <w:tcBorders>
              <w:top w:val="single" w:sz="8" w:color="2360A6"/>
              <w:bottom w:val="single" w:sz="8" w:color="2360A6"/>
              <w:right w:val="single" w:sz="8" w:color="2360A6"/>
            </w:tcBorders>
            <w:shd w:val="clear" w:color="auto" w:fill="2360A6"/>
          </w:tcPr>
          <w:p>
            <w:pPr>
              <w:spacing w:after="0"/>
              <w:rPr>
                <w:sz w:val="17"/>
                <w:szCs w:val="17"/>
                <w:color w:val="auto"/>
              </w:rPr>
            </w:pPr>
          </w:p>
        </w:tc>
        <w:tc>
          <w:tcPr>
            <w:tcW w:w="980" w:type="dxa"/>
            <w:vAlign w:val="bottom"/>
            <w:tcBorders>
              <w:top w:val="single" w:sz="8" w:color="2360A6"/>
              <w:bottom w:val="single" w:sz="8" w:color="2360A6"/>
              <w:right w:val="single" w:sz="8" w:color="2360A6"/>
            </w:tcBorders>
            <w:shd w:val="clear" w:color="auto" w:fill="2360A6"/>
          </w:tcPr>
          <w:p>
            <w:pPr>
              <w:spacing w:after="0"/>
              <w:rPr>
                <w:sz w:val="17"/>
                <w:szCs w:val="17"/>
                <w:color w:val="auto"/>
              </w:rPr>
            </w:pPr>
          </w:p>
        </w:tc>
        <w:tc>
          <w:tcPr>
            <w:tcW w:w="860" w:type="dxa"/>
            <w:vAlign w:val="bottom"/>
            <w:tcBorders>
              <w:top w:val="single" w:sz="8" w:color="2360A6"/>
              <w:bottom w:val="single" w:sz="8" w:color="2360A6"/>
              <w:right w:val="single" w:sz="8" w:color="2360A6"/>
            </w:tcBorders>
            <w:shd w:val="clear" w:color="auto" w:fill="2360A6"/>
          </w:tcPr>
          <w:p>
            <w:pPr>
              <w:spacing w:after="0"/>
              <w:rPr>
                <w:sz w:val="17"/>
                <w:szCs w:val="17"/>
                <w:color w:val="auto"/>
              </w:rPr>
            </w:pPr>
          </w:p>
        </w:tc>
        <w:tc>
          <w:tcPr>
            <w:tcW w:w="1180" w:type="dxa"/>
            <w:vAlign w:val="bottom"/>
            <w:tcBorders>
              <w:top w:val="single" w:sz="8" w:color="2360A6"/>
              <w:bottom w:val="single" w:sz="8" w:color="2360A6"/>
              <w:right w:val="single" w:sz="8" w:color="2360A6"/>
            </w:tcBorders>
            <w:shd w:val="clear" w:color="auto" w:fill="2360A6"/>
          </w:tcPr>
          <w:p>
            <w:pPr>
              <w:spacing w:after="0"/>
              <w:rPr>
                <w:sz w:val="17"/>
                <w:szCs w:val="17"/>
                <w:color w:val="auto"/>
              </w:rPr>
            </w:pPr>
          </w:p>
        </w:tc>
        <w:tc>
          <w:tcPr>
            <w:tcW w:w="1180" w:type="dxa"/>
            <w:vAlign w:val="bottom"/>
            <w:tcBorders>
              <w:top w:val="single" w:sz="8" w:color="2360A6"/>
              <w:bottom w:val="single" w:sz="8" w:color="2360A6"/>
            </w:tcBorders>
            <w:shd w:val="clear" w:color="auto" w:fill="2360A6"/>
          </w:tcPr>
          <w:p>
            <w:pPr>
              <w:jc w:val="right"/>
              <w:ind w:right="657"/>
              <w:spacing w:after="0"/>
              <w:rPr>
                <w:sz w:val="20"/>
                <w:szCs w:val="20"/>
                <w:color w:val="auto"/>
              </w:rPr>
            </w:pPr>
            <w:r>
              <w:rPr>
                <w:rFonts w:ascii="Arial" w:cs="Arial" w:eastAsia="Arial" w:hAnsi="Arial"/>
                <w:sz w:val="13"/>
                <w:szCs w:val="13"/>
                <w:b w:val="1"/>
                <w:bCs w:val="1"/>
                <w:color w:val="FFFFFF"/>
              </w:rPr>
              <w:t>2016</w:t>
            </w:r>
          </w:p>
        </w:tc>
        <w:tc>
          <w:tcPr>
            <w:tcW w:w="120" w:type="dxa"/>
            <w:vAlign w:val="bottom"/>
            <w:tcBorders>
              <w:top w:val="single" w:sz="8" w:color="2360A6"/>
              <w:bottom w:val="single" w:sz="8" w:color="2360A6"/>
              <w:right w:val="single" w:sz="8" w:color="2360A6"/>
            </w:tcBorders>
            <w:shd w:val="clear" w:color="auto" w:fill="2360A6"/>
          </w:tcPr>
          <w:p>
            <w:pPr>
              <w:spacing w:after="0"/>
              <w:rPr>
                <w:sz w:val="17"/>
                <w:szCs w:val="17"/>
                <w:color w:val="auto"/>
              </w:rPr>
            </w:pPr>
          </w:p>
        </w:tc>
        <w:tc>
          <w:tcPr>
            <w:tcW w:w="860" w:type="dxa"/>
            <w:vAlign w:val="bottom"/>
            <w:tcBorders>
              <w:top w:val="single" w:sz="8" w:color="2360A6"/>
              <w:bottom w:val="single" w:sz="8" w:color="2360A6"/>
              <w:right w:val="single" w:sz="8" w:color="2360A6"/>
            </w:tcBorders>
            <w:shd w:val="clear" w:color="auto" w:fill="2360A6"/>
          </w:tcPr>
          <w:p>
            <w:pPr>
              <w:spacing w:after="0"/>
              <w:rPr>
                <w:sz w:val="17"/>
                <w:szCs w:val="17"/>
                <w:color w:val="auto"/>
              </w:rPr>
            </w:pPr>
          </w:p>
        </w:tc>
        <w:tc>
          <w:tcPr>
            <w:tcW w:w="1080" w:type="dxa"/>
            <w:vAlign w:val="bottom"/>
            <w:tcBorders>
              <w:top w:val="single" w:sz="8" w:color="2360A6"/>
              <w:bottom w:val="single" w:sz="8" w:color="2360A6"/>
              <w:right w:val="single" w:sz="8" w:color="2360A6"/>
            </w:tcBorders>
            <w:shd w:val="clear" w:color="auto" w:fill="2360A6"/>
          </w:tcPr>
          <w:p>
            <w:pPr>
              <w:spacing w:after="0"/>
              <w:rPr>
                <w:sz w:val="17"/>
                <w:szCs w:val="17"/>
                <w:color w:val="auto"/>
              </w:rPr>
            </w:pPr>
          </w:p>
        </w:tc>
        <w:tc>
          <w:tcPr>
            <w:tcW w:w="1140" w:type="dxa"/>
            <w:vAlign w:val="bottom"/>
            <w:tcBorders>
              <w:top w:val="single" w:sz="8" w:color="2360A6"/>
              <w:bottom w:val="single" w:sz="8" w:color="2360A6"/>
            </w:tcBorders>
            <w:shd w:val="clear" w:color="auto" w:fill="2360A6"/>
          </w:tcPr>
          <w:p>
            <w:pPr>
              <w:spacing w:after="0"/>
              <w:rPr>
                <w:sz w:val="17"/>
                <w:szCs w:val="17"/>
                <w:color w:val="auto"/>
              </w:rPr>
            </w:pPr>
          </w:p>
        </w:tc>
        <w:tc>
          <w:tcPr>
            <w:tcW w:w="20" w:type="dxa"/>
            <w:vAlign w:val="bottom"/>
            <w:tcBorders>
              <w:top w:val="single" w:sz="8" w:color="2360A6"/>
              <w:bottom w:val="single" w:sz="8" w:color="2360A6"/>
            </w:tcBorders>
          </w:tcPr>
          <w:p>
            <w:pPr>
              <w:spacing w:after="0"/>
              <w:rPr>
                <w:sz w:val="17"/>
                <w:szCs w:val="17"/>
                <w:color w:val="auto"/>
              </w:rPr>
            </w:pPr>
          </w:p>
        </w:tc>
      </w:tr>
      <w:tr>
        <w:trPr>
          <w:trHeight w:val="140"/>
        </w:trPr>
        <w:tc>
          <w:tcPr>
            <w:tcW w:w="2600" w:type="dxa"/>
            <w:vAlign w:val="bottom"/>
            <w:tcBorders>
              <w:right w:val="single" w:sz="8" w:color="2360A6"/>
            </w:tcBorders>
          </w:tcPr>
          <w:p>
            <w:pPr>
              <w:spacing w:after="0"/>
              <w:rPr>
                <w:sz w:val="12"/>
                <w:szCs w:val="12"/>
                <w:color w:val="auto"/>
              </w:rPr>
            </w:pPr>
          </w:p>
        </w:tc>
        <w:tc>
          <w:tcPr>
            <w:tcW w:w="760" w:type="dxa"/>
            <w:vAlign w:val="bottom"/>
            <w:tcBorders>
              <w:right w:val="single" w:sz="8" w:color="2360A6"/>
            </w:tcBorders>
            <w:shd w:val="clear" w:color="auto" w:fill="EDEDEE"/>
          </w:tcPr>
          <w:p>
            <w:pPr>
              <w:spacing w:after="0"/>
              <w:rPr>
                <w:sz w:val="12"/>
                <w:szCs w:val="12"/>
                <w:color w:val="auto"/>
              </w:rPr>
            </w:pPr>
          </w:p>
        </w:tc>
        <w:tc>
          <w:tcPr>
            <w:tcW w:w="980" w:type="dxa"/>
            <w:vAlign w:val="bottom"/>
            <w:tcBorders>
              <w:right w:val="single" w:sz="8" w:color="2360A6"/>
            </w:tcBorders>
            <w:shd w:val="clear" w:color="auto" w:fill="EDEDEE"/>
          </w:tcPr>
          <w:p>
            <w:pPr>
              <w:spacing w:after="0"/>
              <w:rPr>
                <w:sz w:val="12"/>
                <w:szCs w:val="12"/>
                <w:color w:val="auto"/>
              </w:rPr>
            </w:pPr>
          </w:p>
        </w:tc>
        <w:tc>
          <w:tcPr>
            <w:tcW w:w="860" w:type="dxa"/>
            <w:vAlign w:val="bottom"/>
            <w:tcBorders>
              <w:right w:val="single" w:sz="8" w:color="2360A6"/>
            </w:tcBorders>
            <w:shd w:val="clear" w:color="auto" w:fill="EDEDEE"/>
          </w:tcPr>
          <w:p>
            <w:pPr>
              <w:spacing w:after="0"/>
              <w:rPr>
                <w:sz w:val="12"/>
                <w:szCs w:val="12"/>
                <w:color w:val="auto"/>
              </w:rPr>
            </w:pPr>
          </w:p>
        </w:tc>
        <w:tc>
          <w:tcPr>
            <w:tcW w:w="1180" w:type="dxa"/>
            <w:vAlign w:val="bottom"/>
            <w:tcBorders>
              <w:right w:val="single" w:sz="8" w:color="2360A6"/>
            </w:tcBorders>
            <w:shd w:val="clear" w:color="auto" w:fill="EDEDEE"/>
          </w:tcPr>
          <w:p>
            <w:pPr>
              <w:jc w:val="right"/>
              <w:ind w:right="57"/>
              <w:spacing w:after="0" w:line="140" w:lineRule="exact"/>
              <w:rPr>
                <w:sz w:val="20"/>
                <w:szCs w:val="20"/>
                <w:color w:val="auto"/>
              </w:rPr>
            </w:pPr>
            <w:r>
              <w:rPr>
                <w:rFonts w:ascii="Arial" w:cs="Arial" w:eastAsia="Arial" w:hAnsi="Arial"/>
                <w:sz w:val="13"/>
                <w:szCs w:val="13"/>
                <w:b w:val="1"/>
                <w:bCs w:val="1"/>
                <w:color w:val="2360A6"/>
              </w:rPr>
              <w:t>Non Allocable</w:t>
            </w:r>
          </w:p>
        </w:tc>
        <w:tc>
          <w:tcPr>
            <w:tcW w:w="1180" w:type="dxa"/>
            <w:vAlign w:val="bottom"/>
            <w:shd w:val="clear" w:color="auto" w:fill="EDEDEE"/>
          </w:tcPr>
          <w:p>
            <w:pPr>
              <w:spacing w:after="0"/>
              <w:rPr>
                <w:sz w:val="12"/>
                <w:szCs w:val="12"/>
                <w:color w:val="auto"/>
              </w:rPr>
            </w:pPr>
          </w:p>
        </w:tc>
        <w:tc>
          <w:tcPr>
            <w:tcW w:w="120" w:type="dxa"/>
            <w:vAlign w:val="bottom"/>
            <w:tcBorders>
              <w:right w:val="single" w:sz="8" w:color="2360A6"/>
            </w:tcBorders>
            <w:shd w:val="clear" w:color="auto" w:fill="EDEDEE"/>
          </w:tcPr>
          <w:p>
            <w:pPr>
              <w:spacing w:after="0"/>
              <w:rPr>
                <w:sz w:val="12"/>
                <w:szCs w:val="12"/>
                <w:color w:val="auto"/>
              </w:rPr>
            </w:pPr>
          </w:p>
        </w:tc>
        <w:tc>
          <w:tcPr>
            <w:tcW w:w="860" w:type="dxa"/>
            <w:vAlign w:val="bottom"/>
            <w:tcBorders>
              <w:right w:val="single" w:sz="8" w:color="2360A6"/>
            </w:tcBorders>
            <w:shd w:val="clear" w:color="auto" w:fill="EDEDEE"/>
          </w:tcPr>
          <w:p>
            <w:pPr>
              <w:spacing w:after="0"/>
              <w:rPr>
                <w:sz w:val="12"/>
                <w:szCs w:val="12"/>
                <w:color w:val="auto"/>
              </w:rPr>
            </w:pPr>
          </w:p>
        </w:tc>
        <w:tc>
          <w:tcPr>
            <w:tcW w:w="1080" w:type="dxa"/>
            <w:vAlign w:val="bottom"/>
            <w:tcBorders>
              <w:right w:val="single" w:sz="8" w:color="2360A6"/>
            </w:tcBorders>
            <w:shd w:val="clear" w:color="auto" w:fill="EDEDEE"/>
          </w:tcPr>
          <w:p>
            <w:pPr>
              <w:spacing w:after="0"/>
              <w:rPr>
                <w:sz w:val="12"/>
                <w:szCs w:val="12"/>
                <w:color w:val="auto"/>
              </w:rPr>
            </w:pPr>
          </w:p>
        </w:tc>
        <w:tc>
          <w:tcPr>
            <w:tcW w:w="1140" w:type="dxa"/>
            <w:vAlign w:val="bottom"/>
            <w:shd w:val="clear" w:color="auto" w:fill="EDEDEE"/>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2600" w:type="dxa"/>
            <w:vAlign w:val="bottom"/>
            <w:tcBorders>
              <w:right w:val="single" w:sz="8" w:color="2360A6"/>
            </w:tcBorders>
          </w:tcPr>
          <w:p>
            <w:pPr>
              <w:spacing w:after="0"/>
              <w:rPr>
                <w:sz w:val="11"/>
                <w:szCs w:val="11"/>
                <w:color w:val="auto"/>
              </w:rPr>
            </w:pPr>
          </w:p>
        </w:tc>
        <w:tc>
          <w:tcPr>
            <w:tcW w:w="760" w:type="dxa"/>
            <w:vAlign w:val="bottom"/>
            <w:tcBorders>
              <w:right w:val="single" w:sz="8" w:color="2360A6"/>
            </w:tcBorders>
            <w:shd w:val="clear" w:color="auto" w:fill="EDEDEE"/>
          </w:tcPr>
          <w:p>
            <w:pPr>
              <w:spacing w:after="0"/>
              <w:rPr>
                <w:sz w:val="11"/>
                <w:szCs w:val="11"/>
                <w:color w:val="auto"/>
              </w:rPr>
            </w:pPr>
          </w:p>
        </w:tc>
        <w:tc>
          <w:tcPr>
            <w:tcW w:w="980" w:type="dxa"/>
            <w:vAlign w:val="bottom"/>
            <w:tcBorders>
              <w:right w:val="single" w:sz="8" w:color="2360A6"/>
            </w:tcBorders>
            <w:shd w:val="clear" w:color="auto" w:fill="EDEDEE"/>
          </w:tcPr>
          <w:p>
            <w:pPr>
              <w:jc w:val="right"/>
              <w:ind w:right="77"/>
              <w:spacing w:after="0" w:line="135" w:lineRule="exact"/>
              <w:rPr>
                <w:sz w:val="20"/>
                <w:szCs w:val="20"/>
                <w:color w:val="auto"/>
              </w:rPr>
            </w:pPr>
            <w:r>
              <w:rPr>
                <w:rFonts w:ascii="Arial" w:cs="Arial" w:eastAsia="Arial" w:hAnsi="Arial"/>
                <w:sz w:val="13"/>
                <w:szCs w:val="13"/>
                <w:b w:val="1"/>
                <w:bCs w:val="1"/>
                <w:color w:val="2360A6"/>
              </w:rPr>
              <w:t>Onshore/</w:t>
            </w:r>
          </w:p>
        </w:tc>
        <w:tc>
          <w:tcPr>
            <w:tcW w:w="860" w:type="dxa"/>
            <w:vAlign w:val="bottom"/>
            <w:tcBorders>
              <w:right w:val="single" w:sz="8" w:color="2360A6"/>
            </w:tcBorders>
            <w:shd w:val="clear" w:color="auto" w:fill="EDEDEE"/>
          </w:tcPr>
          <w:p>
            <w:pPr>
              <w:spacing w:after="0"/>
              <w:rPr>
                <w:sz w:val="11"/>
                <w:szCs w:val="11"/>
                <w:color w:val="auto"/>
              </w:rPr>
            </w:pPr>
          </w:p>
        </w:tc>
        <w:tc>
          <w:tcPr>
            <w:tcW w:w="1180" w:type="dxa"/>
            <w:vAlign w:val="bottom"/>
            <w:tcBorders>
              <w:right w:val="single" w:sz="8" w:color="2360A6"/>
            </w:tcBorders>
            <w:shd w:val="clear" w:color="auto" w:fill="EDEDEE"/>
          </w:tcPr>
          <w:p>
            <w:pPr>
              <w:jc w:val="right"/>
              <w:ind w:right="57"/>
              <w:spacing w:after="0" w:line="135" w:lineRule="exact"/>
              <w:rPr>
                <w:sz w:val="20"/>
                <w:szCs w:val="20"/>
                <w:color w:val="auto"/>
              </w:rPr>
            </w:pPr>
            <w:r>
              <w:rPr>
                <w:rFonts w:ascii="Arial" w:cs="Arial" w:eastAsia="Arial" w:hAnsi="Arial"/>
                <w:sz w:val="13"/>
                <w:szCs w:val="13"/>
                <w:b w:val="1"/>
                <w:bCs w:val="1"/>
                <w:color w:val="2360A6"/>
              </w:rPr>
              <w:t>and</w:t>
            </w:r>
          </w:p>
        </w:tc>
        <w:tc>
          <w:tcPr>
            <w:tcW w:w="1300" w:type="dxa"/>
            <w:vAlign w:val="bottom"/>
            <w:tcBorders>
              <w:right w:val="single" w:sz="8" w:color="2360A6"/>
            </w:tcBorders>
            <w:gridSpan w:val="2"/>
            <w:shd w:val="clear" w:color="auto" w:fill="EDEDEE"/>
          </w:tcPr>
          <w:p>
            <w:pPr>
              <w:jc w:val="right"/>
              <w:ind w:right="140"/>
              <w:spacing w:after="0" w:line="135" w:lineRule="exact"/>
              <w:rPr>
                <w:sz w:val="20"/>
                <w:szCs w:val="20"/>
                <w:color w:val="auto"/>
              </w:rPr>
            </w:pPr>
            <w:r>
              <w:rPr>
                <w:rFonts w:ascii="Arial" w:cs="Arial" w:eastAsia="Arial" w:hAnsi="Arial"/>
                <w:sz w:val="13"/>
                <w:szCs w:val="13"/>
                <w:b w:val="1"/>
                <w:bCs w:val="1"/>
                <w:color w:val="2360A6"/>
              </w:rPr>
              <w:t>Total Continuing</w:t>
            </w:r>
          </w:p>
        </w:tc>
        <w:tc>
          <w:tcPr>
            <w:tcW w:w="860" w:type="dxa"/>
            <w:vAlign w:val="bottom"/>
            <w:tcBorders>
              <w:right w:val="single" w:sz="8" w:color="2360A6"/>
            </w:tcBorders>
            <w:shd w:val="clear" w:color="auto" w:fill="EDEDEE"/>
          </w:tcPr>
          <w:p>
            <w:pPr>
              <w:jc w:val="right"/>
              <w:ind w:right="57"/>
              <w:spacing w:after="0" w:line="135" w:lineRule="exact"/>
              <w:rPr>
                <w:sz w:val="20"/>
                <w:szCs w:val="20"/>
                <w:color w:val="auto"/>
              </w:rPr>
            </w:pPr>
            <w:r>
              <w:rPr>
                <w:rFonts w:ascii="Arial" w:cs="Arial" w:eastAsia="Arial" w:hAnsi="Arial"/>
                <w:sz w:val="13"/>
                <w:szCs w:val="13"/>
                <w:b w:val="1"/>
                <w:bCs w:val="1"/>
                <w:color w:val="2360A6"/>
              </w:rPr>
              <w:t>Total</w:t>
            </w:r>
          </w:p>
        </w:tc>
        <w:tc>
          <w:tcPr>
            <w:tcW w:w="1080" w:type="dxa"/>
            <w:vAlign w:val="bottom"/>
            <w:tcBorders>
              <w:right w:val="single" w:sz="8" w:color="2360A6"/>
            </w:tcBorders>
            <w:shd w:val="clear" w:color="auto" w:fill="EDEDEE"/>
          </w:tcPr>
          <w:p>
            <w:pPr>
              <w:spacing w:after="0"/>
              <w:rPr>
                <w:sz w:val="11"/>
                <w:szCs w:val="11"/>
                <w:color w:val="auto"/>
              </w:rPr>
            </w:pPr>
          </w:p>
        </w:tc>
        <w:tc>
          <w:tcPr>
            <w:tcW w:w="1140" w:type="dxa"/>
            <w:vAlign w:val="bottom"/>
            <w:shd w:val="clear" w:color="auto" w:fill="EDEDEE"/>
          </w:tcPr>
          <w:p>
            <w:pPr>
              <w:jc w:val="right"/>
              <w:ind w:right="37"/>
              <w:spacing w:after="0" w:line="135" w:lineRule="exact"/>
              <w:rPr>
                <w:sz w:val="20"/>
                <w:szCs w:val="20"/>
                <w:color w:val="auto"/>
              </w:rPr>
            </w:pPr>
            <w:r>
              <w:rPr>
                <w:rFonts w:ascii="Arial" w:cs="Arial" w:eastAsia="Arial" w:hAnsi="Arial"/>
                <w:sz w:val="13"/>
                <w:szCs w:val="13"/>
                <w:b w:val="1"/>
                <w:bCs w:val="1"/>
                <w:color w:val="2360A6"/>
              </w:rPr>
              <w:t>Total</w:t>
            </w:r>
          </w:p>
        </w:tc>
        <w:tc>
          <w:tcPr>
            <w:tcW w:w="20" w:type="dxa"/>
            <w:vAlign w:val="bottom"/>
          </w:tcPr>
          <w:p>
            <w:pPr>
              <w:spacing w:after="0"/>
              <w:rPr>
                <w:sz w:val="11"/>
                <w:szCs w:val="11"/>
                <w:color w:val="auto"/>
              </w:rPr>
            </w:pPr>
          </w:p>
        </w:tc>
      </w:tr>
      <w:tr>
        <w:trPr>
          <w:trHeight w:val="178"/>
        </w:trPr>
        <w:tc>
          <w:tcPr>
            <w:tcW w:w="26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i w:val="1"/>
                <w:iCs w:val="1"/>
                <w:color w:val="231F20"/>
              </w:rPr>
              <w:t>In millions of Euro</w:t>
            </w:r>
          </w:p>
        </w:tc>
        <w:tc>
          <w:tcPr>
            <w:tcW w:w="7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rPr>
              <w:t>Subsea</w:t>
            </w:r>
          </w:p>
        </w:tc>
        <w:tc>
          <w:tcPr>
            <w:tcW w:w="98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rPr>
              <w:t>Offshore</w:t>
            </w:r>
          </w:p>
        </w:tc>
        <w:tc>
          <w:tcPr>
            <w:tcW w:w="8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rPr>
              <w:t>Corporate</w:t>
            </w:r>
          </w:p>
        </w:tc>
        <w:tc>
          <w:tcPr>
            <w:tcW w:w="11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Eliminations</w:t>
            </w:r>
          </w:p>
        </w:tc>
        <w:tc>
          <w:tcPr>
            <w:tcW w:w="1300" w:type="dxa"/>
            <w:vAlign w:val="bottom"/>
            <w:tcBorders>
              <w:bottom w:val="single" w:sz="8" w:color="2360A6"/>
              <w:right w:val="single" w:sz="8" w:color="2360A6"/>
            </w:tcBorders>
            <w:gridSpan w:val="2"/>
            <w:shd w:val="clear" w:color="auto" w:fill="EDEDEE"/>
          </w:tcPr>
          <w:p>
            <w:pPr>
              <w:jc w:val="right"/>
              <w:ind w:right="140"/>
              <w:spacing w:after="0"/>
              <w:rPr>
                <w:sz w:val="20"/>
                <w:szCs w:val="20"/>
                <w:color w:val="auto"/>
              </w:rPr>
            </w:pPr>
            <w:r>
              <w:rPr>
                <w:rFonts w:ascii="Arial" w:cs="Arial" w:eastAsia="Arial" w:hAnsi="Arial"/>
                <w:sz w:val="13"/>
                <w:szCs w:val="13"/>
                <w:b w:val="1"/>
                <w:bCs w:val="1"/>
                <w:color w:val="2360A6"/>
              </w:rPr>
              <w:t>Operations</w:t>
            </w:r>
          </w:p>
        </w:tc>
        <w:tc>
          <w:tcPr>
            <w:tcW w:w="86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Adjusted</w:t>
            </w:r>
          </w:p>
        </w:tc>
        <w:tc>
          <w:tcPr>
            <w:tcW w:w="10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Adjustments</w:t>
            </w:r>
          </w:p>
        </w:tc>
        <w:tc>
          <w:tcPr>
            <w:tcW w:w="1140" w:type="dxa"/>
            <w:vAlign w:val="bottom"/>
            <w:tcBorders>
              <w:bottom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b w:val="1"/>
                <w:bCs w:val="1"/>
                <w:color w:val="2360A6"/>
              </w:rPr>
              <w:t>Consolidated</w:t>
            </w:r>
          </w:p>
        </w:tc>
        <w:tc>
          <w:tcPr>
            <w:tcW w:w="20" w:type="dxa"/>
            <w:vAlign w:val="bottom"/>
            <w:tcBorders>
              <w:bottom w:val="single" w:sz="8" w:color="2360A6"/>
            </w:tcBorders>
          </w:tcPr>
          <w:p>
            <w:pPr>
              <w:spacing w:after="0"/>
              <w:rPr>
                <w:sz w:val="15"/>
                <w:szCs w:val="15"/>
                <w:color w:val="auto"/>
              </w:rPr>
            </w:pPr>
          </w:p>
        </w:tc>
      </w:tr>
      <w:tr>
        <w:trPr>
          <w:trHeight w:val="210"/>
        </w:trPr>
        <w:tc>
          <w:tcPr>
            <w:tcW w:w="26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Revenues</w:t>
            </w:r>
          </w:p>
        </w:tc>
        <w:tc>
          <w:tcPr>
            <w:tcW w:w="7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5,288.9</w:t>
            </w:r>
          </w:p>
        </w:tc>
        <w:tc>
          <w:tcPr>
            <w:tcW w:w="98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5,761.7</w:t>
            </w:r>
          </w:p>
        </w:tc>
        <w:tc>
          <w:tcPr>
            <w:tcW w:w="8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11,050.6</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86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11,050.6</w:t>
            </w:r>
          </w:p>
        </w:tc>
        <w:tc>
          <w:tcPr>
            <w:tcW w:w="1080" w:type="dxa"/>
            <w:vAlign w:val="bottom"/>
            <w:tcBorders>
              <w:bottom w:val="single" w:sz="8" w:color="2360A6"/>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(2,737.2)</w:t>
            </w:r>
          </w:p>
        </w:tc>
        <w:tc>
          <w:tcPr>
            <w:tcW w:w="1140" w:type="dxa"/>
            <w:vAlign w:val="bottom"/>
            <w:tcBorders>
              <w:bottom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color w:val="231F20"/>
              </w:rPr>
              <w:t>8,313.4</w:t>
            </w:r>
          </w:p>
        </w:tc>
        <w:tc>
          <w:tcPr>
            <w:tcW w:w="20" w:type="dxa"/>
            <w:vAlign w:val="bottom"/>
            <w:tcBorders>
              <w:bottom w:val="single" w:sz="8" w:color="2360A6"/>
            </w:tcBorders>
          </w:tcPr>
          <w:p>
            <w:pPr>
              <w:spacing w:after="0"/>
              <w:rPr>
                <w:sz w:val="18"/>
                <w:szCs w:val="18"/>
                <w:color w:val="auto"/>
              </w:rPr>
            </w:pPr>
          </w:p>
        </w:tc>
      </w:tr>
      <w:tr>
        <w:trPr>
          <w:trHeight w:val="210"/>
        </w:trPr>
        <w:tc>
          <w:tcPr>
            <w:tcW w:w="26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Gross Margin</w:t>
            </w:r>
          </w:p>
        </w:tc>
        <w:tc>
          <w:tcPr>
            <w:tcW w:w="7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979.8</w:t>
            </w:r>
          </w:p>
        </w:tc>
        <w:tc>
          <w:tcPr>
            <w:tcW w:w="98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558.0</w:t>
            </w:r>
          </w:p>
        </w:tc>
        <w:tc>
          <w:tcPr>
            <w:tcW w:w="8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1,537.8</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86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1,537.8</w:t>
            </w:r>
          </w:p>
        </w:tc>
        <w:tc>
          <w:tcPr>
            <w:tcW w:w="1080" w:type="dxa"/>
            <w:vAlign w:val="bottom"/>
            <w:tcBorders>
              <w:bottom w:val="single" w:sz="8" w:color="2360A6"/>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(119.6)</w:t>
            </w:r>
          </w:p>
        </w:tc>
        <w:tc>
          <w:tcPr>
            <w:tcW w:w="1140" w:type="dxa"/>
            <w:vAlign w:val="bottom"/>
            <w:tcBorders>
              <w:bottom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color w:val="231F20"/>
              </w:rPr>
              <w:t>1,418.2</w:t>
            </w:r>
          </w:p>
        </w:tc>
        <w:tc>
          <w:tcPr>
            <w:tcW w:w="20" w:type="dxa"/>
            <w:vAlign w:val="bottom"/>
            <w:tcBorders>
              <w:bottom w:val="single" w:sz="8" w:color="2360A6"/>
            </w:tcBorders>
          </w:tcPr>
          <w:p>
            <w:pPr>
              <w:spacing w:after="0"/>
              <w:rPr>
                <w:sz w:val="18"/>
                <w:szCs w:val="18"/>
                <w:color w:val="auto"/>
              </w:rPr>
            </w:pPr>
          </w:p>
        </w:tc>
      </w:tr>
      <w:tr>
        <w:trPr>
          <w:trHeight w:val="140"/>
        </w:trPr>
        <w:tc>
          <w:tcPr>
            <w:tcW w:w="2600" w:type="dxa"/>
            <w:vAlign w:val="bottom"/>
            <w:tcBorders>
              <w:right w:val="single" w:sz="8" w:color="2360A6"/>
            </w:tcBorders>
          </w:tcPr>
          <w:p>
            <w:pPr>
              <w:ind w:left="20"/>
              <w:spacing w:after="0" w:line="140" w:lineRule="exact"/>
              <w:rPr>
                <w:sz w:val="20"/>
                <w:szCs w:val="20"/>
                <w:color w:val="auto"/>
              </w:rPr>
            </w:pPr>
            <w:r>
              <w:rPr>
                <w:rFonts w:ascii="Arial" w:cs="Arial" w:eastAsia="Arial" w:hAnsi="Arial"/>
                <w:sz w:val="13"/>
                <w:szCs w:val="13"/>
                <w:b w:val="1"/>
                <w:bCs w:val="1"/>
                <w:color w:val="2360A6"/>
              </w:rPr>
              <w:t>Operating Income/(Loss) from Recurring</w:t>
            </w:r>
          </w:p>
        </w:tc>
        <w:tc>
          <w:tcPr>
            <w:tcW w:w="760" w:type="dxa"/>
            <w:vAlign w:val="bottom"/>
            <w:tcBorders>
              <w:right w:val="single" w:sz="8" w:color="2360A6"/>
            </w:tcBorders>
            <w:shd w:val="clear" w:color="auto" w:fill="EDEDEE"/>
          </w:tcPr>
          <w:p>
            <w:pPr>
              <w:spacing w:after="0"/>
              <w:rPr>
                <w:sz w:val="12"/>
                <w:szCs w:val="12"/>
                <w:color w:val="auto"/>
              </w:rPr>
            </w:pPr>
          </w:p>
        </w:tc>
        <w:tc>
          <w:tcPr>
            <w:tcW w:w="980" w:type="dxa"/>
            <w:vAlign w:val="bottom"/>
            <w:tcBorders>
              <w:right w:val="single" w:sz="8" w:color="2360A6"/>
            </w:tcBorders>
            <w:shd w:val="clear" w:color="auto" w:fill="EDEDEE"/>
          </w:tcPr>
          <w:p>
            <w:pPr>
              <w:spacing w:after="0"/>
              <w:rPr>
                <w:sz w:val="12"/>
                <w:szCs w:val="12"/>
                <w:color w:val="auto"/>
              </w:rPr>
            </w:pPr>
          </w:p>
        </w:tc>
        <w:tc>
          <w:tcPr>
            <w:tcW w:w="860" w:type="dxa"/>
            <w:vAlign w:val="bottom"/>
            <w:tcBorders>
              <w:right w:val="single" w:sz="8" w:color="2360A6"/>
            </w:tcBorders>
            <w:shd w:val="clear" w:color="auto" w:fill="EDEDEE"/>
          </w:tcPr>
          <w:p>
            <w:pPr>
              <w:spacing w:after="0"/>
              <w:rPr>
                <w:sz w:val="12"/>
                <w:szCs w:val="12"/>
                <w:color w:val="auto"/>
              </w:rPr>
            </w:pPr>
          </w:p>
        </w:tc>
        <w:tc>
          <w:tcPr>
            <w:tcW w:w="1180" w:type="dxa"/>
            <w:vAlign w:val="bottom"/>
            <w:tcBorders>
              <w:right w:val="single" w:sz="8" w:color="2360A6"/>
            </w:tcBorders>
            <w:shd w:val="clear" w:color="auto" w:fill="EDEDEE"/>
          </w:tcPr>
          <w:p>
            <w:pPr>
              <w:spacing w:after="0"/>
              <w:rPr>
                <w:sz w:val="12"/>
                <w:szCs w:val="12"/>
                <w:color w:val="auto"/>
              </w:rPr>
            </w:pPr>
          </w:p>
        </w:tc>
        <w:tc>
          <w:tcPr>
            <w:tcW w:w="1180" w:type="dxa"/>
            <w:vAlign w:val="bottom"/>
            <w:shd w:val="clear" w:color="auto" w:fill="EDEDEE"/>
          </w:tcPr>
          <w:p>
            <w:pPr>
              <w:spacing w:after="0"/>
              <w:rPr>
                <w:sz w:val="12"/>
                <w:szCs w:val="12"/>
                <w:color w:val="auto"/>
              </w:rPr>
            </w:pPr>
          </w:p>
        </w:tc>
        <w:tc>
          <w:tcPr>
            <w:tcW w:w="120" w:type="dxa"/>
            <w:vAlign w:val="bottom"/>
            <w:tcBorders>
              <w:right w:val="single" w:sz="8" w:color="2360A6"/>
            </w:tcBorders>
            <w:shd w:val="clear" w:color="auto" w:fill="EDEDEE"/>
          </w:tcPr>
          <w:p>
            <w:pPr>
              <w:spacing w:after="0"/>
              <w:rPr>
                <w:sz w:val="12"/>
                <w:szCs w:val="12"/>
                <w:color w:val="auto"/>
              </w:rPr>
            </w:pPr>
          </w:p>
        </w:tc>
        <w:tc>
          <w:tcPr>
            <w:tcW w:w="860" w:type="dxa"/>
            <w:vAlign w:val="bottom"/>
            <w:tcBorders>
              <w:right w:val="single" w:sz="8" w:color="2360A6"/>
            </w:tcBorders>
            <w:shd w:val="clear" w:color="auto" w:fill="EDEDEE"/>
          </w:tcPr>
          <w:p>
            <w:pPr>
              <w:spacing w:after="0"/>
              <w:rPr>
                <w:sz w:val="12"/>
                <w:szCs w:val="12"/>
                <w:color w:val="auto"/>
              </w:rPr>
            </w:pPr>
          </w:p>
        </w:tc>
        <w:tc>
          <w:tcPr>
            <w:tcW w:w="1080" w:type="dxa"/>
            <w:vAlign w:val="bottom"/>
            <w:tcBorders>
              <w:right w:val="single" w:sz="8" w:color="2360A6"/>
            </w:tcBorders>
            <w:shd w:val="clear" w:color="auto" w:fill="EDEDEE"/>
          </w:tcPr>
          <w:p>
            <w:pPr>
              <w:spacing w:after="0"/>
              <w:rPr>
                <w:sz w:val="12"/>
                <w:szCs w:val="12"/>
                <w:color w:val="auto"/>
              </w:rPr>
            </w:pPr>
          </w:p>
        </w:tc>
        <w:tc>
          <w:tcPr>
            <w:tcW w:w="1140" w:type="dxa"/>
            <w:vAlign w:val="bottom"/>
            <w:shd w:val="clear" w:color="auto" w:fill="EDEDEE"/>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6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b w:val="1"/>
                <w:bCs w:val="1"/>
                <w:color w:val="2360A6"/>
              </w:rPr>
              <w:t>Activities</w:t>
            </w:r>
          </w:p>
        </w:tc>
        <w:tc>
          <w:tcPr>
            <w:tcW w:w="7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rPr>
              <w:t>704.3</w:t>
            </w:r>
          </w:p>
        </w:tc>
        <w:tc>
          <w:tcPr>
            <w:tcW w:w="98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rPr>
              <w:t>274.5</w:t>
            </w:r>
          </w:p>
        </w:tc>
        <w:tc>
          <w:tcPr>
            <w:tcW w:w="860" w:type="dxa"/>
            <w:vAlign w:val="bottom"/>
            <w:tcBorders>
              <w:bottom w:val="single" w:sz="8" w:color="2360A6"/>
              <w:right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b w:val="1"/>
                <w:bCs w:val="1"/>
                <w:color w:val="2360A6"/>
              </w:rPr>
              <w:t>(68.6)</w:t>
            </w:r>
          </w:p>
        </w:tc>
        <w:tc>
          <w:tcPr>
            <w:tcW w:w="11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w:t>
            </w:r>
          </w:p>
        </w:tc>
        <w:tc>
          <w:tcPr>
            <w:tcW w:w="11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910.2</w:t>
            </w:r>
          </w:p>
        </w:tc>
        <w:tc>
          <w:tcPr>
            <w:tcW w:w="120" w:type="dxa"/>
            <w:vAlign w:val="bottom"/>
            <w:tcBorders>
              <w:bottom w:val="single" w:sz="8" w:color="2360A6"/>
              <w:right w:val="single" w:sz="8" w:color="2360A6"/>
            </w:tcBorders>
            <w:shd w:val="clear" w:color="auto" w:fill="EDEDEE"/>
          </w:tcPr>
          <w:p>
            <w:pPr>
              <w:spacing w:after="0"/>
              <w:rPr>
                <w:sz w:val="15"/>
                <w:szCs w:val="15"/>
                <w:color w:val="auto"/>
              </w:rPr>
            </w:pPr>
          </w:p>
        </w:tc>
        <w:tc>
          <w:tcPr>
            <w:tcW w:w="86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910.2</w:t>
            </w:r>
          </w:p>
        </w:tc>
        <w:tc>
          <w:tcPr>
            <w:tcW w:w="1080" w:type="dxa"/>
            <w:vAlign w:val="bottom"/>
            <w:tcBorders>
              <w:bottom w:val="single" w:sz="8" w:color="2360A6"/>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b w:val="1"/>
                <w:bCs w:val="1"/>
                <w:color w:val="2360A6"/>
              </w:rPr>
              <w:t>(119.5)</w:t>
            </w:r>
          </w:p>
        </w:tc>
        <w:tc>
          <w:tcPr>
            <w:tcW w:w="1140" w:type="dxa"/>
            <w:vAlign w:val="bottom"/>
            <w:tcBorders>
              <w:bottom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b w:val="1"/>
                <w:bCs w:val="1"/>
                <w:color w:val="2360A6"/>
              </w:rPr>
              <w:t>790.7</w:t>
            </w:r>
          </w:p>
        </w:tc>
        <w:tc>
          <w:tcPr>
            <w:tcW w:w="20" w:type="dxa"/>
            <w:vAlign w:val="bottom"/>
            <w:tcBorders>
              <w:bottom w:val="single" w:sz="8" w:color="2360A6"/>
            </w:tcBorders>
          </w:tcPr>
          <w:p>
            <w:pPr>
              <w:spacing w:after="0"/>
              <w:rPr>
                <w:sz w:val="15"/>
                <w:szCs w:val="15"/>
                <w:color w:val="auto"/>
              </w:rPr>
            </w:pPr>
          </w:p>
        </w:tc>
      </w:tr>
      <w:tr>
        <w:trPr>
          <w:trHeight w:val="210"/>
        </w:trPr>
        <w:tc>
          <w:tcPr>
            <w:tcW w:w="26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Share of Income/(Loss) of Equity Affiliates</w:t>
            </w:r>
          </w:p>
        </w:tc>
        <w:tc>
          <w:tcPr>
            <w:tcW w:w="7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19.9</w:t>
            </w:r>
          </w:p>
        </w:tc>
        <w:tc>
          <w:tcPr>
            <w:tcW w:w="98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4.1</w:t>
            </w:r>
          </w:p>
        </w:tc>
        <w:tc>
          <w:tcPr>
            <w:tcW w:w="8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24.0</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86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24.0</w:t>
            </w:r>
          </w:p>
        </w:tc>
        <w:tc>
          <w:tcPr>
            <w:tcW w:w="10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78.1</w:t>
            </w:r>
          </w:p>
        </w:tc>
        <w:tc>
          <w:tcPr>
            <w:tcW w:w="1140" w:type="dxa"/>
            <w:vAlign w:val="bottom"/>
            <w:tcBorders>
              <w:bottom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color w:val="231F20"/>
              </w:rPr>
              <w:t>102.1</w:t>
            </w:r>
          </w:p>
        </w:tc>
        <w:tc>
          <w:tcPr>
            <w:tcW w:w="20" w:type="dxa"/>
            <w:vAlign w:val="bottom"/>
            <w:tcBorders>
              <w:bottom w:val="single" w:sz="8" w:color="2360A6"/>
            </w:tcBorders>
          </w:tcPr>
          <w:p>
            <w:pPr>
              <w:spacing w:after="0"/>
              <w:rPr>
                <w:sz w:val="18"/>
                <w:szCs w:val="18"/>
                <w:color w:val="auto"/>
              </w:rPr>
            </w:pPr>
          </w:p>
        </w:tc>
      </w:tr>
      <w:tr>
        <w:trPr>
          <w:trHeight w:val="140"/>
        </w:trPr>
        <w:tc>
          <w:tcPr>
            <w:tcW w:w="2600" w:type="dxa"/>
            <w:vAlign w:val="bottom"/>
            <w:tcBorders>
              <w:right w:val="single" w:sz="8" w:color="2360A6"/>
            </w:tcBorders>
          </w:tcPr>
          <w:p>
            <w:pPr>
              <w:ind w:left="20"/>
              <w:spacing w:after="0" w:line="140" w:lineRule="exact"/>
              <w:rPr>
                <w:sz w:val="20"/>
                <w:szCs w:val="20"/>
                <w:color w:val="auto"/>
              </w:rPr>
            </w:pPr>
            <w:r>
              <w:rPr>
                <w:rFonts w:ascii="Arial" w:cs="Arial" w:eastAsia="Arial" w:hAnsi="Arial"/>
                <w:sz w:val="13"/>
                <w:szCs w:val="13"/>
                <w:b w:val="1"/>
                <w:bCs w:val="1"/>
                <w:color w:val="2360A6"/>
              </w:rPr>
              <w:t>Operating Income/(Loss) from Recurring</w:t>
            </w:r>
          </w:p>
        </w:tc>
        <w:tc>
          <w:tcPr>
            <w:tcW w:w="760" w:type="dxa"/>
            <w:vAlign w:val="bottom"/>
            <w:tcBorders>
              <w:right w:val="single" w:sz="8" w:color="2360A6"/>
            </w:tcBorders>
            <w:shd w:val="clear" w:color="auto" w:fill="EDEDEE"/>
          </w:tcPr>
          <w:p>
            <w:pPr>
              <w:spacing w:after="0"/>
              <w:rPr>
                <w:sz w:val="12"/>
                <w:szCs w:val="12"/>
                <w:color w:val="auto"/>
              </w:rPr>
            </w:pPr>
          </w:p>
        </w:tc>
        <w:tc>
          <w:tcPr>
            <w:tcW w:w="980" w:type="dxa"/>
            <w:vAlign w:val="bottom"/>
            <w:tcBorders>
              <w:right w:val="single" w:sz="8" w:color="2360A6"/>
            </w:tcBorders>
            <w:shd w:val="clear" w:color="auto" w:fill="EDEDEE"/>
          </w:tcPr>
          <w:p>
            <w:pPr>
              <w:spacing w:after="0"/>
              <w:rPr>
                <w:sz w:val="12"/>
                <w:szCs w:val="12"/>
                <w:color w:val="auto"/>
              </w:rPr>
            </w:pPr>
          </w:p>
        </w:tc>
        <w:tc>
          <w:tcPr>
            <w:tcW w:w="860" w:type="dxa"/>
            <w:vAlign w:val="bottom"/>
            <w:tcBorders>
              <w:right w:val="single" w:sz="8" w:color="2360A6"/>
            </w:tcBorders>
            <w:shd w:val="clear" w:color="auto" w:fill="EDEDEE"/>
          </w:tcPr>
          <w:p>
            <w:pPr>
              <w:spacing w:after="0"/>
              <w:rPr>
                <w:sz w:val="12"/>
                <w:szCs w:val="12"/>
                <w:color w:val="auto"/>
              </w:rPr>
            </w:pPr>
          </w:p>
        </w:tc>
        <w:tc>
          <w:tcPr>
            <w:tcW w:w="1180" w:type="dxa"/>
            <w:vAlign w:val="bottom"/>
            <w:tcBorders>
              <w:right w:val="single" w:sz="8" w:color="2360A6"/>
            </w:tcBorders>
            <w:shd w:val="clear" w:color="auto" w:fill="EDEDEE"/>
          </w:tcPr>
          <w:p>
            <w:pPr>
              <w:spacing w:after="0"/>
              <w:rPr>
                <w:sz w:val="12"/>
                <w:szCs w:val="12"/>
                <w:color w:val="auto"/>
              </w:rPr>
            </w:pPr>
          </w:p>
        </w:tc>
        <w:tc>
          <w:tcPr>
            <w:tcW w:w="1180" w:type="dxa"/>
            <w:vAlign w:val="bottom"/>
            <w:shd w:val="clear" w:color="auto" w:fill="EDEDEE"/>
          </w:tcPr>
          <w:p>
            <w:pPr>
              <w:spacing w:after="0"/>
              <w:rPr>
                <w:sz w:val="12"/>
                <w:szCs w:val="12"/>
                <w:color w:val="auto"/>
              </w:rPr>
            </w:pPr>
          </w:p>
        </w:tc>
        <w:tc>
          <w:tcPr>
            <w:tcW w:w="120" w:type="dxa"/>
            <w:vAlign w:val="bottom"/>
            <w:tcBorders>
              <w:right w:val="single" w:sz="8" w:color="2360A6"/>
            </w:tcBorders>
            <w:shd w:val="clear" w:color="auto" w:fill="EDEDEE"/>
          </w:tcPr>
          <w:p>
            <w:pPr>
              <w:spacing w:after="0"/>
              <w:rPr>
                <w:sz w:val="12"/>
                <w:szCs w:val="12"/>
                <w:color w:val="auto"/>
              </w:rPr>
            </w:pPr>
          </w:p>
        </w:tc>
        <w:tc>
          <w:tcPr>
            <w:tcW w:w="860" w:type="dxa"/>
            <w:vAlign w:val="bottom"/>
            <w:tcBorders>
              <w:right w:val="single" w:sz="8" w:color="2360A6"/>
            </w:tcBorders>
            <w:shd w:val="clear" w:color="auto" w:fill="EDEDEE"/>
          </w:tcPr>
          <w:p>
            <w:pPr>
              <w:spacing w:after="0"/>
              <w:rPr>
                <w:sz w:val="12"/>
                <w:szCs w:val="12"/>
                <w:color w:val="auto"/>
              </w:rPr>
            </w:pPr>
          </w:p>
        </w:tc>
        <w:tc>
          <w:tcPr>
            <w:tcW w:w="1080" w:type="dxa"/>
            <w:vAlign w:val="bottom"/>
            <w:tcBorders>
              <w:right w:val="single" w:sz="8" w:color="2360A6"/>
            </w:tcBorders>
            <w:shd w:val="clear" w:color="auto" w:fill="EDEDEE"/>
          </w:tcPr>
          <w:p>
            <w:pPr>
              <w:spacing w:after="0"/>
              <w:rPr>
                <w:sz w:val="12"/>
                <w:szCs w:val="12"/>
                <w:color w:val="auto"/>
              </w:rPr>
            </w:pPr>
          </w:p>
        </w:tc>
        <w:tc>
          <w:tcPr>
            <w:tcW w:w="1140" w:type="dxa"/>
            <w:vAlign w:val="bottom"/>
            <w:shd w:val="clear" w:color="auto" w:fill="EDEDEE"/>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2600" w:type="dxa"/>
            <w:vAlign w:val="bottom"/>
            <w:tcBorders>
              <w:right w:val="single" w:sz="8" w:color="2360A6"/>
            </w:tcBorders>
          </w:tcPr>
          <w:p>
            <w:pPr>
              <w:ind w:left="20"/>
              <w:spacing w:after="0" w:line="135" w:lineRule="exact"/>
              <w:rPr>
                <w:sz w:val="20"/>
                <w:szCs w:val="20"/>
                <w:color w:val="auto"/>
              </w:rPr>
            </w:pPr>
            <w:r>
              <w:rPr>
                <w:rFonts w:ascii="Arial" w:cs="Arial" w:eastAsia="Arial" w:hAnsi="Arial"/>
                <w:sz w:val="13"/>
                <w:szCs w:val="13"/>
                <w:b w:val="1"/>
                <w:bCs w:val="1"/>
                <w:color w:val="2360A6"/>
              </w:rPr>
              <w:t>Activities after Income/(Loss) of Equity</w:t>
            </w:r>
          </w:p>
        </w:tc>
        <w:tc>
          <w:tcPr>
            <w:tcW w:w="760" w:type="dxa"/>
            <w:vAlign w:val="bottom"/>
            <w:tcBorders>
              <w:right w:val="single" w:sz="8" w:color="2360A6"/>
            </w:tcBorders>
            <w:shd w:val="clear" w:color="auto" w:fill="EDEDEE"/>
          </w:tcPr>
          <w:p>
            <w:pPr>
              <w:spacing w:after="0"/>
              <w:rPr>
                <w:sz w:val="11"/>
                <w:szCs w:val="11"/>
                <w:color w:val="auto"/>
              </w:rPr>
            </w:pPr>
          </w:p>
        </w:tc>
        <w:tc>
          <w:tcPr>
            <w:tcW w:w="980" w:type="dxa"/>
            <w:vAlign w:val="bottom"/>
            <w:tcBorders>
              <w:right w:val="single" w:sz="8" w:color="2360A6"/>
            </w:tcBorders>
            <w:shd w:val="clear" w:color="auto" w:fill="EDEDEE"/>
          </w:tcPr>
          <w:p>
            <w:pPr>
              <w:spacing w:after="0"/>
              <w:rPr>
                <w:sz w:val="11"/>
                <w:szCs w:val="11"/>
                <w:color w:val="auto"/>
              </w:rPr>
            </w:pPr>
          </w:p>
        </w:tc>
        <w:tc>
          <w:tcPr>
            <w:tcW w:w="860" w:type="dxa"/>
            <w:vAlign w:val="bottom"/>
            <w:tcBorders>
              <w:right w:val="single" w:sz="8" w:color="2360A6"/>
            </w:tcBorders>
            <w:shd w:val="clear" w:color="auto" w:fill="EDEDEE"/>
          </w:tcPr>
          <w:p>
            <w:pPr>
              <w:spacing w:after="0"/>
              <w:rPr>
                <w:sz w:val="11"/>
                <w:szCs w:val="11"/>
                <w:color w:val="auto"/>
              </w:rPr>
            </w:pPr>
          </w:p>
        </w:tc>
        <w:tc>
          <w:tcPr>
            <w:tcW w:w="1180" w:type="dxa"/>
            <w:vAlign w:val="bottom"/>
            <w:tcBorders>
              <w:right w:val="single" w:sz="8" w:color="2360A6"/>
            </w:tcBorders>
            <w:shd w:val="clear" w:color="auto" w:fill="EDEDEE"/>
          </w:tcPr>
          <w:p>
            <w:pPr>
              <w:spacing w:after="0"/>
              <w:rPr>
                <w:sz w:val="11"/>
                <w:szCs w:val="11"/>
                <w:color w:val="auto"/>
              </w:rPr>
            </w:pPr>
          </w:p>
        </w:tc>
        <w:tc>
          <w:tcPr>
            <w:tcW w:w="1180" w:type="dxa"/>
            <w:vAlign w:val="bottom"/>
            <w:shd w:val="clear" w:color="auto" w:fill="EDEDEE"/>
          </w:tcPr>
          <w:p>
            <w:pPr>
              <w:spacing w:after="0"/>
              <w:rPr>
                <w:sz w:val="11"/>
                <w:szCs w:val="11"/>
                <w:color w:val="auto"/>
              </w:rPr>
            </w:pPr>
          </w:p>
        </w:tc>
        <w:tc>
          <w:tcPr>
            <w:tcW w:w="120" w:type="dxa"/>
            <w:vAlign w:val="bottom"/>
            <w:tcBorders>
              <w:right w:val="single" w:sz="8" w:color="2360A6"/>
            </w:tcBorders>
            <w:shd w:val="clear" w:color="auto" w:fill="EDEDEE"/>
          </w:tcPr>
          <w:p>
            <w:pPr>
              <w:spacing w:after="0"/>
              <w:rPr>
                <w:sz w:val="11"/>
                <w:szCs w:val="11"/>
                <w:color w:val="auto"/>
              </w:rPr>
            </w:pPr>
          </w:p>
        </w:tc>
        <w:tc>
          <w:tcPr>
            <w:tcW w:w="860" w:type="dxa"/>
            <w:vAlign w:val="bottom"/>
            <w:tcBorders>
              <w:right w:val="single" w:sz="8" w:color="2360A6"/>
            </w:tcBorders>
            <w:shd w:val="clear" w:color="auto" w:fill="EDEDEE"/>
          </w:tcPr>
          <w:p>
            <w:pPr>
              <w:spacing w:after="0"/>
              <w:rPr>
                <w:sz w:val="11"/>
                <w:szCs w:val="11"/>
                <w:color w:val="auto"/>
              </w:rPr>
            </w:pPr>
          </w:p>
        </w:tc>
        <w:tc>
          <w:tcPr>
            <w:tcW w:w="1080" w:type="dxa"/>
            <w:vAlign w:val="bottom"/>
            <w:tcBorders>
              <w:right w:val="single" w:sz="8" w:color="2360A6"/>
            </w:tcBorders>
            <w:shd w:val="clear" w:color="auto" w:fill="EDEDEE"/>
          </w:tcPr>
          <w:p>
            <w:pPr>
              <w:spacing w:after="0"/>
              <w:rPr>
                <w:sz w:val="11"/>
                <w:szCs w:val="11"/>
                <w:color w:val="auto"/>
              </w:rPr>
            </w:pPr>
          </w:p>
        </w:tc>
        <w:tc>
          <w:tcPr>
            <w:tcW w:w="1140" w:type="dxa"/>
            <w:vAlign w:val="bottom"/>
            <w:shd w:val="clear" w:color="auto" w:fill="EDEDEE"/>
          </w:tcPr>
          <w:p>
            <w:pPr>
              <w:spacing w:after="0"/>
              <w:rPr>
                <w:sz w:val="11"/>
                <w:szCs w:val="11"/>
                <w:color w:val="auto"/>
              </w:rPr>
            </w:pPr>
          </w:p>
        </w:tc>
        <w:tc>
          <w:tcPr>
            <w:tcW w:w="20" w:type="dxa"/>
            <w:vAlign w:val="bottom"/>
          </w:tcPr>
          <w:p>
            <w:pPr>
              <w:spacing w:after="0"/>
              <w:rPr>
                <w:sz w:val="11"/>
                <w:szCs w:val="11"/>
                <w:color w:val="auto"/>
              </w:rPr>
            </w:pPr>
          </w:p>
        </w:tc>
      </w:tr>
      <w:tr>
        <w:trPr>
          <w:trHeight w:val="178"/>
        </w:trPr>
        <w:tc>
          <w:tcPr>
            <w:tcW w:w="26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b w:val="1"/>
                <w:bCs w:val="1"/>
                <w:color w:val="2360A6"/>
              </w:rPr>
              <w:t>Affiliates</w:t>
            </w:r>
          </w:p>
        </w:tc>
        <w:tc>
          <w:tcPr>
            <w:tcW w:w="7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rPr>
              <w:t>724.2</w:t>
            </w:r>
          </w:p>
        </w:tc>
        <w:tc>
          <w:tcPr>
            <w:tcW w:w="98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rPr>
              <w:t>278.6</w:t>
            </w:r>
          </w:p>
        </w:tc>
        <w:tc>
          <w:tcPr>
            <w:tcW w:w="86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(68.6)</w:t>
            </w:r>
          </w:p>
        </w:tc>
        <w:tc>
          <w:tcPr>
            <w:tcW w:w="11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w:t>
            </w:r>
          </w:p>
        </w:tc>
        <w:tc>
          <w:tcPr>
            <w:tcW w:w="11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934.2</w:t>
            </w:r>
          </w:p>
        </w:tc>
        <w:tc>
          <w:tcPr>
            <w:tcW w:w="120" w:type="dxa"/>
            <w:vAlign w:val="bottom"/>
            <w:tcBorders>
              <w:bottom w:val="single" w:sz="8" w:color="2360A6"/>
              <w:right w:val="single" w:sz="8" w:color="2360A6"/>
            </w:tcBorders>
            <w:shd w:val="clear" w:color="auto" w:fill="EDEDEE"/>
          </w:tcPr>
          <w:p>
            <w:pPr>
              <w:spacing w:after="0"/>
              <w:rPr>
                <w:sz w:val="15"/>
                <w:szCs w:val="15"/>
                <w:color w:val="auto"/>
              </w:rPr>
            </w:pPr>
          </w:p>
        </w:tc>
        <w:tc>
          <w:tcPr>
            <w:tcW w:w="86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934.2</w:t>
            </w:r>
          </w:p>
        </w:tc>
        <w:tc>
          <w:tcPr>
            <w:tcW w:w="1080" w:type="dxa"/>
            <w:vAlign w:val="bottom"/>
            <w:tcBorders>
              <w:bottom w:val="single" w:sz="8" w:color="2360A6"/>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b w:val="1"/>
                <w:bCs w:val="1"/>
                <w:color w:val="2360A6"/>
              </w:rPr>
              <w:t>(41.4)</w:t>
            </w:r>
          </w:p>
        </w:tc>
        <w:tc>
          <w:tcPr>
            <w:tcW w:w="1140" w:type="dxa"/>
            <w:vAlign w:val="bottom"/>
            <w:tcBorders>
              <w:bottom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b w:val="1"/>
                <w:bCs w:val="1"/>
                <w:color w:val="2360A6"/>
              </w:rPr>
              <w:t>892.8</w:t>
            </w:r>
          </w:p>
        </w:tc>
        <w:tc>
          <w:tcPr>
            <w:tcW w:w="20" w:type="dxa"/>
            <w:vAlign w:val="bottom"/>
            <w:tcBorders>
              <w:bottom w:val="single" w:sz="8" w:color="2360A6"/>
            </w:tcBorders>
          </w:tcPr>
          <w:p>
            <w:pPr>
              <w:spacing w:after="0"/>
              <w:rPr>
                <w:sz w:val="15"/>
                <w:szCs w:val="15"/>
                <w:color w:val="auto"/>
              </w:rPr>
            </w:pPr>
          </w:p>
        </w:tc>
      </w:tr>
      <w:tr>
        <w:trPr>
          <w:trHeight w:val="156"/>
        </w:trPr>
        <w:tc>
          <w:tcPr>
            <w:tcW w:w="2600" w:type="dxa"/>
            <w:vAlign w:val="bottom"/>
            <w:tcBorders>
              <w:right w:val="single" w:sz="8" w:color="2360A6"/>
            </w:tcBorders>
          </w:tcPr>
          <w:p>
            <w:pPr>
              <w:ind w:left="20"/>
              <w:spacing w:after="0"/>
              <w:rPr>
                <w:sz w:val="20"/>
                <w:szCs w:val="20"/>
                <w:color w:val="auto"/>
              </w:rPr>
            </w:pPr>
            <w:r>
              <w:rPr>
                <w:rFonts w:ascii="Arial" w:cs="Arial" w:eastAsia="Arial" w:hAnsi="Arial"/>
                <w:sz w:val="13"/>
                <w:szCs w:val="13"/>
                <w:color w:val="231F20"/>
              </w:rPr>
              <w:t>Income/(Charges) from Disposals of</w:t>
            </w:r>
          </w:p>
        </w:tc>
        <w:tc>
          <w:tcPr>
            <w:tcW w:w="760" w:type="dxa"/>
            <w:vAlign w:val="bottom"/>
            <w:tcBorders>
              <w:right w:val="single" w:sz="8" w:color="2360A6"/>
            </w:tcBorders>
            <w:shd w:val="clear" w:color="auto" w:fill="EDEDEE"/>
          </w:tcPr>
          <w:p>
            <w:pPr>
              <w:spacing w:after="0"/>
              <w:rPr>
                <w:sz w:val="13"/>
                <w:szCs w:val="13"/>
                <w:color w:val="auto"/>
              </w:rPr>
            </w:pPr>
          </w:p>
        </w:tc>
        <w:tc>
          <w:tcPr>
            <w:tcW w:w="980" w:type="dxa"/>
            <w:vAlign w:val="bottom"/>
            <w:tcBorders>
              <w:right w:val="single" w:sz="8" w:color="2360A6"/>
            </w:tcBorders>
            <w:shd w:val="clear" w:color="auto" w:fill="EDEDEE"/>
          </w:tcPr>
          <w:p>
            <w:pPr>
              <w:spacing w:after="0"/>
              <w:rPr>
                <w:sz w:val="13"/>
                <w:szCs w:val="13"/>
                <w:color w:val="auto"/>
              </w:rPr>
            </w:pPr>
          </w:p>
        </w:tc>
        <w:tc>
          <w:tcPr>
            <w:tcW w:w="860" w:type="dxa"/>
            <w:vAlign w:val="bottom"/>
            <w:tcBorders>
              <w:right w:val="single" w:sz="8" w:color="2360A6"/>
            </w:tcBorders>
            <w:shd w:val="clear" w:color="auto" w:fill="EDEDEE"/>
          </w:tcPr>
          <w:p>
            <w:pPr>
              <w:spacing w:after="0"/>
              <w:rPr>
                <w:sz w:val="13"/>
                <w:szCs w:val="13"/>
                <w:color w:val="auto"/>
              </w:rPr>
            </w:pPr>
          </w:p>
        </w:tc>
        <w:tc>
          <w:tcPr>
            <w:tcW w:w="1180" w:type="dxa"/>
            <w:vAlign w:val="bottom"/>
            <w:tcBorders>
              <w:right w:val="single" w:sz="8" w:color="2360A6"/>
            </w:tcBorders>
            <w:shd w:val="clear" w:color="auto" w:fill="EDEDEE"/>
          </w:tcPr>
          <w:p>
            <w:pPr>
              <w:spacing w:after="0"/>
              <w:rPr>
                <w:sz w:val="13"/>
                <w:szCs w:val="13"/>
                <w:color w:val="auto"/>
              </w:rPr>
            </w:pPr>
          </w:p>
        </w:tc>
        <w:tc>
          <w:tcPr>
            <w:tcW w:w="1180" w:type="dxa"/>
            <w:vAlign w:val="bottom"/>
            <w:shd w:val="clear" w:color="auto" w:fill="EDEDEE"/>
          </w:tcPr>
          <w:p>
            <w:pPr>
              <w:spacing w:after="0"/>
              <w:rPr>
                <w:sz w:val="13"/>
                <w:szCs w:val="13"/>
                <w:color w:val="auto"/>
              </w:rPr>
            </w:pPr>
          </w:p>
        </w:tc>
        <w:tc>
          <w:tcPr>
            <w:tcW w:w="120" w:type="dxa"/>
            <w:vAlign w:val="bottom"/>
            <w:tcBorders>
              <w:right w:val="single" w:sz="8" w:color="2360A6"/>
            </w:tcBorders>
            <w:shd w:val="clear" w:color="auto" w:fill="EDEDEE"/>
          </w:tcPr>
          <w:p>
            <w:pPr>
              <w:spacing w:after="0"/>
              <w:rPr>
                <w:sz w:val="13"/>
                <w:szCs w:val="13"/>
                <w:color w:val="auto"/>
              </w:rPr>
            </w:pPr>
          </w:p>
        </w:tc>
        <w:tc>
          <w:tcPr>
            <w:tcW w:w="860" w:type="dxa"/>
            <w:vAlign w:val="bottom"/>
            <w:tcBorders>
              <w:right w:val="single" w:sz="8" w:color="2360A6"/>
            </w:tcBorders>
            <w:shd w:val="clear" w:color="auto" w:fill="EDEDEE"/>
          </w:tcPr>
          <w:p>
            <w:pPr>
              <w:spacing w:after="0"/>
              <w:rPr>
                <w:sz w:val="13"/>
                <w:szCs w:val="13"/>
                <w:color w:val="auto"/>
              </w:rPr>
            </w:pPr>
          </w:p>
        </w:tc>
        <w:tc>
          <w:tcPr>
            <w:tcW w:w="1080" w:type="dxa"/>
            <w:vAlign w:val="bottom"/>
            <w:tcBorders>
              <w:right w:val="single" w:sz="8" w:color="2360A6"/>
            </w:tcBorders>
            <w:shd w:val="clear" w:color="auto" w:fill="EDEDEE"/>
          </w:tcPr>
          <w:p>
            <w:pPr>
              <w:spacing w:after="0"/>
              <w:rPr>
                <w:sz w:val="13"/>
                <w:szCs w:val="13"/>
                <w:color w:val="auto"/>
              </w:rPr>
            </w:pPr>
          </w:p>
        </w:tc>
        <w:tc>
          <w:tcPr>
            <w:tcW w:w="1140" w:type="dxa"/>
            <w:vAlign w:val="bottom"/>
            <w:shd w:val="clear" w:color="auto" w:fill="EDEDEE"/>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6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Activities</w:t>
            </w:r>
          </w:p>
        </w:tc>
        <w:tc>
          <w:tcPr>
            <w:tcW w:w="7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gridSpan w:val="2"/>
            <w:shd w:val="clear" w:color="auto" w:fill="EDEDEE"/>
          </w:tcPr>
          <w:p>
            <w:pPr>
              <w:jc w:val="right"/>
              <w:ind w:right="140"/>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bottom w:val="single" w:sz="8" w:color="2360A6"/>
            </w:tcBorders>
          </w:tcPr>
          <w:p>
            <w:pPr>
              <w:spacing w:after="0"/>
              <w:rPr>
                <w:sz w:val="14"/>
                <w:szCs w:val="14"/>
                <w:color w:val="auto"/>
              </w:rPr>
            </w:pPr>
          </w:p>
        </w:tc>
      </w:tr>
      <w:tr>
        <w:trPr>
          <w:trHeight w:val="156"/>
        </w:trPr>
        <w:tc>
          <w:tcPr>
            <w:tcW w:w="2600" w:type="dxa"/>
            <w:vAlign w:val="bottom"/>
            <w:tcBorders>
              <w:right w:val="single" w:sz="8" w:color="2360A6"/>
            </w:tcBorders>
          </w:tcPr>
          <w:p>
            <w:pPr>
              <w:ind w:left="20"/>
              <w:spacing w:after="0"/>
              <w:rPr>
                <w:sz w:val="20"/>
                <w:szCs w:val="20"/>
                <w:color w:val="auto"/>
              </w:rPr>
            </w:pPr>
            <w:r>
              <w:rPr>
                <w:rFonts w:ascii="Arial" w:cs="Arial" w:eastAsia="Arial" w:hAnsi="Arial"/>
                <w:sz w:val="13"/>
                <w:szCs w:val="13"/>
                <w:color w:val="231F20"/>
              </w:rPr>
              <w:t>Income/(Charges) from Non-Current</w:t>
            </w:r>
          </w:p>
        </w:tc>
        <w:tc>
          <w:tcPr>
            <w:tcW w:w="760" w:type="dxa"/>
            <w:vAlign w:val="bottom"/>
            <w:tcBorders>
              <w:right w:val="single" w:sz="8" w:color="2360A6"/>
            </w:tcBorders>
            <w:shd w:val="clear" w:color="auto" w:fill="EDEDEE"/>
          </w:tcPr>
          <w:p>
            <w:pPr>
              <w:spacing w:after="0"/>
              <w:rPr>
                <w:sz w:val="13"/>
                <w:szCs w:val="13"/>
                <w:color w:val="auto"/>
              </w:rPr>
            </w:pPr>
          </w:p>
        </w:tc>
        <w:tc>
          <w:tcPr>
            <w:tcW w:w="980" w:type="dxa"/>
            <w:vAlign w:val="bottom"/>
            <w:tcBorders>
              <w:right w:val="single" w:sz="8" w:color="2360A6"/>
            </w:tcBorders>
            <w:shd w:val="clear" w:color="auto" w:fill="EDEDEE"/>
          </w:tcPr>
          <w:p>
            <w:pPr>
              <w:spacing w:after="0"/>
              <w:rPr>
                <w:sz w:val="13"/>
                <w:szCs w:val="13"/>
                <w:color w:val="auto"/>
              </w:rPr>
            </w:pPr>
          </w:p>
        </w:tc>
        <w:tc>
          <w:tcPr>
            <w:tcW w:w="860" w:type="dxa"/>
            <w:vAlign w:val="bottom"/>
            <w:tcBorders>
              <w:right w:val="single" w:sz="8" w:color="2360A6"/>
            </w:tcBorders>
            <w:shd w:val="clear" w:color="auto" w:fill="EDEDEE"/>
          </w:tcPr>
          <w:p>
            <w:pPr>
              <w:spacing w:after="0"/>
              <w:rPr>
                <w:sz w:val="13"/>
                <w:szCs w:val="13"/>
                <w:color w:val="auto"/>
              </w:rPr>
            </w:pPr>
          </w:p>
        </w:tc>
        <w:tc>
          <w:tcPr>
            <w:tcW w:w="1180" w:type="dxa"/>
            <w:vAlign w:val="bottom"/>
            <w:tcBorders>
              <w:right w:val="single" w:sz="8" w:color="2360A6"/>
            </w:tcBorders>
            <w:shd w:val="clear" w:color="auto" w:fill="EDEDEE"/>
          </w:tcPr>
          <w:p>
            <w:pPr>
              <w:spacing w:after="0"/>
              <w:rPr>
                <w:sz w:val="13"/>
                <w:szCs w:val="13"/>
                <w:color w:val="auto"/>
              </w:rPr>
            </w:pPr>
          </w:p>
        </w:tc>
        <w:tc>
          <w:tcPr>
            <w:tcW w:w="1180" w:type="dxa"/>
            <w:vAlign w:val="bottom"/>
            <w:shd w:val="clear" w:color="auto" w:fill="EDEDEE"/>
          </w:tcPr>
          <w:p>
            <w:pPr>
              <w:spacing w:after="0"/>
              <w:rPr>
                <w:sz w:val="13"/>
                <w:szCs w:val="13"/>
                <w:color w:val="auto"/>
              </w:rPr>
            </w:pPr>
          </w:p>
        </w:tc>
        <w:tc>
          <w:tcPr>
            <w:tcW w:w="120" w:type="dxa"/>
            <w:vAlign w:val="bottom"/>
            <w:tcBorders>
              <w:right w:val="single" w:sz="8" w:color="2360A6"/>
            </w:tcBorders>
            <w:shd w:val="clear" w:color="auto" w:fill="EDEDEE"/>
          </w:tcPr>
          <w:p>
            <w:pPr>
              <w:spacing w:after="0"/>
              <w:rPr>
                <w:sz w:val="13"/>
                <w:szCs w:val="13"/>
                <w:color w:val="auto"/>
              </w:rPr>
            </w:pPr>
          </w:p>
        </w:tc>
        <w:tc>
          <w:tcPr>
            <w:tcW w:w="860" w:type="dxa"/>
            <w:vAlign w:val="bottom"/>
            <w:tcBorders>
              <w:right w:val="single" w:sz="8" w:color="2360A6"/>
            </w:tcBorders>
            <w:shd w:val="clear" w:color="auto" w:fill="EDEDEE"/>
          </w:tcPr>
          <w:p>
            <w:pPr>
              <w:spacing w:after="0"/>
              <w:rPr>
                <w:sz w:val="13"/>
                <w:szCs w:val="13"/>
                <w:color w:val="auto"/>
              </w:rPr>
            </w:pPr>
          </w:p>
        </w:tc>
        <w:tc>
          <w:tcPr>
            <w:tcW w:w="1080" w:type="dxa"/>
            <w:vAlign w:val="bottom"/>
            <w:tcBorders>
              <w:right w:val="single" w:sz="8" w:color="2360A6"/>
            </w:tcBorders>
            <w:shd w:val="clear" w:color="auto" w:fill="EDEDEE"/>
          </w:tcPr>
          <w:p>
            <w:pPr>
              <w:spacing w:after="0"/>
              <w:rPr>
                <w:sz w:val="13"/>
                <w:szCs w:val="13"/>
                <w:color w:val="auto"/>
              </w:rPr>
            </w:pPr>
          </w:p>
        </w:tc>
        <w:tc>
          <w:tcPr>
            <w:tcW w:w="1140" w:type="dxa"/>
            <w:vAlign w:val="bottom"/>
            <w:shd w:val="clear" w:color="auto" w:fill="EDEDEE"/>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6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Activities</w:t>
            </w:r>
          </w:p>
        </w:tc>
        <w:tc>
          <w:tcPr>
            <w:tcW w:w="7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(441.0)</w:t>
            </w:r>
          </w:p>
        </w:tc>
        <w:tc>
          <w:tcPr>
            <w:tcW w:w="1300" w:type="dxa"/>
            <w:vAlign w:val="bottom"/>
            <w:tcBorders>
              <w:bottom w:val="single" w:sz="8" w:color="2360A6"/>
              <w:right w:val="single" w:sz="8" w:color="2360A6"/>
            </w:tcBorders>
            <w:gridSpan w:val="2"/>
            <w:shd w:val="clear" w:color="auto" w:fill="EDEDEE"/>
          </w:tcPr>
          <w:p>
            <w:pPr>
              <w:jc w:val="right"/>
              <w:ind w:right="80"/>
              <w:spacing w:after="0"/>
              <w:rPr>
                <w:sz w:val="20"/>
                <w:szCs w:val="20"/>
                <w:color w:val="auto"/>
              </w:rPr>
            </w:pPr>
            <w:r>
              <w:rPr>
                <w:rFonts w:ascii="Arial" w:cs="Arial" w:eastAsia="Arial" w:hAnsi="Arial"/>
                <w:sz w:val="13"/>
                <w:szCs w:val="13"/>
                <w:color w:val="231F20"/>
              </w:rPr>
              <w:t>(441.0)</w:t>
            </w:r>
          </w:p>
        </w:tc>
        <w:tc>
          <w:tcPr>
            <w:tcW w:w="860" w:type="dxa"/>
            <w:vAlign w:val="bottom"/>
            <w:tcBorders>
              <w:bottom w:val="single" w:sz="8" w:color="2360A6"/>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(441.0)</w:t>
            </w:r>
          </w:p>
        </w:tc>
        <w:tc>
          <w:tcPr>
            <w:tcW w:w="10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(441.0)</w:t>
            </w:r>
          </w:p>
        </w:tc>
        <w:tc>
          <w:tcPr>
            <w:tcW w:w="20" w:type="dxa"/>
            <w:vAlign w:val="bottom"/>
            <w:tcBorders>
              <w:bottom w:val="single" w:sz="8" w:color="2360A6"/>
            </w:tcBorders>
          </w:tcPr>
          <w:p>
            <w:pPr>
              <w:spacing w:after="0"/>
              <w:rPr>
                <w:sz w:val="14"/>
                <w:szCs w:val="14"/>
                <w:color w:val="auto"/>
              </w:rPr>
            </w:pPr>
          </w:p>
        </w:tc>
      </w:tr>
      <w:tr>
        <w:trPr>
          <w:trHeight w:val="210"/>
        </w:trPr>
        <w:tc>
          <w:tcPr>
            <w:tcW w:w="26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b w:val="1"/>
                <w:bCs w:val="1"/>
                <w:color w:val="2360A6"/>
              </w:rPr>
              <w:t>Operating Income/(Loss)</w:t>
            </w:r>
          </w:p>
        </w:tc>
        <w:tc>
          <w:tcPr>
            <w:tcW w:w="7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rPr>
              <w:t>724.2</w:t>
            </w:r>
          </w:p>
        </w:tc>
        <w:tc>
          <w:tcPr>
            <w:tcW w:w="98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rPr>
              <w:t>278.6</w:t>
            </w:r>
          </w:p>
        </w:tc>
        <w:tc>
          <w:tcPr>
            <w:tcW w:w="86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(68.6)</w:t>
            </w:r>
          </w:p>
        </w:tc>
        <w:tc>
          <w:tcPr>
            <w:tcW w:w="11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(441.0)</w:t>
            </w:r>
          </w:p>
        </w:tc>
        <w:tc>
          <w:tcPr>
            <w:tcW w:w="11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493.2</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86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493.2</w:t>
            </w:r>
          </w:p>
        </w:tc>
        <w:tc>
          <w:tcPr>
            <w:tcW w:w="1080" w:type="dxa"/>
            <w:vAlign w:val="bottom"/>
            <w:tcBorders>
              <w:bottom w:val="single" w:sz="8" w:color="2360A6"/>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b w:val="1"/>
                <w:bCs w:val="1"/>
                <w:color w:val="2360A6"/>
              </w:rPr>
              <w:t>(41.4)</w:t>
            </w:r>
          </w:p>
        </w:tc>
        <w:tc>
          <w:tcPr>
            <w:tcW w:w="1140" w:type="dxa"/>
            <w:vAlign w:val="bottom"/>
            <w:tcBorders>
              <w:bottom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b w:val="1"/>
                <w:bCs w:val="1"/>
                <w:color w:val="2360A6"/>
              </w:rPr>
              <w:t>451.8</w:t>
            </w:r>
          </w:p>
        </w:tc>
        <w:tc>
          <w:tcPr>
            <w:tcW w:w="20" w:type="dxa"/>
            <w:vAlign w:val="bottom"/>
            <w:tcBorders>
              <w:bottom w:val="single" w:sz="8" w:color="2360A6"/>
            </w:tcBorders>
          </w:tcPr>
          <w:p>
            <w:pPr>
              <w:spacing w:after="0"/>
              <w:rPr>
                <w:sz w:val="18"/>
                <w:szCs w:val="18"/>
                <w:color w:val="auto"/>
              </w:rPr>
            </w:pPr>
          </w:p>
        </w:tc>
      </w:tr>
      <w:tr>
        <w:trPr>
          <w:trHeight w:val="210"/>
        </w:trPr>
        <w:tc>
          <w:tcPr>
            <w:tcW w:w="26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Financial Income/(Expenses)</w:t>
            </w:r>
          </w:p>
        </w:tc>
        <w:tc>
          <w:tcPr>
            <w:tcW w:w="7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(75.1)</w:t>
            </w:r>
          </w:p>
        </w:tc>
        <w:tc>
          <w:tcPr>
            <w:tcW w:w="11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(75.1)</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860" w:type="dxa"/>
            <w:vAlign w:val="bottom"/>
            <w:tcBorders>
              <w:bottom w:val="single" w:sz="8" w:color="2360A6"/>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(75.1)</w:t>
            </w:r>
          </w:p>
        </w:tc>
        <w:tc>
          <w:tcPr>
            <w:tcW w:w="10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4.1</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(71.0)</w:t>
            </w:r>
          </w:p>
        </w:tc>
        <w:tc>
          <w:tcPr>
            <w:tcW w:w="20" w:type="dxa"/>
            <w:vAlign w:val="bottom"/>
            <w:tcBorders>
              <w:bottom w:val="single" w:sz="8" w:color="2360A6"/>
            </w:tcBorders>
          </w:tcPr>
          <w:p>
            <w:pPr>
              <w:spacing w:after="0"/>
              <w:rPr>
                <w:sz w:val="18"/>
                <w:szCs w:val="18"/>
                <w:color w:val="auto"/>
              </w:rPr>
            </w:pPr>
          </w:p>
        </w:tc>
      </w:tr>
      <w:tr>
        <w:trPr>
          <w:trHeight w:val="210"/>
        </w:trPr>
        <w:tc>
          <w:tcPr>
            <w:tcW w:w="26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Income Tax Expense</w:t>
            </w:r>
          </w:p>
        </w:tc>
        <w:tc>
          <w:tcPr>
            <w:tcW w:w="7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(168.0)</w:t>
            </w:r>
          </w:p>
        </w:tc>
        <w:tc>
          <w:tcPr>
            <w:tcW w:w="11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(168.0)</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860" w:type="dxa"/>
            <w:vAlign w:val="bottom"/>
            <w:tcBorders>
              <w:bottom w:val="single" w:sz="8" w:color="2360A6"/>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(168.0)</w:t>
            </w:r>
          </w:p>
        </w:tc>
        <w:tc>
          <w:tcPr>
            <w:tcW w:w="10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37.3</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(130.7)</w:t>
            </w:r>
          </w:p>
        </w:tc>
        <w:tc>
          <w:tcPr>
            <w:tcW w:w="20" w:type="dxa"/>
            <w:vAlign w:val="bottom"/>
            <w:tcBorders>
              <w:bottom w:val="single" w:sz="8" w:color="2360A6"/>
            </w:tcBorders>
          </w:tcPr>
          <w:p>
            <w:pPr>
              <w:spacing w:after="0"/>
              <w:rPr>
                <w:sz w:val="18"/>
                <w:szCs w:val="18"/>
                <w:color w:val="auto"/>
              </w:rPr>
            </w:pPr>
          </w:p>
        </w:tc>
      </w:tr>
      <w:tr>
        <w:trPr>
          <w:trHeight w:val="210"/>
        </w:trPr>
        <w:tc>
          <w:tcPr>
            <w:tcW w:w="2600" w:type="dxa"/>
            <w:vAlign w:val="bottom"/>
            <w:tcBorders>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3"/>
                <w:szCs w:val="13"/>
                <w:b w:val="1"/>
                <w:bCs w:val="1"/>
                <w:color w:val="2360A6"/>
              </w:rPr>
              <w:t>NET INCOME/(LOSS) FOR THE YEAR</w:t>
            </w:r>
          </w:p>
        </w:tc>
        <w:tc>
          <w:tcPr>
            <w:tcW w:w="76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NA</w:t>
            </w:r>
          </w:p>
        </w:tc>
        <w:tc>
          <w:tcPr>
            <w:tcW w:w="98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NA</w:t>
            </w:r>
          </w:p>
        </w:tc>
        <w:tc>
          <w:tcPr>
            <w:tcW w:w="86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NA</w:t>
            </w:r>
          </w:p>
        </w:tc>
        <w:tc>
          <w:tcPr>
            <w:tcW w:w="11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NA</w:t>
            </w:r>
          </w:p>
        </w:tc>
        <w:tc>
          <w:tcPr>
            <w:tcW w:w="118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3"/>
                <w:szCs w:val="13"/>
                <w:b w:val="1"/>
                <w:bCs w:val="1"/>
                <w:color w:val="2360A6"/>
              </w:rPr>
              <w:t>250.1</w:t>
            </w:r>
          </w:p>
        </w:tc>
        <w:tc>
          <w:tcPr>
            <w:tcW w:w="120" w:type="dxa"/>
            <w:vAlign w:val="bottom"/>
            <w:tcBorders>
              <w:bottom w:val="single" w:sz="8" w:color="2360A6"/>
              <w:right w:val="single" w:sz="8" w:color="2360A6"/>
            </w:tcBorders>
            <w:shd w:val="clear" w:color="auto" w:fill="D2DEEC"/>
          </w:tcPr>
          <w:p>
            <w:pPr>
              <w:spacing w:after="0"/>
              <w:rPr>
                <w:sz w:val="18"/>
                <w:szCs w:val="18"/>
                <w:color w:val="auto"/>
              </w:rPr>
            </w:pPr>
          </w:p>
        </w:tc>
        <w:tc>
          <w:tcPr>
            <w:tcW w:w="86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250.1</w:t>
            </w:r>
          </w:p>
        </w:tc>
        <w:tc>
          <w:tcPr>
            <w:tcW w:w="10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w:t>
            </w:r>
          </w:p>
        </w:tc>
        <w:tc>
          <w:tcPr>
            <w:tcW w:w="1140" w:type="dxa"/>
            <w:vAlign w:val="bottom"/>
            <w:tcBorders>
              <w:bottom w:val="single" w:sz="8" w:color="2360A6"/>
            </w:tcBorders>
            <w:shd w:val="clear" w:color="auto" w:fill="D2DEEC"/>
          </w:tcPr>
          <w:p>
            <w:pPr>
              <w:jc w:val="right"/>
              <w:ind w:right="37"/>
              <w:spacing w:after="0"/>
              <w:rPr>
                <w:sz w:val="20"/>
                <w:szCs w:val="20"/>
                <w:color w:val="auto"/>
              </w:rPr>
            </w:pPr>
            <w:r>
              <w:rPr>
                <w:rFonts w:ascii="Arial" w:cs="Arial" w:eastAsia="Arial" w:hAnsi="Arial"/>
                <w:sz w:val="13"/>
                <w:szCs w:val="13"/>
                <w:b w:val="1"/>
                <w:bCs w:val="1"/>
                <w:color w:val="2360A6"/>
              </w:rPr>
              <w:t>250.1</w:t>
            </w:r>
          </w:p>
        </w:tc>
        <w:tc>
          <w:tcPr>
            <w:tcW w:w="20" w:type="dxa"/>
            <w:vAlign w:val="bottom"/>
            <w:tcBorders>
              <w:bottom w:val="single" w:sz="8" w:color="2360A6"/>
            </w:tcBorders>
          </w:tcPr>
          <w:p>
            <w:pPr>
              <w:spacing w:after="0"/>
              <w:rPr>
                <w:sz w:val="18"/>
                <w:szCs w:val="18"/>
                <w:color w:val="auto"/>
              </w:rPr>
            </w:pPr>
          </w:p>
        </w:tc>
      </w:tr>
      <w:tr>
        <w:trPr>
          <w:trHeight w:val="216"/>
        </w:trPr>
        <w:tc>
          <w:tcPr>
            <w:tcW w:w="2600" w:type="dxa"/>
            <w:vAlign w:val="bottom"/>
            <w:tcBorders>
              <w:right w:val="single" w:sz="8" w:color="2360A6"/>
            </w:tcBorders>
          </w:tcPr>
          <w:p>
            <w:pPr>
              <w:ind w:left="20"/>
              <w:spacing w:after="0"/>
              <w:rPr>
                <w:sz w:val="20"/>
                <w:szCs w:val="20"/>
                <w:color w:val="auto"/>
              </w:rPr>
            </w:pPr>
            <w:r>
              <w:rPr>
                <w:rFonts w:ascii="Arial" w:cs="Arial" w:eastAsia="Arial" w:hAnsi="Arial"/>
                <w:sz w:val="13"/>
                <w:szCs w:val="13"/>
                <w:color w:val="231F20"/>
              </w:rPr>
              <w:t>Segment Assets</w:t>
            </w:r>
          </w:p>
        </w:tc>
        <w:tc>
          <w:tcPr>
            <w:tcW w:w="760" w:type="dxa"/>
            <w:vAlign w:val="bottom"/>
            <w:tcBorders>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8,704.5</w:t>
            </w:r>
          </w:p>
        </w:tc>
        <w:tc>
          <w:tcPr>
            <w:tcW w:w="980" w:type="dxa"/>
            <w:vAlign w:val="bottom"/>
            <w:tcBorders>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8,338.6</w:t>
            </w:r>
          </w:p>
        </w:tc>
        <w:tc>
          <w:tcPr>
            <w:tcW w:w="860" w:type="dxa"/>
            <w:vAlign w:val="bottom"/>
            <w:tcBorders>
              <w:bottom w:val="single" w:sz="8" w:color="EDEDEE"/>
              <w:right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color w:val="231F20"/>
              </w:rPr>
              <w:t>(180.2)</w:t>
            </w:r>
          </w:p>
        </w:tc>
        <w:tc>
          <w:tcPr>
            <w:tcW w:w="1180" w:type="dxa"/>
            <w:vAlign w:val="bottom"/>
            <w:tcBorders>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16,862.9</w:t>
            </w:r>
          </w:p>
        </w:tc>
        <w:tc>
          <w:tcPr>
            <w:tcW w:w="120" w:type="dxa"/>
            <w:vAlign w:val="bottom"/>
            <w:tcBorders>
              <w:bottom w:val="single" w:sz="8" w:color="EDEDEE"/>
              <w:right w:val="single" w:sz="8" w:color="2360A6"/>
            </w:tcBorders>
            <w:shd w:val="clear" w:color="auto" w:fill="EDEDEE"/>
          </w:tcPr>
          <w:p>
            <w:pPr>
              <w:spacing w:after="0"/>
              <w:rPr>
                <w:sz w:val="18"/>
                <w:szCs w:val="18"/>
                <w:color w:val="auto"/>
              </w:rPr>
            </w:pPr>
          </w:p>
        </w:tc>
        <w:tc>
          <w:tcPr>
            <w:tcW w:w="860" w:type="dxa"/>
            <w:vAlign w:val="bottom"/>
            <w:tcBorders>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16,862.9</w:t>
            </w:r>
          </w:p>
        </w:tc>
        <w:tc>
          <w:tcPr>
            <w:tcW w:w="1080" w:type="dxa"/>
            <w:vAlign w:val="bottom"/>
            <w:tcBorders>
              <w:bottom w:val="single" w:sz="8" w:color="EDEDEE"/>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(61.0)</w:t>
            </w:r>
          </w:p>
        </w:tc>
        <w:tc>
          <w:tcPr>
            <w:tcW w:w="114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231F20"/>
              </w:rPr>
              <w:t>16,801.9</w:t>
            </w:r>
          </w:p>
        </w:tc>
        <w:tc>
          <w:tcPr>
            <w:tcW w:w="20" w:type="dxa"/>
            <w:vAlign w:val="bottom"/>
          </w:tcPr>
          <w:p>
            <w:pPr>
              <w:spacing w:after="0"/>
              <w:rPr>
                <w:sz w:val="18"/>
                <w:szCs w:val="18"/>
                <w:color w:val="auto"/>
              </w:rPr>
            </w:pPr>
          </w:p>
        </w:tc>
      </w:tr>
      <w:tr>
        <w:trPr>
          <w:trHeight w:val="210"/>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Investments in Equity Affiliates</w:t>
            </w:r>
          </w:p>
        </w:tc>
        <w:tc>
          <w:tcPr>
            <w:tcW w:w="7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108.0</w:t>
            </w:r>
          </w:p>
        </w:tc>
        <w:tc>
          <w:tcPr>
            <w:tcW w:w="98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49.6</w:t>
            </w:r>
          </w:p>
        </w:tc>
        <w:tc>
          <w:tcPr>
            <w:tcW w:w="8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157.6</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6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157.6</w:t>
            </w:r>
          </w:p>
        </w:tc>
        <w:tc>
          <w:tcPr>
            <w:tcW w:w="10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11.1</w:t>
            </w:r>
          </w:p>
        </w:tc>
        <w:tc>
          <w:tcPr>
            <w:tcW w:w="1140" w:type="dxa"/>
            <w:vAlign w:val="bottom"/>
            <w:tcBorders>
              <w:top w:val="single" w:sz="8" w:color="2360A6"/>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231F20"/>
              </w:rPr>
              <w:t>168.7</w:t>
            </w:r>
          </w:p>
        </w:tc>
        <w:tc>
          <w:tcPr>
            <w:tcW w:w="20" w:type="dxa"/>
            <w:vAlign w:val="bottom"/>
            <w:tcBorders>
              <w:top w:val="single" w:sz="8" w:color="2360A6"/>
            </w:tcBorders>
          </w:tcPr>
          <w:p>
            <w:pPr>
              <w:spacing w:after="0"/>
              <w:rPr>
                <w:sz w:val="18"/>
                <w:szCs w:val="18"/>
                <w:color w:val="auto"/>
              </w:rPr>
            </w:pPr>
          </w:p>
        </w:tc>
      </w:tr>
      <w:tr>
        <w:trPr>
          <w:trHeight w:val="210"/>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Unallocated Assets</w:t>
            </w:r>
          </w:p>
        </w:tc>
        <w:tc>
          <w:tcPr>
            <w:tcW w:w="7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98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809.8</w:t>
            </w:r>
          </w:p>
        </w:tc>
        <w:tc>
          <w:tcPr>
            <w:tcW w:w="118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809.8</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6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809.8</w:t>
            </w:r>
          </w:p>
        </w:tc>
        <w:tc>
          <w:tcPr>
            <w:tcW w:w="1080" w:type="dxa"/>
            <w:vAlign w:val="bottom"/>
            <w:tcBorders>
              <w:top w:val="single" w:sz="8" w:color="2360A6"/>
              <w:bottom w:val="single" w:sz="8" w:color="EDEDEE"/>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(1.4)</w:t>
            </w:r>
          </w:p>
        </w:tc>
        <w:tc>
          <w:tcPr>
            <w:tcW w:w="1140" w:type="dxa"/>
            <w:vAlign w:val="bottom"/>
            <w:tcBorders>
              <w:top w:val="single" w:sz="8" w:color="2360A6"/>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231F20"/>
              </w:rPr>
              <w:t>808.4</w:t>
            </w:r>
          </w:p>
        </w:tc>
        <w:tc>
          <w:tcPr>
            <w:tcW w:w="20" w:type="dxa"/>
            <w:vAlign w:val="bottom"/>
            <w:tcBorders>
              <w:top w:val="single" w:sz="8" w:color="2360A6"/>
            </w:tcBorders>
          </w:tcPr>
          <w:p>
            <w:pPr>
              <w:spacing w:after="0"/>
              <w:rPr>
                <w:sz w:val="18"/>
                <w:szCs w:val="18"/>
                <w:color w:val="auto"/>
              </w:rPr>
            </w:pPr>
          </w:p>
        </w:tc>
      </w:tr>
      <w:tr>
        <w:trPr>
          <w:trHeight w:val="210"/>
        </w:trPr>
        <w:tc>
          <w:tcPr>
            <w:tcW w:w="2600" w:type="dxa"/>
            <w:vAlign w:val="bottom"/>
            <w:tcBorders>
              <w:top w:val="single" w:sz="8" w:color="2360A6"/>
              <w:bottom w:val="single" w:sz="8" w:color="D2DEEC"/>
              <w:right w:val="single" w:sz="8" w:color="2360A6"/>
            </w:tcBorders>
            <w:shd w:val="clear" w:color="auto" w:fill="D2DEEC"/>
          </w:tcPr>
          <w:p>
            <w:pPr>
              <w:ind w:left="20"/>
              <w:spacing w:after="0"/>
              <w:rPr>
                <w:sz w:val="20"/>
                <w:szCs w:val="20"/>
                <w:color w:val="auto"/>
              </w:rPr>
            </w:pPr>
            <w:r>
              <w:rPr>
                <w:rFonts w:ascii="Arial" w:cs="Arial" w:eastAsia="Arial" w:hAnsi="Arial"/>
                <w:sz w:val="13"/>
                <w:szCs w:val="13"/>
                <w:b w:val="1"/>
                <w:bCs w:val="1"/>
                <w:color w:val="2360A6"/>
              </w:rPr>
              <w:t>TOTAL ASSETS</w:t>
            </w:r>
          </w:p>
        </w:tc>
        <w:tc>
          <w:tcPr>
            <w:tcW w:w="760" w:type="dxa"/>
            <w:vAlign w:val="bottom"/>
            <w:tcBorders>
              <w:top w:val="single" w:sz="8" w:color="2360A6"/>
              <w:bottom w:val="single" w:sz="8" w:color="D2DEEC"/>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8,812.6</w:t>
            </w:r>
          </w:p>
        </w:tc>
        <w:tc>
          <w:tcPr>
            <w:tcW w:w="980" w:type="dxa"/>
            <w:vAlign w:val="bottom"/>
            <w:tcBorders>
              <w:top w:val="single" w:sz="8" w:color="2360A6"/>
              <w:bottom w:val="single" w:sz="8" w:color="D2DEEC"/>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8,388.1</w:t>
            </w:r>
          </w:p>
        </w:tc>
        <w:tc>
          <w:tcPr>
            <w:tcW w:w="860" w:type="dxa"/>
            <w:vAlign w:val="bottom"/>
            <w:tcBorders>
              <w:top w:val="single" w:sz="8" w:color="2360A6"/>
              <w:bottom w:val="single" w:sz="8" w:color="D2DEEC"/>
              <w:right w:val="single" w:sz="8" w:color="2360A6"/>
            </w:tcBorders>
            <w:shd w:val="clear" w:color="auto" w:fill="D2DEEC"/>
          </w:tcPr>
          <w:p>
            <w:pPr>
              <w:jc w:val="right"/>
              <w:ind w:right="37"/>
              <w:spacing w:after="0"/>
              <w:rPr>
                <w:sz w:val="20"/>
                <w:szCs w:val="20"/>
                <w:color w:val="auto"/>
              </w:rPr>
            </w:pPr>
            <w:r>
              <w:rPr>
                <w:rFonts w:ascii="Arial" w:cs="Arial" w:eastAsia="Arial" w:hAnsi="Arial"/>
                <w:sz w:val="13"/>
                <w:szCs w:val="13"/>
                <w:b w:val="1"/>
                <w:bCs w:val="1"/>
                <w:color w:val="2360A6"/>
              </w:rPr>
              <w:t>(180.2)</w:t>
            </w:r>
          </w:p>
        </w:tc>
        <w:tc>
          <w:tcPr>
            <w:tcW w:w="1180" w:type="dxa"/>
            <w:vAlign w:val="bottom"/>
            <w:tcBorders>
              <w:top w:val="single" w:sz="8" w:color="2360A6"/>
              <w:bottom w:val="single" w:sz="8" w:color="D2DEEC"/>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809.8</w:t>
            </w:r>
          </w:p>
        </w:tc>
        <w:tc>
          <w:tcPr>
            <w:tcW w:w="1180" w:type="dxa"/>
            <w:vAlign w:val="bottom"/>
            <w:tcBorders>
              <w:top w:val="single" w:sz="8" w:color="2360A6"/>
              <w:bottom w:val="single" w:sz="8" w:color="D2DEEC"/>
            </w:tcBorders>
            <w:shd w:val="clear" w:color="auto" w:fill="D2DEEC"/>
          </w:tcPr>
          <w:p>
            <w:pPr>
              <w:jc w:val="right"/>
              <w:spacing w:after="0"/>
              <w:rPr>
                <w:sz w:val="20"/>
                <w:szCs w:val="20"/>
                <w:color w:val="auto"/>
              </w:rPr>
            </w:pPr>
            <w:r>
              <w:rPr>
                <w:rFonts w:ascii="Arial" w:cs="Arial" w:eastAsia="Arial" w:hAnsi="Arial"/>
                <w:sz w:val="13"/>
                <w:szCs w:val="13"/>
                <w:b w:val="1"/>
                <w:bCs w:val="1"/>
                <w:color w:val="2360A6"/>
              </w:rPr>
              <w:t>17,830.3</w:t>
            </w:r>
          </w:p>
        </w:tc>
        <w:tc>
          <w:tcPr>
            <w:tcW w:w="120" w:type="dxa"/>
            <w:vAlign w:val="bottom"/>
            <w:tcBorders>
              <w:top w:val="single" w:sz="8" w:color="2360A6"/>
              <w:bottom w:val="single" w:sz="8" w:color="D2DEEC"/>
              <w:right w:val="single" w:sz="8" w:color="2360A6"/>
            </w:tcBorders>
            <w:shd w:val="clear" w:color="auto" w:fill="D2DEEC"/>
          </w:tcPr>
          <w:p>
            <w:pPr>
              <w:spacing w:after="0"/>
              <w:rPr>
                <w:sz w:val="18"/>
                <w:szCs w:val="18"/>
                <w:color w:val="auto"/>
              </w:rPr>
            </w:pPr>
          </w:p>
        </w:tc>
        <w:tc>
          <w:tcPr>
            <w:tcW w:w="860" w:type="dxa"/>
            <w:vAlign w:val="bottom"/>
            <w:tcBorders>
              <w:top w:val="single" w:sz="8" w:color="2360A6"/>
              <w:bottom w:val="single" w:sz="8" w:color="D2DEEC"/>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17,830.3</w:t>
            </w:r>
          </w:p>
        </w:tc>
        <w:tc>
          <w:tcPr>
            <w:tcW w:w="1080" w:type="dxa"/>
            <w:vAlign w:val="bottom"/>
            <w:tcBorders>
              <w:top w:val="single" w:sz="8" w:color="2360A6"/>
              <w:bottom w:val="single" w:sz="8" w:color="D2DEEC"/>
              <w:right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(51.3)</w:t>
            </w:r>
          </w:p>
        </w:tc>
        <w:tc>
          <w:tcPr>
            <w:tcW w:w="1140" w:type="dxa"/>
            <w:vAlign w:val="bottom"/>
            <w:tcBorders>
              <w:top w:val="single" w:sz="8" w:color="2360A6"/>
              <w:bottom w:val="single" w:sz="8" w:color="D2DEEC"/>
            </w:tcBorders>
            <w:shd w:val="clear" w:color="auto" w:fill="D2DEEC"/>
          </w:tcPr>
          <w:p>
            <w:pPr>
              <w:jc w:val="right"/>
              <w:ind w:right="37"/>
              <w:spacing w:after="0"/>
              <w:rPr>
                <w:sz w:val="20"/>
                <w:szCs w:val="20"/>
                <w:color w:val="auto"/>
              </w:rPr>
            </w:pPr>
            <w:r>
              <w:rPr>
                <w:rFonts w:ascii="Arial" w:cs="Arial" w:eastAsia="Arial" w:hAnsi="Arial"/>
                <w:sz w:val="13"/>
                <w:szCs w:val="13"/>
                <w:b w:val="1"/>
                <w:bCs w:val="1"/>
                <w:color w:val="2360A6"/>
              </w:rPr>
              <w:t>17,779.0</w:t>
            </w:r>
          </w:p>
        </w:tc>
        <w:tc>
          <w:tcPr>
            <w:tcW w:w="20" w:type="dxa"/>
            <w:vAlign w:val="bottom"/>
            <w:tcBorders>
              <w:top w:val="single" w:sz="8" w:color="2360A6"/>
            </w:tcBorders>
          </w:tcPr>
          <w:p>
            <w:pPr>
              <w:spacing w:after="0"/>
              <w:rPr>
                <w:sz w:val="18"/>
                <w:szCs w:val="18"/>
                <w:color w:val="auto"/>
              </w:rPr>
            </w:pPr>
          </w:p>
        </w:tc>
      </w:tr>
      <w:tr>
        <w:trPr>
          <w:trHeight w:val="210"/>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 xml:space="preserve">Segment Liabilities </w:t>
            </w:r>
            <w:r>
              <w:rPr>
                <w:rFonts w:ascii="Arial" w:cs="Arial" w:eastAsia="Arial" w:hAnsi="Arial"/>
                <w:sz w:val="8"/>
                <w:szCs w:val="8"/>
                <w:color w:val="231F20"/>
              </w:rPr>
              <w:t>(1)</w:t>
            </w:r>
          </w:p>
        </w:tc>
        <w:tc>
          <w:tcPr>
            <w:tcW w:w="7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3,796.2</w:t>
            </w:r>
          </w:p>
        </w:tc>
        <w:tc>
          <w:tcPr>
            <w:tcW w:w="98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6,332.9</w:t>
            </w:r>
          </w:p>
        </w:tc>
        <w:tc>
          <w:tcPr>
            <w:tcW w:w="8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2,488.8</w:t>
            </w:r>
          </w:p>
        </w:tc>
        <w:tc>
          <w:tcPr>
            <w:tcW w:w="11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12,617.9</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6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12,617.9</w:t>
            </w:r>
          </w:p>
        </w:tc>
        <w:tc>
          <w:tcPr>
            <w:tcW w:w="1080" w:type="dxa"/>
            <w:vAlign w:val="bottom"/>
            <w:tcBorders>
              <w:top w:val="single" w:sz="8" w:color="2360A6"/>
              <w:bottom w:val="single" w:sz="8" w:color="EDEDEE"/>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(47.0)</w:t>
            </w:r>
          </w:p>
        </w:tc>
        <w:tc>
          <w:tcPr>
            <w:tcW w:w="1140" w:type="dxa"/>
            <w:vAlign w:val="bottom"/>
            <w:tcBorders>
              <w:top w:val="single" w:sz="8" w:color="2360A6"/>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231F20"/>
              </w:rPr>
              <w:t>12,570.9</w:t>
            </w:r>
          </w:p>
        </w:tc>
        <w:tc>
          <w:tcPr>
            <w:tcW w:w="20" w:type="dxa"/>
            <w:vAlign w:val="bottom"/>
            <w:tcBorders>
              <w:top w:val="single" w:sz="8" w:color="2360A6"/>
            </w:tcBorders>
          </w:tcPr>
          <w:p>
            <w:pPr>
              <w:spacing w:after="0"/>
              <w:rPr>
                <w:sz w:val="18"/>
                <w:szCs w:val="18"/>
                <w:color w:val="auto"/>
              </w:rPr>
            </w:pPr>
          </w:p>
        </w:tc>
      </w:tr>
      <w:tr>
        <w:trPr>
          <w:trHeight w:val="210"/>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 xml:space="preserve">Unallocated Liabilities </w:t>
            </w:r>
            <w:r>
              <w:rPr>
                <w:rFonts w:ascii="Arial" w:cs="Arial" w:eastAsia="Arial" w:hAnsi="Arial"/>
                <w:sz w:val="8"/>
                <w:szCs w:val="8"/>
                <w:color w:val="231F20"/>
              </w:rPr>
              <w:t>(2)</w:t>
            </w:r>
          </w:p>
        </w:tc>
        <w:tc>
          <w:tcPr>
            <w:tcW w:w="7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98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5,212.4</w:t>
            </w:r>
          </w:p>
        </w:tc>
        <w:tc>
          <w:tcPr>
            <w:tcW w:w="118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5,212.4</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6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5,212.4</w:t>
            </w:r>
          </w:p>
        </w:tc>
        <w:tc>
          <w:tcPr>
            <w:tcW w:w="1080" w:type="dxa"/>
            <w:vAlign w:val="bottom"/>
            <w:tcBorders>
              <w:top w:val="single" w:sz="8" w:color="2360A6"/>
              <w:bottom w:val="single" w:sz="8" w:color="EDEDEE"/>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(4.3)</w:t>
            </w:r>
          </w:p>
        </w:tc>
        <w:tc>
          <w:tcPr>
            <w:tcW w:w="1140" w:type="dxa"/>
            <w:vAlign w:val="bottom"/>
            <w:tcBorders>
              <w:top w:val="single" w:sz="8" w:color="2360A6"/>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231F20"/>
              </w:rPr>
              <w:t>5,208.1</w:t>
            </w:r>
          </w:p>
        </w:tc>
        <w:tc>
          <w:tcPr>
            <w:tcW w:w="20" w:type="dxa"/>
            <w:vAlign w:val="bottom"/>
            <w:tcBorders>
              <w:top w:val="single" w:sz="8" w:color="2360A6"/>
            </w:tcBorders>
          </w:tcPr>
          <w:p>
            <w:pPr>
              <w:spacing w:after="0"/>
              <w:rPr>
                <w:sz w:val="18"/>
                <w:szCs w:val="18"/>
                <w:color w:val="auto"/>
              </w:rPr>
            </w:pPr>
          </w:p>
        </w:tc>
      </w:tr>
      <w:tr>
        <w:trPr>
          <w:trHeight w:val="210"/>
        </w:trPr>
        <w:tc>
          <w:tcPr>
            <w:tcW w:w="2600" w:type="dxa"/>
            <w:vAlign w:val="bottom"/>
            <w:tcBorders>
              <w:top w:val="single" w:sz="8" w:color="2360A6"/>
              <w:bottom w:val="single" w:sz="8" w:color="D2DEEC"/>
              <w:right w:val="single" w:sz="8" w:color="2360A6"/>
            </w:tcBorders>
            <w:shd w:val="clear" w:color="auto" w:fill="D2DEEC"/>
          </w:tcPr>
          <w:p>
            <w:pPr>
              <w:ind w:left="20"/>
              <w:spacing w:after="0"/>
              <w:rPr>
                <w:sz w:val="20"/>
                <w:szCs w:val="20"/>
                <w:color w:val="auto"/>
              </w:rPr>
            </w:pPr>
            <w:r>
              <w:rPr>
                <w:rFonts w:ascii="Arial" w:cs="Arial" w:eastAsia="Arial" w:hAnsi="Arial"/>
                <w:sz w:val="13"/>
                <w:szCs w:val="13"/>
                <w:b w:val="1"/>
                <w:bCs w:val="1"/>
                <w:color w:val="2360A6"/>
              </w:rPr>
              <w:t>TOTAL LIABILITIES AND EQUITY</w:t>
            </w:r>
          </w:p>
        </w:tc>
        <w:tc>
          <w:tcPr>
            <w:tcW w:w="760" w:type="dxa"/>
            <w:vAlign w:val="bottom"/>
            <w:tcBorders>
              <w:top w:val="single" w:sz="8" w:color="2360A6"/>
              <w:bottom w:val="single" w:sz="8" w:color="D2DEEC"/>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3,796.2</w:t>
            </w:r>
          </w:p>
        </w:tc>
        <w:tc>
          <w:tcPr>
            <w:tcW w:w="980" w:type="dxa"/>
            <w:vAlign w:val="bottom"/>
            <w:tcBorders>
              <w:top w:val="single" w:sz="8" w:color="2360A6"/>
              <w:bottom w:val="single" w:sz="8" w:color="D2DEEC"/>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6,332.9</w:t>
            </w:r>
          </w:p>
        </w:tc>
        <w:tc>
          <w:tcPr>
            <w:tcW w:w="860" w:type="dxa"/>
            <w:vAlign w:val="bottom"/>
            <w:tcBorders>
              <w:top w:val="single" w:sz="8" w:color="2360A6"/>
              <w:bottom w:val="single" w:sz="8" w:color="D2DEEC"/>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2,488.8</w:t>
            </w:r>
          </w:p>
        </w:tc>
        <w:tc>
          <w:tcPr>
            <w:tcW w:w="1180" w:type="dxa"/>
            <w:vAlign w:val="bottom"/>
            <w:tcBorders>
              <w:top w:val="single" w:sz="8" w:color="2360A6"/>
              <w:bottom w:val="single" w:sz="8" w:color="D2DEEC"/>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5,212.4</w:t>
            </w:r>
          </w:p>
        </w:tc>
        <w:tc>
          <w:tcPr>
            <w:tcW w:w="1180" w:type="dxa"/>
            <w:vAlign w:val="bottom"/>
            <w:tcBorders>
              <w:top w:val="single" w:sz="8" w:color="2360A6"/>
              <w:bottom w:val="single" w:sz="8" w:color="D2DEEC"/>
            </w:tcBorders>
            <w:shd w:val="clear" w:color="auto" w:fill="D2DEEC"/>
          </w:tcPr>
          <w:p>
            <w:pPr>
              <w:jc w:val="right"/>
              <w:spacing w:after="0"/>
              <w:rPr>
                <w:sz w:val="20"/>
                <w:szCs w:val="20"/>
                <w:color w:val="auto"/>
              </w:rPr>
            </w:pPr>
            <w:r>
              <w:rPr>
                <w:rFonts w:ascii="Arial" w:cs="Arial" w:eastAsia="Arial" w:hAnsi="Arial"/>
                <w:sz w:val="13"/>
                <w:szCs w:val="13"/>
                <w:b w:val="1"/>
                <w:bCs w:val="1"/>
                <w:color w:val="2360A6"/>
              </w:rPr>
              <w:t>17,830.3</w:t>
            </w:r>
          </w:p>
        </w:tc>
        <w:tc>
          <w:tcPr>
            <w:tcW w:w="120" w:type="dxa"/>
            <w:vAlign w:val="bottom"/>
            <w:tcBorders>
              <w:top w:val="single" w:sz="8" w:color="2360A6"/>
              <w:bottom w:val="single" w:sz="8" w:color="D2DEEC"/>
              <w:right w:val="single" w:sz="8" w:color="2360A6"/>
            </w:tcBorders>
            <w:shd w:val="clear" w:color="auto" w:fill="D2DEEC"/>
          </w:tcPr>
          <w:p>
            <w:pPr>
              <w:spacing w:after="0"/>
              <w:rPr>
                <w:sz w:val="18"/>
                <w:szCs w:val="18"/>
                <w:color w:val="auto"/>
              </w:rPr>
            </w:pPr>
          </w:p>
        </w:tc>
        <w:tc>
          <w:tcPr>
            <w:tcW w:w="860" w:type="dxa"/>
            <w:vAlign w:val="bottom"/>
            <w:tcBorders>
              <w:top w:val="single" w:sz="8" w:color="2360A6"/>
              <w:bottom w:val="single" w:sz="8" w:color="D2DEEC"/>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17,830.3</w:t>
            </w:r>
          </w:p>
        </w:tc>
        <w:tc>
          <w:tcPr>
            <w:tcW w:w="1080" w:type="dxa"/>
            <w:vAlign w:val="bottom"/>
            <w:tcBorders>
              <w:top w:val="single" w:sz="8" w:color="2360A6"/>
              <w:bottom w:val="single" w:sz="8" w:color="D2DEEC"/>
              <w:right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(51.3)</w:t>
            </w:r>
          </w:p>
        </w:tc>
        <w:tc>
          <w:tcPr>
            <w:tcW w:w="1140" w:type="dxa"/>
            <w:vAlign w:val="bottom"/>
            <w:tcBorders>
              <w:top w:val="single" w:sz="8" w:color="2360A6"/>
              <w:bottom w:val="single" w:sz="8" w:color="D2DEEC"/>
            </w:tcBorders>
            <w:shd w:val="clear" w:color="auto" w:fill="D2DEEC"/>
          </w:tcPr>
          <w:p>
            <w:pPr>
              <w:jc w:val="right"/>
              <w:ind w:right="37"/>
              <w:spacing w:after="0"/>
              <w:rPr>
                <w:sz w:val="20"/>
                <w:szCs w:val="20"/>
                <w:color w:val="auto"/>
              </w:rPr>
            </w:pPr>
            <w:r>
              <w:rPr>
                <w:rFonts w:ascii="Arial" w:cs="Arial" w:eastAsia="Arial" w:hAnsi="Arial"/>
                <w:sz w:val="13"/>
                <w:szCs w:val="13"/>
                <w:b w:val="1"/>
                <w:bCs w:val="1"/>
                <w:color w:val="2360A6"/>
              </w:rPr>
              <w:t>17,779.0</w:t>
            </w:r>
          </w:p>
        </w:tc>
        <w:tc>
          <w:tcPr>
            <w:tcW w:w="20" w:type="dxa"/>
            <w:vAlign w:val="bottom"/>
            <w:tcBorders>
              <w:top w:val="single" w:sz="8" w:color="2360A6"/>
            </w:tcBorders>
          </w:tcPr>
          <w:p>
            <w:pPr>
              <w:spacing w:after="0"/>
              <w:rPr>
                <w:sz w:val="18"/>
                <w:szCs w:val="18"/>
                <w:color w:val="auto"/>
              </w:rPr>
            </w:pPr>
          </w:p>
        </w:tc>
      </w:tr>
      <w:tr>
        <w:trPr>
          <w:trHeight w:val="264"/>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b w:val="1"/>
                <w:bCs w:val="1"/>
                <w:color w:val="231F20"/>
              </w:rPr>
              <w:t>Other Segment Information</w:t>
            </w:r>
          </w:p>
        </w:tc>
        <w:tc>
          <w:tcPr>
            <w:tcW w:w="76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98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86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118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1180" w:type="dxa"/>
            <w:vAlign w:val="bottom"/>
            <w:tcBorders>
              <w:top w:val="single" w:sz="8" w:color="2360A6"/>
              <w:bottom w:val="single" w:sz="8" w:color="EDEDEE"/>
            </w:tcBorders>
            <w:shd w:val="clear" w:color="auto" w:fill="EDEDEE"/>
          </w:tcPr>
          <w:p>
            <w:pPr>
              <w:spacing w:after="0"/>
              <w:rPr>
                <w:sz w:val="22"/>
                <w:szCs w:val="22"/>
                <w:color w:val="auto"/>
              </w:rPr>
            </w:pPr>
          </w:p>
        </w:tc>
        <w:tc>
          <w:tcPr>
            <w:tcW w:w="12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86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108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1140" w:type="dxa"/>
            <w:vAlign w:val="bottom"/>
            <w:tcBorders>
              <w:top w:val="single" w:sz="8" w:color="2360A6"/>
              <w:bottom w:val="single" w:sz="8" w:color="EDEDEE"/>
            </w:tcBorders>
            <w:shd w:val="clear" w:color="auto" w:fill="EDEDEE"/>
          </w:tcPr>
          <w:p>
            <w:pPr>
              <w:spacing w:after="0"/>
              <w:rPr>
                <w:sz w:val="22"/>
                <w:szCs w:val="22"/>
                <w:color w:val="auto"/>
              </w:rPr>
            </w:pPr>
          </w:p>
        </w:tc>
        <w:tc>
          <w:tcPr>
            <w:tcW w:w="20" w:type="dxa"/>
            <w:vAlign w:val="bottom"/>
            <w:tcBorders>
              <w:top w:val="single" w:sz="8" w:color="2360A6"/>
            </w:tcBorders>
          </w:tcPr>
          <w:p>
            <w:pPr>
              <w:spacing w:after="0"/>
              <w:rPr>
                <w:sz w:val="22"/>
                <w:szCs w:val="22"/>
                <w:color w:val="auto"/>
              </w:rPr>
            </w:pPr>
          </w:p>
        </w:tc>
      </w:tr>
      <w:tr>
        <w:trPr>
          <w:trHeight w:val="210"/>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 xml:space="preserve">Backlog </w:t>
            </w:r>
            <w:r>
              <w:rPr>
                <w:rFonts w:ascii="Arial" w:cs="Arial" w:eastAsia="Arial" w:hAnsi="Arial"/>
                <w:sz w:val="8"/>
                <w:szCs w:val="8"/>
                <w:color w:val="231F20"/>
              </w:rPr>
              <w:t>(3)</w:t>
            </w:r>
          </w:p>
        </w:tc>
        <w:tc>
          <w:tcPr>
            <w:tcW w:w="7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4,690.9</w:t>
            </w:r>
          </w:p>
        </w:tc>
        <w:tc>
          <w:tcPr>
            <w:tcW w:w="98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11,309.0</w:t>
            </w:r>
          </w:p>
        </w:tc>
        <w:tc>
          <w:tcPr>
            <w:tcW w:w="8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15,999.9</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6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15,999.9</w:t>
            </w:r>
          </w:p>
        </w:tc>
        <w:tc>
          <w:tcPr>
            <w:tcW w:w="10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NA</w:t>
            </w:r>
          </w:p>
        </w:tc>
        <w:tc>
          <w:tcPr>
            <w:tcW w:w="1140" w:type="dxa"/>
            <w:vAlign w:val="bottom"/>
            <w:tcBorders>
              <w:top w:val="single" w:sz="8" w:color="2360A6"/>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231F20"/>
              </w:rPr>
              <w:t>NA</w:t>
            </w:r>
          </w:p>
        </w:tc>
        <w:tc>
          <w:tcPr>
            <w:tcW w:w="20" w:type="dxa"/>
            <w:vAlign w:val="bottom"/>
            <w:tcBorders>
              <w:top w:val="single" w:sz="8" w:color="2360A6"/>
            </w:tcBorders>
          </w:tcPr>
          <w:p>
            <w:pPr>
              <w:spacing w:after="0"/>
              <w:rPr>
                <w:sz w:val="18"/>
                <w:szCs w:val="18"/>
                <w:color w:val="auto"/>
              </w:rPr>
            </w:pPr>
          </w:p>
        </w:tc>
      </w:tr>
      <w:tr>
        <w:trPr>
          <w:trHeight w:val="210"/>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 xml:space="preserve">Order Intake </w:t>
            </w:r>
            <w:r>
              <w:rPr>
                <w:rFonts w:ascii="Arial" w:cs="Arial" w:eastAsia="Arial" w:hAnsi="Arial"/>
                <w:sz w:val="8"/>
                <w:szCs w:val="8"/>
                <w:color w:val="231F20"/>
              </w:rPr>
              <w:t>(4)</w:t>
            </w:r>
          </w:p>
        </w:tc>
        <w:tc>
          <w:tcPr>
            <w:tcW w:w="7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2,155.2</w:t>
            </w:r>
          </w:p>
        </w:tc>
        <w:tc>
          <w:tcPr>
            <w:tcW w:w="98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3,333.6</w:t>
            </w:r>
          </w:p>
        </w:tc>
        <w:tc>
          <w:tcPr>
            <w:tcW w:w="8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5,488.8</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6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5,488.8</w:t>
            </w:r>
          </w:p>
        </w:tc>
        <w:tc>
          <w:tcPr>
            <w:tcW w:w="10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NA</w:t>
            </w:r>
          </w:p>
        </w:tc>
        <w:tc>
          <w:tcPr>
            <w:tcW w:w="1140" w:type="dxa"/>
            <w:vAlign w:val="bottom"/>
            <w:tcBorders>
              <w:top w:val="single" w:sz="8" w:color="2360A6"/>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231F20"/>
              </w:rPr>
              <w:t>NA</w:t>
            </w:r>
          </w:p>
        </w:tc>
        <w:tc>
          <w:tcPr>
            <w:tcW w:w="20" w:type="dxa"/>
            <w:vAlign w:val="bottom"/>
            <w:tcBorders>
              <w:top w:val="single" w:sz="8" w:color="2360A6"/>
            </w:tcBorders>
          </w:tcPr>
          <w:p>
            <w:pPr>
              <w:spacing w:after="0"/>
              <w:rPr>
                <w:sz w:val="18"/>
                <w:szCs w:val="18"/>
                <w:color w:val="auto"/>
              </w:rPr>
            </w:pPr>
          </w:p>
        </w:tc>
      </w:tr>
      <w:tr>
        <w:trPr>
          <w:trHeight w:val="264"/>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Capital Expenditures:</w:t>
            </w:r>
          </w:p>
        </w:tc>
        <w:tc>
          <w:tcPr>
            <w:tcW w:w="76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98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86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118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1180" w:type="dxa"/>
            <w:vAlign w:val="bottom"/>
            <w:tcBorders>
              <w:top w:val="single" w:sz="8" w:color="2360A6"/>
              <w:bottom w:val="single" w:sz="8" w:color="EDEDEE"/>
            </w:tcBorders>
            <w:shd w:val="clear" w:color="auto" w:fill="EDEDEE"/>
          </w:tcPr>
          <w:p>
            <w:pPr>
              <w:spacing w:after="0"/>
              <w:rPr>
                <w:sz w:val="22"/>
                <w:szCs w:val="22"/>
                <w:color w:val="auto"/>
              </w:rPr>
            </w:pPr>
          </w:p>
        </w:tc>
        <w:tc>
          <w:tcPr>
            <w:tcW w:w="12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86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108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1140" w:type="dxa"/>
            <w:vAlign w:val="bottom"/>
            <w:tcBorders>
              <w:top w:val="single" w:sz="8" w:color="2360A6"/>
              <w:bottom w:val="single" w:sz="8" w:color="EDEDEE"/>
            </w:tcBorders>
            <w:shd w:val="clear" w:color="auto" w:fill="EDEDEE"/>
          </w:tcPr>
          <w:p>
            <w:pPr>
              <w:spacing w:after="0"/>
              <w:rPr>
                <w:sz w:val="22"/>
                <w:szCs w:val="22"/>
                <w:color w:val="auto"/>
              </w:rPr>
            </w:pPr>
          </w:p>
        </w:tc>
        <w:tc>
          <w:tcPr>
            <w:tcW w:w="20" w:type="dxa"/>
            <w:vAlign w:val="bottom"/>
            <w:tcBorders>
              <w:top w:val="single" w:sz="8" w:color="2360A6"/>
            </w:tcBorders>
          </w:tcPr>
          <w:p>
            <w:pPr>
              <w:spacing w:after="0"/>
              <w:rPr>
                <w:sz w:val="22"/>
                <w:szCs w:val="22"/>
                <w:color w:val="auto"/>
              </w:rPr>
            </w:pPr>
          </w:p>
        </w:tc>
      </w:tr>
      <w:tr>
        <w:trPr>
          <w:trHeight w:val="210"/>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Š Property, Plant and Equipment</w:t>
            </w:r>
          </w:p>
        </w:tc>
        <w:tc>
          <w:tcPr>
            <w:tcW w:w="7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255.1</w:t>
            </w:r>
          </w:p>
        </w:tc>
        <w:tc>
          <w:tcPr>
            <w:tcW w:w="98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19.2</w:t>
            </w:r>
          </w:p>
        </w:tc>
        <w:tc>
          <w:tcPr>
            <w:tcW w:w="8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274.3</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6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274.3</w:t>
            </w:r>
          </w:p>
        </w:tc>
        <w:tc>
          <w:tcPr>
            <w:tcW w:w="1080" w:type="dxa"/>
            <w:vAlign w:val="bottom"/>
            <w:tcBorders>
              <w:top w:val="single" w:sz="8" w:color="2360A6"/>
              <w:bottom w:val="single" w:sz="8" w:color="EDEDEE"/>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(0.6)</w:t>
            </w:r>
          </w:p>
        </w:tc>
        <w:tc>
          <w:tcPr>
            <w:tcW w:w="1140" w:type="dxa"/>
            <w:vAlign w:val="bottom"/>
            <w:tcBorders>
              <w:top w:val="single" w:sz="8" w:color="2360A6"/>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231F20"/>
              </w:rPr>
              <w:t>273.7</w:t>
            </w:r>
          </w:p>
        </w:tc>
        <w:tc>
          <w:tcPr>
            <w:tcW w:w="20" w:type="dxa"/>
            <w:vAlign w:val="bottom"/>
            <w:tcBorders>
              <w:top w:val="single" w:sz="8" w:color="2360A6"/>
            </w:tcBorders>
          </w:tcPr>
          <w:p>
            <w:pPr>
              <w:spacing w:after="0"/>
              <w:rPr>
                <w:sz w:val="18"/>
                <w:szCs w:val="18"/>
                <w:color w:val="auto"/>
              </w:rPr>
            </w:pPr>
          </w:p>
        </w:tc>
      </w:tr>
      <w:tr>
        <w:trPr>
          <w:trHeight w:val="210"/>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Š Intangible Assets</w:t>
            </w:r>
          </w:p>
        </w:tc>
        <w:tc>
          <w:tcPr>
            <w:tcW w:w="7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4.1</w:t>
            </w:r>
          </w:p>
        </w:tc>
        <w:tc>
          <w:tcPr>
            <w:tcW w:w="98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5.1</w:t>
            </w:r>
          </w:p>
        </w:tc>
        <w:tc>
          <w:tcPr>
            <w:tcW w:w="8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9.2</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6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9.2</w:t>
            </w:r>
          </w:p>
        </w:tc>
        <w:tc>
          <w:tcPr>
            <w:tcW w:w="1080" w:type="dxa"/>
            <w:vAlign w:val="bottom"/>
            <w:tcBorders>
              <w:top w:val="single" w:sz="8" w:color="2360A6"/>
              <w:bottom w:val="single" w:sz="8" w:color="EDEDEE"/>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(0.2)</w:t>
            </w:r>
          </w:p>
        </w:tc>
        <w:tc>
          <w:tcPr>
            <w:tcW w:w="1140" w:type="dxa"/>
            <w:vAlign w:val="bottom"/>
            <w:tcBorders>
              <w:top w:val="single" w:sz="8" w:color="2360A6"/>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231F20"/>
              </w:rPr>
              <w:t>9.0</w:t>
            </w:r>
          </w:p>
        </w:tc>
        <w:tc>
          <w:tcPr>
            <w:tcW w:w="20" w:type="dxa"/>
            <w:vAlign w:val="bottom"/>
            <w:tcBorders>
              <w:top w:val="single" w:sz="8" w:color="2360A6"/>
            </w:tcBorders>
          </w:tcPr>
          <w:p>
            <w:pPr>
              <w:spacing w:after="0"/>
              <w:rPr>
                <w:sz w:val="18"/>
                <w:szCs w:val="18"/>
                <w:color w:val="auto"/>
              </w:rPr>
            </w:pPr>
          </w:p>
        </w:tc>
      </w:tr>
      <w:tr>
        <w:trPr>
          <w:trHeight w:val="264"/>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Amortization:</w:t>
            </w:r>
          </w:p>
        </w:tc>
        <w:tc>
          <w:tcPr>
            <w:tcW w:w="76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98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86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118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1180" w:type="dxa"/>
            <w:vAlign w:val="bottom"/>
            <w:tcBorders>
              <w:top w:val="single" w:sz="8" w:color="2360A6"/>
              <w:bottom w:val="single" w:sz="8" w:color="EDEDEE"/>
            </w:tcBorders>
            <w:shd w:val="clear" w:color="auto" w:fill="EDEDEE"/>
          </w:tcPr>
          <w:p>
            <w:pPr>
              <w:spacing w:after="0"/>
              <w:rPr>
                <w:sz w:val="22"/>
                <w:szCs w:val="22"/>
                <w:color w:val="auto"/>
              </w:rPr>
            </w:pPr>
          </w:p>
        </w:tc>
        <w:tc>
          <w:tcPr>
            <w:tcW w:w="12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86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108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1140" w:type="dxa"/>
            <w:vAlign w:val="bottom"/>
            <w:tcBorders>
              <w:top w:val="single" w:sz="8" w:color="2360A6"/>
              <w:bottom w:val="single" w:sz="8" w:color="EDEDEE"/>
            </w:tcBorders>
            <w:shd w:val="clear" w:color="auto" w:fill="EDEDEE"/>
          </w:tcPr>
          <w:p>
            <w:pPr>
              <w:spacing w:after="0"/>
              <w:rPr>
                <w:sz w:val="22"/>
                <w:szCs w:val="22"/>
                <w:color w:val="auto"/>
              </w:rPr>
            </w:pPr>
          </w:p>
        </w:tc>
        <w:tc>
          <w:tcPr>
            <w:tcW w:w="20" w:type="dxa"/>
            <w:vAlign w:val="bottom"/>
            <w:tcBorders>
              <w:top w:val="single" w:sz="8" w:color="2360A6"/>
            </w:tcBorders>
          </w:tcPr>
          <w:p>
            <w:pPr>
              <w:spacing w:after="0"/>
              <w:rPr>
                <w:sz w:val="22"/>
                <w:szCs w:val="22"/>
                <w:color w:val="auto"/>
              </w:rPr>
            </w:pPr>
          </w:p>
        </w:tc>
      </w:tr>
      <w:tr>
        <w:trPr>
          <w:trHeight w:val="210"/>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Š Property, Plant and Equipment</w:t>
            </w:r>
          </w:p>
        </w:tc>
        <w:tc>
          <w:tcPr>
            <w:tcW w:w="76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(232.9)</w:t>
            </w:r>
          </w:p>
        </w:tc>
        <w:tc>
          <w:tcPr>
            <w:tcW w:w="980" w:type="dxa"/>
            <w:vAlign w:val="bottom"/>
            <w:tcBorders>
              <w:top w:val="single" w:sz="8" w:color="2360A6"/>
              <w:bottom w:val="single" w:sz="8" w:color="EDEDEE"/>
              <w:right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color w:val="231F20"/>
              </w:rPr>
              <w:t>(23.8)</w:t>
            </w:r>
          </w:p>
        </w:tc>
        <w:tc>
          <w:tcPr>
            <w:tcW w:w="8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300" w:type="dxa"/>
            <w:vAlign w:val="bottom"/>
            <w:tcBorders>
              <w:top w:val="single" w:sz="8" w:color="2360A6"/>
              <w:bottom w:val="single" w:sz="8" w:color="EDEDEE"/>
              <w:right w:val="single" w:sz="8" w:color="2360A6"/>
            </w:tcBorders>
            <w:gridSpan w:val="2"/>
            <w:shd w:val="clear" w:color="auto" w:fill="EDEDEE"/>
          </w:tcPr>
          <w:p>
            <w:pPr>
              <w:jc w:val="right"/>
              <w:ind w:right="80"/>
              <w:spacing w:after="0"/>
              <w:rPr>
                <w:sz w:val="20"/>
                <w:szCs w:val="20"/>
                <w:color w:val="auto"/>
              </w:rPr>
            </w:pPr>
            <w:r>
              <w:rPr>
                <w:rFonts w:ascii="Arial" w:cs="Arial" w:eastAsia="Arial" w:hAnsi="Arial"/>
                <w:sz w:val="13"/>
                <w:szCs w:val="13"/>
                <w:color w:val="231F20"/>
              </w:rPr>
              <w:t>(256.7)</w:t>
            </w:r>
          </w:p>
        </w:tc>
        <w:tc>
          <w:tcPr>
            <w:tcW w:w="860" w:type="dxa"/>
            <w:vAlign w:val="bottom"/>
            <w:tcBorders>
              <w:top w:val="single" w:sz="8" w:color="2360A6"/>
              <w:bottom w:val="single" w:sz="8" w:color="EDEDEE"/>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(256.7)</w:t>
            </w:r>
          </w:p>
        </w:tc>
        <w:tc>
          <w:tcPr>
            <w:tcW w:w="10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0.8</w:t>
            </w:r>
          </w:p>
        </w:tc>
        <w:tc>
          <w:tcPr>
            <w:tcW w:w="114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(255.9)</w:t>
            </w:r>
          </w:p>
        </w:tc>
        <w:tc>
          <w:tcPr>
            <w:tcW w:w="20" w:type="dxa"/>
            <w:vAlign w:val="bottom"/>
            <w:tcBorders>
              <w:top w:val="single" w:sz="8" w:color="2360A6"/>
            </w:tcBorders>
          </w:tcPr>
          <w:p>
            <w:pPr>
              <w:spacing w:after="0"/>
              <w:rPr>
                <w:sz w:val="18"/>
                <w:szCs w:val="18"/>
                <w:color w:val="auto"/>
              </w:rPr>
            </w:pPr>
          </w:p>
        </w:tc>
      </w:tr>
      <w:tr>
        <w:trPr>
          <w:trHeight w:val="210"/>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Š Intangible Assets</w:t>
            </w:r>
          </w:p>
        </w:tc>
        <w:tc>
          <w:tcPr>
            <w:tcW w:w="76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(7.6)</w:t>
            </w:r>
          </w:p>
        </w:tc>
        <w:tc>
          <w:tcPr>
            <w:tcW w:w="980" w:type="dxa"/>
            <w:vAlign w:val="bottom"/>
            <w:tcBorders>
              <w:top w:val="single" w:sz="8" w:color="2360A6"/>
              <w:bottom w:val="single" w:sz="8" w:color="EDEDEE"/>
              <w:right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color w:val="231F20"/>
              </w:rPr>
              <w:t>(8.2)</w:t>
            </w:r>
          </w:p>
        </w:tc>
        <w:tc>
          <w:tcPr>
            <w:tcW w:w="8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300" w:type="dxa"/>
            <w:vAlign w:val="bottom"/>
            <w:tcBorders>
              <w:top w:val="single" w:sz="8" w:color="2360A6"/>
              <w:bottom w:val="single" w:sz="8" w:color="EDEDEE"/>
              <w:right w:val="single" w:sz="8" w:color="2360A6"/>
            </w:tcBorders>
            <w:gridSpan w:val="2"/>
            <w:shd w:val="clear" w:color="auto" w:fill="EDEDEE"/>
          </w:tcPr>
          <w:p>
            <w:pPr>
              <w:jc w:val="right"/>
              <w:ind w:right="80"/>
              <w:spacing w:after="0"/>
              <w:rPr>
                <w:sz w:val="20"/>
                <w:szCs w:val="20"/>
                <w:color w:val="auto"/>
              </w:rPr>
            </w:pPr>
            <w:r>
              <w:rPr>
                <w:rFonts w:ascii="Arial" w:cs="Arial" w:eastAsia="Arial" w:hAnsi="Arial"/>
                <w:sz w:val="13"/>
                <w:szCs w:val="13"/>
                <w:color w:val="231F20"/>
              </w:rPr>
              <w:t>(15.8)</w:t>
            </w:r>
          </w:p>
        </w:tc>
        <w:tc>
          <w:tcPr>
            <w:tcW w:w="860" w:type="dxa"/>
            <w:vAlign w:val="bottom"/>
            <w:tcBorders>
              <w:top w:val="single" w:sz="8" w:color="2360A6"/>
              <w:bottom w:val="single" w:sz="8" w:color="EDEDEE"/>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(15.8)</w:t>
            </w:r>
          </w:p>
        </w:tc>
        <w:tc>
          <w:tcPr>
            <w:tcW w:w="10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(15.8)</w:t>
            </w:r>
          </w:p>
        </w:tc>
        <w:tc>
          <w:tcPr>
            <w:tcW w:w="20" w:type="dxa"/>
            <w:vAlign w:val="bottom"/>
            <w:tcBorders>
              <w:top w:val="single" w:sz="8" w:color="2360A6"/>
            </w:tcBorders>
          </w:tcPr>
          <w:p>
            <w:pPr>
              <w:spacing w:after="0"/>
              <w:rPr>
                <w:sz w:val="18"/>
                <w:szCs w:val="18"/>
                <w:color w:val="auto"/>
              </w:rPr>
            </w:pPr>
          </w:p>
        </w:tc>
      </w:tr>
      <w:tr>
        <w:trPr>
          <w:trHeight w:val="190"/>
        </w:trPr>
        <w:tc>
          <w:tcPr>
            <w:tcW w:w="2600" w:type="dxa"/>
            <w:vAlign w:val="bottom"/>
            <w:tcBorders>
              <w:top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Impairment of Assets</w:t>
            </w:r>
          </w:p>
        </w:tc>
        <w:tc>
          <w:tcPr>
            <w:tcW w:w="7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98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top w:val="single" w:sz="8" w:color="2360A6"/>
              <w:bottom w:val="single" w:sz="8" w:color="EDEDEE"/>
              <w:right w:val="single" w:sz="8" w:color="2360A6"/>
            </w:tcBorders>
            <w:shd w:val="clear" w:color="auto" w:fill="EDEDEE"/>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top w:val="single" w:sz="8" w:color="2360A6"/>
              <w:bottom w:val="single" w:sz="8" w:color="EDEDEE"/>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(34.5)</w:t>
            </w:r>
          </w:p>
        </w:tc>
        <w:tc>
          <w:tcPr>
            <w:tcW w:w="1300" w:type="dxa"/>
            <w:vAlign w:val="bottom"/>
            <w:tcBorders>
              <w:top w:val="single" w:sz="8" w:color="2360A6"/>
              <w:bottom w:val="single" w:sz="8" w:color="EDEDEE"/>
              <w:right w:val="single" w:sz="8" w:color="2360A6"/>
            </w:tcBorders>
            <w:gridSpan w:val="2"/>
            <w:shd w:val="clear" w:color="auto" w:fill="EDEDEE"/>
          </w:tcPr>
          <w:p>
            <w:pPr>
              <w:jc w:val="right"/>
              <w:ind w:right="80"/>
              <w:spacing w:after="0"/>
              <w:rPr>
                <w:sz w:val="20"/>
                <w:szCs w:val="20"/>
                <w:color w:val="auto"/>
              </w:rPr>
            </w:pPr>
            <w:r>
              <w:rPr>
                <w:rFonts w:ascii="Arial" w:cs="Arial" w:eastAsia="Arial" w:hAnsi="Arial"/>
                <w:sz w:val="13"/>
                <w:szCs w:val="13"/>
                <w:color w:val="231F20"/>
              </w:rPr>
              <w:t>(34.5)</w:t>
            </w:r>
          </w:p>
        </w:tc>
        <w:tc>
          <w:tcPr>
            <w:tcW w:w="860" w:type="dxa"/>
            <w:vAlign w:val="bottom"/>
            <w:tcBorders>
              <w:top w:val="single" w:sz="8" w:color="2360A6"/>
              <w:bottom w:val="single" w:sz="8" w:color="EDEDEE"/>
              <w:right w:val="single" w:sz="8" w:color="2360A6"/>
            </w:tcBorders>
            <w:shd w:val="clear" w:color="auto" w:fill="EDEDEE"/>
          </w:tcPr>
          <w:p>
            <w:pPr>
              <w:jc w:val="right"/>
              <w:ind w:right="17"/>
              <w:spacing w:after="0"/>
              <w:rPr>
                <w:sz w:val="20"/>
                <w:szCs w:val="20"/>
                <w:color w:val="auto"/>
              </w:rPr>
            </w:pPr>
            <w:r>
              <w:rPr>
                <w:rFonts w:ascii="Arial" w:cs="Arial" w:eastAsia="Arial" w:hAnsi="Arial"/>
                <w:sz w:val="13"/>
                <w:szCs w:val="13"/>
                <w:color w:val="231F20"/>
              </w:rPr>
              <w:t>(34.5)</w:t>
            </w:r>
          </w:p>
        </w:tc>
        <w:tc>
          <w:tcPr>
            <w:tcW w:w="1080" w:type="dxa"/>
            <w:vAlign w:val="bottom"/>
            <w:tcBorders>
              <w:top w:val="single" w:sz="8" w:color="2360A6"/>
              <w:bottom w:val="single" w:sz="8" w:color="EDEDEE"/>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(34.5)</w:t>
            </w:r>
          </w:p>
        </w:tc>
        <w:tc>
          <w:tcPr>
            <w:tcW w:w="20" w:type="dxa"/>
            <w:vAlign w:val="bottom"/>
            <w:tcBorders>
              <w:top w:val="single" w:sz="8" w:color="2360A6"/>
            </w:tcBorders>
          </w:tcPr>
          <w:p>
            <w:pPr>
              <w:spacing w:after="0"/>
              <w:rPr>
                <w:sz w:val="16"/>
                <w:szCs w:val="16"/>
                <w:color w:val="auto"/>
              </w:rPr>
            </w:pPr>
          </w:p>
        </w:tc>
      </w:tr>
      <w:tr>
        <w:trPr>
          <w:trHeight w:val="20"/>
        </w:trPr>
        <w:tc>
          <w:tcPr>
            <w:tcW w:w="2600" w:type="dxa"/>
            <w:vAlign w:val="bottom"/>
            <w:tcBorders>
              <w:right w:val="single" w:sz="8" w:color="2360A6"/>
            </w:tcBorders>
            <w:shd w:val="clear" w:color="auto" w:fill="2360A6"/>
          </w:tcPr>
          <w:p>
            <w:pPr>
              <w:spacing w:after="0" w:line="20" w:lineRule="exact"/>
              <w:rPr>
                <w:sz w:val="1"/>
                <w:szCs w:val="1"/>
                <w:color w:val="auto"/>
              </w:rPr>
            </w:pPr>
          </w:p>
        </w:tc>
        <w:tc>
          <w:tcPr>
            <w:tcW w:w="760" w:type="dxa"/>
            <w:vAlign w:val="bottom"/>
            <w:tcBorders>
              <w:right w:val="single" w:sz="8" w:color="2360A6"/>
            </w:tcBorders>
            <w:shd w:val="clear" w:color="auto" w:fill="2360A6"/>
          </w:tcPr>
          <w:p>
            <w:pPr>
              <w:spacing w:after="0" w:line="20" w:lineRule="exact"/>
              <w:rPr>
                <w:sz w:val="1"/>
                <w:szCs w:val="1"/>
                <w:color w:val="auto"/>
              </w:rPr>
            </w:pPr>
          </w:p>
        </w:tc>
        <w:tc>
          <w:tcPr>
            <w:tcW w:w="980" w:type="dxa"/>
            <w:vAlign w:val="bottom"/>
            <w:tcBorders>
              <w:right w:val="single" w:sz="8" w:color="2360A6"/>
            </w:tcBorders>
            <w:shd w:val="clear" w:color="auto" w:fill="2360A6"/>
          </w:tcPr>
          <w:p>
            <w:pPr>
              <w:spacing w:after="0" w:line="20" w:lineRule="exact"/>
              <w:rPr>
                <w:sz w:val="1"/>
                <w:szCs w:val="1"/>
                <w:color w:val="auto"/>
              </w:rPr>
            </w:pPr>
          </w:p>
        </w:tc>
        <w:tc>
          <w:tcPr>
            <w:tcW w:w="860" w:type="dxa"/>
            <w:vAlign w:val="bottom"/>
            <w:tcBorders>
              <w:right w:val="single" w:sz="8" w:color="2360A6"/>
            </w:tcBorders>
            <w:shd w:val="clear" w:color="auto" w:fill="2360A6"/>
          </w:tcPr>
          <w:p>
            <w:pPr>
              <w:spacing w:after="0" w:line="20" w:lineRule="exact"/>
              <w:rPr>
                <w:sz w:val="1"/>
                <w:szCs w:val="1"/>
                <w:color w:val="auto"/>
              </w:rPr>
            </w:pPr>
          </w:p>
        </w:tc>
        <w:tc>
          <w:tcPr>
            <w:tcW w:w="1180" w:type="dxa"/>
            <w:vAlign w:val="bottom"/>
            <w:tcBorders>
              <w:right w:val="single" w:sz="8" w:color="2360A6"/>
            </w:tcBorders>
            <w:shd w:val="clear" w:color="auto" w:fill="2360A6"/>
          </w:tcPr>
          <w:p>
            <w:pPr>
              <w:spacing w:after="0" w:line="20" w:lineRule="exact"/>
              <w:rPr>
                <w:sz w:val="1"/>
                <w:szCs w:val="1"/>
                <w:color w:val="auto"/>
              </w:rPr>
            </w:pPr>
          </w:p>
        </w:tc>
        <w:tc>
          <w:tcPr>
            <w:tcW w:w="1180" w:type="dxa"/>
            <w:vAlign w:val="bottom"/>
            <w:shd w:val="clear" w:color="auto" w:fill="2360A6"/>
          </w:tcPr>
          <w:p>
            <w:pPr>
              <w:spacing w:after="0" w:line="20" w:lineRule="exact"/>
              <w:rPr>
                <w:sz w:val="1"/>
                <w:szCs w:val="1"/>
                <w:color w:val="auto"/>
              </w:rPr>
            </w:pPr>
          </w:p>
        </w:tc>
        <w:tc>
          <w:tcPr>
            <w:tcW w:w="120" w:type="dxa"/>
            <w:vAlign w:val="bottom"/>
            <w:tcBorders>
              <w:right w:val="single" w:sz="8" w:color="2360A6"/>
            </w:tcBorders>
            <w:shd w:val="clear" w:color="auto" w:fill="2360A6"/>
          </w:tcPr>
          <w:p>
            <w:pPr>
              <w:spacing w:after="0" w:line="20" w:lineRule="exact"/>
              <w:rPr>
                <w:sz w:val="1"/>
                <w:szCs w:val="1"/>
                <w:color w:val="auto"/>
              </w:rPr>
            </w:pPr>
          </w:p>
        </w:tc>
        <w:tc>
          <w:tcPr>
            <w:tcW w:w="860" w:type="dxa"/>
            <w:vAlign w:val="bottom"/>
            <w:tcBorders>
              <w:right w:val="single" w:sz="8" w:color="2360A6"/>
            </w:tcBorders>
            <w:shd w:val="clear" w:color="auto" w:fill="2360A6"/>
          </w:tcPr>
          <w:p>
            <w:pPr>
              <w:spacing w:after="0" w:line="20" w:lineRule="exact"/>
              <w:rPr>
                <w:sz w:val="1"/>
                <w:szCs w:val="1"/>
                <w:color w:val="auto"/>
              </w:rPr>
            </w:pPr>
          </w:p>
        </w:tc>
        <w:tc>
          <w:tcPr>
            <w:tcW w:w="1080" w:type="dxa"/>
            <w:vAlign w:val="bottom"/>
            <w:tcBorders>
              <w:right w:val="single" w:sz="8" w:color="2360A6"/>
            </w:tcBorders>
            <w:shd w:val="clear" w:color="auto" w:fill="2360A6"/>
          </w:tcPr>
          <w:p>
            <w:pPr>
              <w:spacing w:after="0" w:line="20" w:lineRule="exact"/>
              <w:rPr>
                <w:sz w:val="1"/>
                <w:szCs w:val="1"/>
                <w:color w:val="auto"/>
              </w:rPr>
            </w:pPr>
          </w:p>
        </w:tc>
        <w:tc>
          <w:tcPr>
            <w:tcW w:w="1140" w:type="dxa"/>
            <w:vAlign w:val="bottom"/>
            <w:shd w:val="clear" w:color="auto" w:fill="2360A6"/>
          </w:tcPr>
          <w:p>
            <w:pPr>
              <w:spacing w:after="0" w:line="20" w:lineRule="exact"/>
              <w:rPr>
                <w:sz w:val="1"/>
                <w:szCs w:val="1"/>
                <w:color w:val="auto"/>
              </w:rPr>
            </w:pPr>
          </w:p>
        </w:tc>
        <w:tc>
          <w:tcPr>
            <w:tcW w:w="20" w:type="dxa"/>
            <w:vAlign w:val="bottom"/>
            <w:shd w:val="clear" w:color="auto" w:fill="2360A6"/>
          </w:tcPr>
          <w:p>
            <w:pPr>
              <w:spacing w:after="0" w:line="20" w:lineRule="exact"/>
              <w:rPr>
                <w:sz w:val="1"/>
                <w:szCs w:val="1"/>
                <w:color w:val="auto"/>
              </w:rPr>
            </w:pPr>
          </w:p>
        </w:tc>
      </w:tr>
    </w:tbl>
    <w:p>
      <w:pPr>
        <w:spacing w:after="0" w:line="221" w:lineRule="exact"/>
        <w:rPr>
          <w:sz w:val="20"/>
          <w:szCs w:val="20"/>
          <w:color w:val="auto"/>
        </w:rPr>
      </w:pPr>
    </w:p>
    <w:p>
      <w:pPr>
        <w:ind w:left="300"/>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2"/>
          <w:szCs w:val="12"/>
          <w:color w:val="231F20"/>
        </w:rPr>
        <w:t>Segment liabilities allocated to the Corporate segment include financial debts such as bonds and other bank borrowings.</w:t>
      </w:r>
    </w:p>
    <w:p>
      <w:pPr>
        <w:ind w:left="300"/>
        <w:spacing w:after="0" w:line="234" w:lineRule="auto"/>
        <w:rPr>
          <w:sz w:val="20"/>
          <w:szCs w:val="20"/>
          <w:color w:val="auto"/>
        </w:rPr>
      </w:pPr>
      <w:r>
        <w:rPr>
          <w:rFonts w:ascii="Arial" w:cs="Arial" w:eastAsia="Arial" w:hAnsi="Arial"/>
          <w:sz w:val="9"/>
          <w:szCs w:val="9"/>
          <w:color w:val="231F20"/>
        </w:rPr>
        <w:t xml:space="preserve">(2) </w:t>
      </w:r>
      <w:r>
        <w:rPr>
          <w:rFonts w:ascii="Arial" w:cs="Arial" w:eastAsia="Arial" w:hAnsi="Arial"/>
          <w:sz w:val="12"/>
          <w:szCs w:val="12"/>
          <w:color w:val="231F20"/>
        </w:rPr>
        <w:t>Non allocable liabilities essentially include shareholders’ equity.</w:t>
      </w:r>
    </w:p>
    <w:p>
      <w:pPr>
        <w:spacing w:after="0" w:line="1" w:lineRule="exact"/>
        <w:rPr>
          <w:sz w:val="20"/>
          <w:szCs w:val="20"/>
          <w:color w:val="auto"/>
        </w:rPr>
      </w:pPr>
    </w:p>
    <w:p>
      <w:pPr>
        <w:ind w:left="300" w:right="200"/>
        <w:spacing w:after="0" w:line="258" w:lineRule="auto"/>
        <w:rPr>
          <w:sz w:val="20"/>
          <w:szCs w:val="20"/>
          <w:color w:val="auto"/>
        </w:rPr>
      </w:pPr>
      <w:r>
        <w:rPr>
          <w:rFonts w:ascii="Arial" w:cs="Arial" w:eastAsia="Arial" w:hAnsi="Arial"/>
          <w:sz w:val="9"/>
          <w:szCs w:val="9"/>
          <w:color w:val="231F20"/>
        </w:rPr>
        <w:t xml:space="preserve">(3) </w:t>
      </w:r>
      <w:r>
        <w:rPr>
          <w:rFonts w:ascii="Arial" w:cs="Arial" w:eastAsia="Arial" w:hAnsi="Arial"/>
          <w:sz w:val="12"/>
          <w:szCs w:val="12"/>
          <w:color w:val="231F20"/>
        </w:rPr>
        <w:t>Corresponds to ongoing contracts to be delivered. The backlog is defined as the difference at a specified date between the aggregate contractual sale price of all contracts in force and the</w:t>
      </w:r>
      <w:r>
        <w:rPr>
          <w:rFonts w:ascii="Arial" w:cs="Arial" w:eastAsia="Arial" w:hAnsi="Arial"/>
          <w:sz w:val="9"/>
          <w:szCs w:val="9"/>
          <w:color w:val="231F20"/>
        </w:rPr>
        <w:t xml:space="preserve"> </w:t>
      </w:r>
      <w:r>
        <w:rPr>
          <w:rFonts w:ascii="Arial" w:cs="Arial" w:eastAsia="Arial" w:hAnsi="Arial"/>
          <w:sz w:val="12"/>
          <w:szCs w:val="12"/>
          <w:color w:val="231F20"/>
        </w:rPr>
        <w:t>cumulative revenues recognized from these contracts as of that date.</w:t>
      </w:r>
    </w:p>
    <w:p>
      <w:pPr>
        <w:ind w:left="300"/>
        <w:spacing w:after="0"/>
        <w:rPr>
          <w:sz w:val="20"/>
          <w:szCs w:val="20"/>
          <w:color w:val="auto"/>
        </w:rPr>
      </w:pPr>
      <w:r>
        <w:rPr>
          <w:rFonts w:ascii="Arial" w:cs="Arial" w:eastAsia="Arial" w:hAnsi="Arial"/>
          <w:sz w:val="9"/>
          <w:szCs w:val="9"/>
          <w:color w:val="231F20"/>
        </w:rPr>
        <w:t xml:space="preserve">(4) </w:t>
      </w:r>
      <w:r>
        <w:rPr>
          <w:rFonts w:ascii="Arial" w:cs="Arial" w:eastAsia="Arial" w:hAnsi="Arial"/>
          <w:sz w:val="12"/>
          <w:szCs w:val="12"/>
          <w:color w:val="231F20"/>
        </w:rPr>
        <w:t>Corresponds to signed contracts which have come into force.</w:t>
      </w:r>
    </w:p>
    <w:p>
      <w:pPr>
        <w:sectPr>
          <w:pgSz w:w="11900" w:h="16838" w:orient="portrait"/>
          <w:cols w:equalWidth="0" w:num="1">
            <w:col w:w="11040"/>
          </w:cols>
          <w:pgMar w:left="320" w:top="694" w:right="5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6"/>
        </w:trPr>
        <w:tc>
          <w:tcPr>
            <w:tcW w:w="2060" w:type="dxa"/>
            <w:vAlign w:val="bottom"/>
            <w:tcBorders>
              <w:top w:val="single" w:sz="8" w:color="2360A6"/>
              <w:right w:val="single" w:sz="8" w:color="2360A6"/>
            </w:tcBorders>
          </w:tcPr>
          <w:p>
            <w:pPr>
              <w:spacing w:after="0"/>
              <w:rPr>
                <w:sz w:val="17"/>
                <w:szCs w:val="17"/>
                <w:color w:val="auto"/>
              </w:rPr>
            </w:pPr>
          </w:p>
        </w:tc>
        <w:tc>
          <w:tcPr>
            <w:tcW w:w="860" w:type="dxa"/>
            <w:vAlign w:val="bottom"/>
            <w:tcBorders>
              <w:top w:val="single" w:sz="8" w:color="2360A6"/>
              <w:bottom w:val="single" w:sz="8" w:color="2360A6"/>
            </w:tcBorders>
          </w:tcPr>
          <w:p>
            <w:pPr>
              <w:spacing w:after="0"/>
              <w:rPr>
                <w:sz w:val="17"/>
                <w:szCs w:val="17"/>
                <w:color w:val="auto"/>
              </w:rPr>
            </w:pPr>
          </w:p>
        </w:tc>
        <w:tc>
          <w:tcPr>
            <w:tcW w:w="1080" w:type="dxa"/>
            <w:vAlign w:val="bottom"/>
            <w:tcBorders>
              <w:top w:val="single" w:sz="8" w:color="2360A6"/>
              <w:bottom w:val="single" w:sz="8" w:color="2360A6"/>
            </w:tcBorders>
          </w:tcPr>
          <w:p>
            <w:pPr>
              <w:spacing w:after="0"/>
              <w:rPr>
                <w:sz w:val="17"/>
                <w:szCs w:val="17"/>
                <w:color w:val="auto"/>
              </w:rPr>
            </w:pPr>
          </w:p>
        </w:tc>
        <w:tc>
          <w:tcPr>
            <w:tcW w:w="980" w:type="dxa"/>
            <w:vAlign w:val="bottom"/>
            <w:tcBorders>
              <w:top w:val="single" w:sz="8" w:color="2360A6"/>
              <w:bottom w:val="single" w:sz="8" w:color="2360A6"/>
            </w:tcBorders>
          </w:tcPr>
          <w:p>
            <w:pPr>
              <w:spacing w:after="0"/>
              <w:rPr>
                <w:sz w:val="17"/>
                <w:szCs w:val="17"/>
                <w:color w:val="auto"/>
              </w:rPr>
            </w:pPr>
          </w:p>
        </w:tc>
        <w:tc>
          <w:tcPr>
            <w:tcW w:w="1300" w:type="dxa"/>
            <w:vAlign w:val="bottom"/>
            <w:tcBorders>
              <w:top w:val="single" w:sz="8" w:color="2360A6"/>
              <w:bottom w:val="single" w:sz="8" w:color="2360A6"/>
            </w:tcBorders>
          </w:tcPr>
          <w:p>
            <w:pPr>
              <w:spacing w:after="0"/>
              <w:rPr>
                <w:sz w:val="17"/>
                <w:szCs w:val="17"/>
                <w:color w:val="auto"/>
              </w:rPr>
            </w:pPr>
          </w:p>
        </w:tc>
        <w:tc>
          <w:tcPr>
            <w:tcW w:w="1180" w:type="dxa"/>
            <w:vAlign w:val="bottom"/>
            <w:tcBorders>
              <w:top w:val="single" w:sz="8" w:color="2360A6"/>
              <w:bottom w:val="single" w:sz="8" w:color="2360A6"/>
            </w:tcBorders>
          </w:tcPr>
          <w:p>
            <w:pPr>
              <w:jc w:val="right"/>
              <w:ind w:right="857"/>
              <w:spacing w:after="0"/>
              <w:rPr>
                <w:sz w:val="20"/>
                <w:szCs w:val="20"/>
                <w:color w:val="auto"/>
              </w:rPr>
            </w:pPr>
            <w:r>
              <w:rPr>
                <w:rFonts w:ascii="Arial" w:cs="Arial" w:eastAsia="Arial" w:hAnsi="Arial"/>
                <w:sz w:val="13"/>
                <w:szCs w:val="13"/>
                <w:b w:val="1"/>
                <w:bCs w:val="1"/>
                <w:color w:val="2360A6"/>
                <w:w w:val="82"/>
              </w:rPr>
              <w:t>2015</w:t>
            </w:r>
          </w:p>
        </w:tc>
        <w:tc>
          <w:tcPr>
            <w:tcW w:w="840" w:type="dxa"/>
            <w:vAlign w:val="bottom"/>
            <w:tcBorders>
              <w:top w:val="single" w:sz="8" w:color="2360A6"/>
              <w:bottom w:val="single" w:sz="8" w:color="2360A6"/>
            </w:tcBorders>
          </w:tcPr>
          <w:p>
            <w:pPr>
              <w:spacing w:after="0"/>
              <w:rPr>
                <w:sz w:val="17"/>
                <w:szCs w:val="17"/>
                <w:color w:val="auto"/>
              </w:rPr>
            </w:pPr>
          </w:p>
        </w:tc>
        <w:tc>
          <w:tcPr>
            <w:tcW w:w="1160" w:type="dxa"/>
            <w:vAlign w:val="bottom"/>
            <w:tcBorders>
              <w:top w:val="single" w:sz="8" w:color="2360A6"/>
              <w:bottom w:val="single" w:sz="8" w:color="2360A6"/>
            </w:tcBorders>
          </w:tcPr>
          <w:p>
            <w:pPr>
              <w:spacing w:after="0"/>
              <w:rPr>
                <w:sz w:val="17"/>
                <w:szCs w:val="17"/>
                <w:color w:val="auto"/>
              </w:rPr>
            </w:pPr>
          </w:p>
        </w:tc>
        <w:tc>
          <w:tcPr>
            <w:tcW w:w="1240" w:type="dxa"/>
            <w:vAlign w:val="bottom"/>
            <w:tcBorders>
              <w:top w:val="single" w:sz="8" w:color="2360A6"/>
              <w:bottom w:val="single" w:sz="8" w:color="2360A6"/>
            </w:tcBorders>
          </w:tcPr>
          <w:p>
            <w:pPr>
              <w:spacing w:after="0"/>
              <w:rPr>
                <w:sz w:val="17"/>
                <w:szCs w:val="17"/>
                <w:color w:val="auto"/>
              </w:rPr>
            </w:pPr>
          </w:p>
        </w:tc>
        <w:tc>
          <w:tcPr>
            <w:tcW w:w="20" w:type="dxa"/>
            <w:vAlign w:val="bottom"/>
            <w:tcBorders>
              <w:top w:val="single" w:sz="8" w:color="2360A6"/>
              <w:bottom w:val="single" w:sz="8" w:color="2360A6"/>
            </w:tcBorders>
          </w:tcPr>
          <w:p>
            <w:pPr>
              <w:spacing w:after="0"/>
              <w:rPr>
                <w:sz w:val="17"/>
                <w:szCs w:val="17"/>
                <w:color w:val="auto"/>
              </w:rPr>
            </w:pPr>
          </w:p>
        </w:tc>
      </w:tr>
      <w:tr>
        <w:trPr>
          <w:trHeight w:val="140"/>
        </w:trPr>
        <w:tc>
          <w:tcPr>
            <w:tcW w:w="2060" w:type="dxa"/>
            <w:vAlign w:val="bottom"/>
            <w:tcBorders>
              <w:right w:val="single" w:sz="8" w:color="2360A6"/>
            </w:tcBorders>
          </w:tcPr>
          <w:p>
            <w:pPr>
              <w:spacing w:after="0"/>
              <w:rPr>
                <w:sz w:val="12"/>
                <w:szCs w:val="12"/>
                <w:color w:val="auto"/>
              </w:rPr>
            </w:pPr>
          </w:p>
        </w:tc>
        <w:tc>
          <w:tcPr>
            <w:tcW w:w="860" w:type="dxa"/>
            <w:vAlign w:val="bottom"/>
            <w:tcBorders>
              <w:right w:val="single" w:sz="8" w:color="2360A6"/>
            </w:tcBorders>
          </w:tcPr>
          <w:p>
            <w:pPr>
              <w:spacing w:after="0"/>
              <w:rPr>
                <w:sz w:val="12"/>
                <w:szCs w:val="12"/>
                <w:color w:val="auto"/>
              </w:rPr>
            </w:pPr>
          </w:p>
        </w:tc>
        <w:tc>
          <w:tcPr>
            <w:tcW w:w="1080" w:type="dxa"/>
            <w:vAlign w:val="bottom"/>
            <w:tcBorders>
              <w:right w:val="single" w:sz="8" w:color="2360A6"/>
            </w:tcBorders>
          </w:tcPr>
          <w:p>
            <w:pPr>
              <w:jc w:val="right"/>
              <w:ind w:right="57"/>
              <w:spacing w:after="0" w:line="140" w:lineRule="exact"/>
              <w:rPr>
                <w:sz w:val="20"/>
                <w:szCs w:val="20"/>
                <w:color w:val="auto"/>
              </w:rPr>
            </w:pPr>
            <w:r>
              <w:rPr>
                <w:rFonts w:ascii="Arial" w:cs="Arial" w:eastAsia="Arial" w:hAnsi="Arial"/>
                <w:sz w:val="13"/>
                <w:szCs w:val="13"/>
                <w:b w:val="1"/>
                <w:bCs w:val="1"/>
                <w:color w:val="2360A6"/>
              </w:rPr>
              <w:t>Onshore/</w:t>
            </w:r>
          </w:p>
        </w:tc>
        <w:tc>
          <w:tcPr>
            <w:tcW w:w="980" w:type="dxa"/>
            <w:vAlign w:val="bottom"/>
            <w:tcBorders>
              <w:right w:val="single" w:sz="8" w:color="2360A6"/>
            </w:tcBorders>
          </w:tcPr>
          <w:p>
            <w:pPr>
              <w:spacing w:after="0"/>
              <w:rPr>
                <w:sz w:val="12"/>
                <w:szCs w:val="12"/>
                <w:color w:val="auto"/>
              </w:rPr>
            </w:pPr>
          </w:p>
        </w:tc>
        <w:tc>
          <w:tcPr>
            <w:tcW w:w="1300" w:type="dxa"/>
            <w:vAlign w:val="bottom"/>
            <w:tcBorders>
              <w:right w:val="single" w:sz="8" w:color="2360A6"/>
            </w:tcBorders>
          </w:tcPr>
          <w:p>
            <w:pPr>
              <w:jc w:val="right"/>
              <w:ind w:right="77"/>
              <w:spacing w:after="0" w:line="140" w:lineRule="exact"/>
              <w:rPr>
                <w:sz w:val="20"/>
                <w:szCs w:val="20"/>
                <w:color w:val="auto"/>
              </w:rPr>
            </w:pPr>
            <w:r>
              <w:rPr>
                <w:rFonts w:ascii="Arial" w:cs="Arial" w:eastAsia="Arial" w:hAnsi="Arial"/>
                <w:sz w:val="13"/>
                <w:szCs w:val="13"/>
                <w:b w:val="1"/>
                <w:bCs w:val="1"/>
                <w:color w:val="2360A6"/>
              </w:rPr>
              <w:t>Non Allocable and</w:t>
            </w:r>
          </w:p>
        </w:tc>
        <w:tc>
          <w:tcPr>
            <w:tcW w:w="1180" w:type="dxa"/>
            <w:vAlign w:val="bottom"/>
            <w:tcBorders>
              <w:right w:val="single" w:sz="8" w:color="2360A6"/>
            </w:tcBorders>
          </w:tcPr>
          <w:p>
            <w:pPr>
              <w:jc w:val="right"/>
              <w:ind w:right="57"/>
              <w:spacing w:after="0" w:line="140" w:lineRule="exact"/>
              <w:rPr>
                <w:sz w:val="20"/>
                <w:szCs w:val="20"/>
                <w:color w:val="auto"/>
              </w:rPr>
            </w:pPr>
            <w:r>
              <w:rPr>
                <w:rFonts w:ascii="Arial" w:cs="Arial" w:eastAsia="Arial" w:hAnsi="Arial"/>
                <w:sz w:val="13"/>
                <w:szCs w:val="13"/>
                <w:b w:val="1"/>
                <w:bCs w:val="1"/>
                <w:color w:val="2360A6"/>
              </w:rPr>
              <w:t>Total Continuing</w:t>
            </w:r>
          </w:p>
        </w:tc>
        <w:tc>
          <w:tcPr>
            <w:tcW w:w="840" w:type="dxa"/>
            <w:vAlign w:val="bottom"/>
            <w:tcBorders>
              <w:right w:val="single" w:sz="8" w:color="2360A6"/>
            </w:tcBorders>
          </w:tcPr>
          <w:p>
            <w:pPr>
              <w:jc w:val="right"/>
              <w:ind w:right="57"/>
              <w:spacing w:after="0" w:line="140" w:lineRule="exact"/>
              <w:rPr>
                <w:sz w:val="20"/>
                <w:szCs w:val="20"/>
                <w:color w:val="auto"/>
              </w:rPr>
            </w:pPr>
            <w:r>
              <w:rPr>
                <w:rFonts w:ascii="Arial" w:cs="Arial" w:eastAsia="Arial" w:hAnsi="Arial"/>
                <w:sz w:val="13"/>
                <w:szCs w:val="13"/>
                <w:b w:val="1"/>
                <w:bCs w:val="1"/>
                <w:color w:val="2360A6"/>
              </w:rPr>
              <w:t>Total</w:t>
            </w:r>
          </w:p>
        </w:tc>
        <w:tc>
          <w:tcPr>
            <w:tcW w:w="1160" w:type="dxa"/>
            <w:vAlign w:val="bottom"/>
            <w:tcBorders>
              <w:right w:val="single" w:sz="8" w:color="2360A6"/>
            </w:tcBorders>
          </w:tcPr>
          <w:p>
            <w:pPr>
              <w:spacing w:after="0"/>
              <w:rPr>
                <w:sz w:val="12"/>
                <w:szCs w:val="12"/>
                <w:color w:val="auto"/>
              </w:rPr>
            </w:pPr>
          </w:p>
        </w:tc>
        <w:tc>
          <w:tcPr>
            <w:tcW w:w="1240" w:type="dxa"/>
            <w:vAlign w:val="bottom"/>
          </w:tcPr>
          <w:p>
            <w:pPr>
              <w:jc w:val="right"/>
              <w:ind w:right="17"/>
              <w:spacing w:after="0" w:line="140" w:lineRule="exact"/>
              <w:rPr>
                <w:sz w:val="20"/>
                <w:szCs w:val="20"/>
                <w:color w:val="auto"/>
              </w:rPr>
            </w:pPr>
            <w:r>
              <w:rPr>
                <w:rFonts w:ascii="Arial" w:cs="Arial" w:eastAsia="Arial" w:hAnsi="Arial"/>
                <w:sz w:val="13"/>
                <w:szCs w:val="13"/>
                <w:b w:val="1"/>
                <w:bCs w:val="1"/>
                <w:color w:val="2360A6"/>
              </w:rPr>
              <w:t>Total</w:t>
            </w:r>
          </w:p>
        </w:tc>
        <w:tc>
          <w:tcPr>
            <w:tcW w:w="20" w:type="dxa"/>
            <w:vAlign w:val="bottom"/>
          </w:tcPr>
          <w:p>
            <w:pPr>
              <w:spacing w:after="0"/>
              <w:rPr>
                <w:sz w:val="12"/>
                <w:szCs w:val="12"/>
                <w:color w:val="auto"/>
              </w:rPr>
            </w:pPr>
          </w:p>
        </w:tc>
      </w:tr>
      <w:tr>
        <w:trPr>
          <w:trHeight w:val="178"/>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In millions of Euro</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Subsea</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Offshore</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Corporate</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Eliminations</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Operations</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Adjusted</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Adjustments</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Consolidated</w:t>
            </w:r>
          </w:p>
        </w:tc>
        <w:tc>
          <w:tcPr>
            <w:tcW w:w="20" w:type="dxa"/>
            <w:vAlign w:val="bottom"/>
            <w:tcBorders>
              <w:bottom w:val="single" w:sz="8" w:color="2360A6"/>
            </w:tcBorders>
          </w:tcPr>
          <w:p>
            <w:pPr>
              <w:spacing w:after="0"/>
              <w:rPr>
                <w:sz w:val="15"/>
                <w:szCs w:val="15"/>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Revenues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5,876.0</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6,332.7</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12,208.7</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12,208.7</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(1,870.8)</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10,337.9</w:t>
            </w:r>
          </w:p>
        </w:tc>
        <w:tc>
          <w:tcPr>
            <w:tcW w:w="20" w:type="dxa"/>
            <w:vAlign w:val="bottom"/>
            <w:tcBorders>
              <w:bottom w:val="single" w:sz="8" w:color="2360A6"/>
            </w:tcBorders>
          </w:tcPr>
          <w:p>
            <w:pPr>
              <w:spacing w:after="0"/>
              <w:rPr>
                <w:sz w:val="18"/>
                <w:szCs w:val="18"/>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Gross Margin</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1,118.3</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363.4</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1,481.7</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1,481.7</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(36.0)</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1,445.7</w:t>
            </w:r>
          </w:p>
        </w:tc>
        <w:tc>
          <w:tcPr>
            <w:tcW w:w="20" w:type="dxa"/>
            <w:vAlign w:val="bottom"/>
            <w:tcBorders>
              <w:bottom w:val="single" w:sz="8" w:color="2360A6"/>
            </w:tcBorders>
          </w:tcPr>
          <w:p>
            <w:pPr>
              <w:spacing w:after="0"/>
              <w:rPr>
                <w:sz w:val="18"/>
                <w:szCs w:val="18"/>
                <w:color w:val="auto"/>
              </w:rPr>
            </w:pPr>
          </w:p>
        </w:tc>
      </w:tr>
      <w:tr>
        <w:trPr>
          <w:trHeight w:val="140"/>
        </w:trPr>
        <w:tc>
          <w:tcPr>
            <w:tcW w:w="2060" w:type="dxa"/>
            <w:vAlign w:val="bottom"/>
            <w:tcBorders>
              <w:right w:val="single" w:sz="8" w:color="2360A6"/>
            </w:tcBorders>
          </w:tcPr>
          <w:p>
            <w:pPr>
              <w:ind w:left="40"/>
              <w:spacing w:after="0" w:line="140" w:lineRule="exact"/>
              <w:rPr>
                <w:sz w:val="20"/>
                <w:szCs w:val="20"/>
                <w:color w:val="auto"/>
              </w:rPr>
            </w:pPr>
            <w:r>
              <w:rPr>
                <w:rFonts w:ascii="Arial" w:cs="Arial" w:eastAsia="Arial" w:hAnsi="Arial"/>
                <w:sz w:val="13"/>
                <w:szCs w:val="13"/>
                <w:b w:val="1"/>
                <w:bCs w:val="1"/>
                <w:color w:val="2360A6"/>
              </w:rPr>
              <w:t>Operating Income/(Loss) from</w:t>
            </w:r>
          </w:p>
        </w:tc>
        <w:tc>
          <w:tcPr>
            <w:tcW w:w="860" w:type="dxa"/>
            <w:vAlign w:val="bottom"/>
            <w:tcBorders>
              <w:right w:val="single" w:sz="8" w:color="2360A6"/>
            </w:tcBorders>
          </w:tcPr>
          <w:p>
            <w:pPr>
              <w:spacing w:after="0"/>
              <w:rPr>
                <w:sz w:val="12"/>
                <w:szCs w:val="12"/>
                <w:color w:val="auto"/>
              </w:rPr>
            </w:pPr>
          </w:p>
        </w:tc>
        <w:tc>
          <w:tcPr>
            <w:tcW w:w="1080" w:type="dxa"/>
            <w:vAlign w:val="bottom"/>
            <w:tcBorders>
              <w:right w:val="single" w:sz="8" w:color="2360A6"/>
            </w:tcBorders>
          </w:tcPr>
          <w:p>
            <w:pPr>
              <w:spacing w:after="0"/>
              <w:rPr>
                <w:sz w:val="12"/>
                <w:szCs w:val="12"/>
                <w:color w:val="auto"/>
              </w:rPr>
            </w:pPr>
          </w:p>
        </w:tc>
        <w:tc>
          <w:tcPr>
            <w:tcW w:w="980" w:type="dxa"/>
            <w:vAlign w:val="bottom"/>
            <w:tcBorders>
              <w:right w:val="single" w:sz="8" w:color="2360A6"/>
            </w:tcBorders>
          </w:tcPr>
          <w:p>
            <w:pPr>
              <w:spacing w:after="0"/>
              <w:rPr>
                <w:sz w:val="12"/>
                <w:szCs w:val="12"/>
                <w:color w:val="auto"/>
              </w:rPr>
            </w:pPr>
          </w:p>
        </w:tc>
        <w:tc>
          <w:tcPr>
            <w:tcW w:w="1300" w:type="dxa"/>
            <w:vAlign w:val="bottom"/>
            <w:tcBorders>
              <w:right w:val="single" w:sz="8" w:color="2360A6"/>
            </w:tcBorders>
          </w:tcPr>
          <w:p>
            <w:pPr>
              <w:spacing w:after="0"/>
              <w:rPr>
                <w:sz w:val="12"/>
                <w:szCs w:val="12"/>
                <w:color w:val="auto"/>
              </w:rPr>
            </w:pPr>
          </w:p>
        </w:tc>
        <w:tc>
          <w:tcPr>
            <w:tcW w:w="1180" w:type="dxa"/>
            <w:vAlign w:val="bottom"/>
            <w:tcBorders>
              <w:right w:val="single" w:sz="8" w:color="2360A6"/>
            </w:tcBorders>
          </w:tcPr>
          <w:p>
            <w:pPr>
              <w:spacing w:after="0"/>
              <w:rPr>
                <w:sz w:val="12"/>
                <w:szCs w:val="12"/>
                <w:color w:val="auto"/>
              </w:rPr>
            </w:pPr>
          </w:p>
        </w:tc>
        <w:tc>
          <w:tcPr>
            <w:tcW w:w="840" w:type="dxa"/>
            <w:vAlign w:val="bottom"/>
            <w:tcBorders>
              <w:right w:val="single" w:sz="8" w:color="2360A6"/>
            </w:tcBorders>
          </w:tcPr>
          <w:p>
            <w:pPr>
              <w:spacing w:after="0"/>
              <w:rPr>
                <w:sz w:val="12"/>
                <w:szCs w:val="12"/>
                <w:color w:val="auto"/>
              </w:rPr>
            </w:pPr>
          </w:p>
        </w:tc>
        <w:tc>
          <w:tcPr>
            <w:tcW w:w="1160" w:type="dxa"/>
            <w:vAlign w:val="bottom"/>
            <w:tcBorders>
              <w:right w:val="single" w:sz="8" w:color="2360A6"/>
            </w:tcBorders>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Recurring Activities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832.0</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32.8</w:t>
            </w:r>
          </w:p>
        </w:tc>
        <w:tc>
          <w:tcPr>
            <w:tcW w:w="9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(82.6)</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782.2</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782.2</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(36.2)</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746.0</w:t>
            </w:r>
          </w:p>
        </w:tc>
        <w:tc>
          <w:tcPr>
            <w:tcW w:w="20" w:type="dxa"/>
            <w:vAlign w:val="bottom"/>
            <w:tcBorders>
              <w:bottom w:val="single" w:sz="8" w:color="2360A6"/>
            </w:tcBorders>
          </w:tcPr>
          <w:p>
            <w:pPr>
              <w:spacing w:after="0"/>
              <w:rPr>
                <w:sz w:val="15"/>
                <w:szCs w:val="15"/>
                <w:color w:val="auto"/>
              </w:rPr>
            </w:pPr>
          </w:p>
        </w:tc>
      </w:tr>
      <w:tr>
        <w:trPr>
          <w:trHeight w:val="156"/>
        </w:trPr>
        <w:tc>
          <w:tcPr>
            <w:tcW w:w="206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Share of Income/(Loss) of Equity</w:t>
            </w:r>
          </w:p>
        </w:tc>
        <w:tc>
          <w:tcPr>
            <w:tcW w:w="86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180" w:type="dxa"/>
            <w:vAlign w:val="bottom"/>
            <w:tcBorders>
              <w:right w:val="single" w:sz="8" w:color="2360A6"/>
            </w:tcBorders>
          </w:tcPr>
          <w:p>
            <w:pPr>
              <w:spacing w:after="0"/>
              <w:rPr>
                <w:sz w:val="13"/>
                <w:szCs w:val="13"/>
                <w:color w:val="auto"/>
              </w:rPr>
            </w:pPr>
          </w:p>
        </w:tc>
        <w:tc>
          <w:tcPr>
            <w:tcW w:w="840" w:type="dxa"/>
            <w:vAlign w:val="bottom"/>
            <w:tcBorders>
              <w:right w:val="single" w:sz="8" w:color="2360A6"/>
            </w:tcBorders>
          </w:tcPr>
          <w:p>
            <w:pPr>
              <w:spacing w:after="0"/>
              <w:rPr>
                <w:sz w:val="13"/>
                <w:szCs w:val="13"/>
                <w:color w:val="auto"/>
              </w:rPr>
            </w:pPr>
          </w:p>
        </w:tc>
        <w:tc>
          <w:tcPr>
            <w:tcW w:w="1160" w:type="dxa"/>
            <w:vAlign w:val="bottom"/>
            <w:tcBorders>
              <w:right w:val="single" w:sz="8" w:color="2360A6"/>
            </w:tcBorders>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Affiliates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19.1</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1.1</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20.2</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20.2</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34.4</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54.6</w:t>
            </w:r>
          </w:p>
        </w:tc>
        <w:tc>
          <w:tcPr>
            <w:tcW w:w="20" w:type="dxa"/>
            <w:vAlign w:val="bottom"/>
            <w:tcBorders>
              <w:bottom w:val="single" w:sz="8" w:color="2360A6"/>
            </w:tcBorders>
          </w:tcPr>
          <w:p>
            <w:pPr>
              <w:spacing w:after="0"/>
              <w:rPr>
                <w:sz w:val="14"/>
                <w:szCs w:val="14"/>
                <w:color w:val="auto"/>
              </w:rPr>
            </w:pPr>
          </w:p>
        </w:tc>
      </w:tr>
      <w:tr>
        <w:trPr>
          <w:trHeight w:val="140"/>
        </w:trPr>
        <w:tc>
          <w:tcPr>
            <w:tcW w:w="2060" w:type="dxa"/>
            <w:vAlign w:val="bottom"/>
            <w:tcBorders>
              <w:right w:val="single" w:sz="8" w:color="2360A6"/>
            </w:tcBorders>
          </w:tcPr>
          <w:p>
            <w:pPr>
              <w:ind w:left="40"/>
              <w:spacing w:after="0" w:line="140" w:lineRule="exact"/>
              <w:rPr>
                <w:sz w:val="20"/>
                <w:szCs w:val="20"/>
                <w:color w:val="auto"/>
              </w:rPr>
            </w:pPr>
            <w:r>
              <w:rPr>
                <w:rFonts w:ascii="Arial" w:cs="Arial" w:eastAsia="Arial" w:hAnsi="Arial"/>
                <w:sz w:val="13"/>
                <w:szCs w:val="13"/>
                <w:b w:val="1"/>
                <w:bCs w:val="1"/>
                <w:color w:val="2360A6"/>
              </w:rPr>
              <w:t>Operating Income/(Loss) from</w:t>
            </w:r>
          </w:p>
        </w:tc>
        <w:tc>
          <w:tcPr>
            <w:tcW w:w="860" w:type="dxa"/>
            <w:vAlign w:val="bottom"/>
            <w:tcBorders>
              <w:right w:val="single" w:sz="8" w:color="2360A6"/>
            </w:tcBorders>
          </w:tcPr>
          <w:p>
            <w:pPr>
              <w:spacing w:after="0"/>
              <w:rPr>
                <w:sz w:val="12"/>
                <w:szCs w:val="12"/>
                <w:color w:val="auto"/>
              </w:rPr>
            </w:pPr>
          </w:p>
        </w:tc>
        <w:tc>
          <w:tcPr>
            <w:tcW w:w="1080" w:type="dxa"/>
            <w:vAlign w:val="bottom"/>
            <w:tcBorders>
              <w:right w:val="single" w:sz="8" w:color="2360A6"/>
            </w:tcBorders>
          </w:tcPr>
          <w:p>
            <w:pPr>
              <w:spacing w:after="0"/>
              <w:rPr>
                <w:sz w:val="12"/>
                <w:szCs w:val="12"/>
                <w:color w:val="auto"/>
              </w:rPr>
            </w:pPr>
          </w:p>
        </w:tc>
        <w:tc>
          <w:tcPr>
            <w:tcW w:w="980" w:type="dxa"/>
            <w:vAlign w:val="bottom"/>
            <w:tcBorders>
              <w:right w:val="single" w:sz="8" w:color="2360A6"/>
            </w:tcBorders>
          </w:tcPr>
          <w:p>
            <w:pPr>
              <w:spacing w:after="0"/>
              <w:rPr>
                <w:sz w:val="12"/>
                <w:szCs w:val="12"/>
                <w:color w:val="auto"/>
              </w:rPr>
            </w:pPr>
          </w:p>
        </w:tc>
        <w:tc>
          <w:tcPr>
            <w:tcW w:w="1300" w:type="dxa"/>
            <w:vAlign w:val="bottom"/>
            <w:tcBorders>
              <w:right w:val="single" w:sz="8" w:color="2360A6"/>
            </w:tcBorders>
          </w:tcPr>
          <w:p>
            <w:pPr>
              <w:spacing w:after="0"/>
              <w:rPr>
                <w:sz w:val="12"/>
                <w:szCs w:val="12"/>
                <w:color w:val="auto"/>
              </w:rPr>
            </w:pPr>
          </w:p>
        </w:tc>
        <w:tc>
          <w:tcPr>
            <w:tcW w:w="1180" w:type="dxa"/>
            <w:vAlign w:val="bottom"/>
            <w:tcBorders>
              <w:right w:val="single" w:sz="8" w:color="2360A6"/>
            </w:tcBorders>
          </w:tcPr>
          <w:p>
            <w:pPr>
              <w:spacing w:after="0"/>
              <w:rPr>
                <w:sz w:val="12"/>
                <w:szCs w:val="12"/>
                <w:color w:val="auto"/>
              </w:rPr>
            </w:pPr>
          </w:p>
        </w:tc>
        <w:tc>
          <w:tcPr>
            <w:tcW w:w="840" w:type="dxa"/>
            <w:vAlign w:val="bottom"/>
            <w:tcBorders>
              <w:right w:val="single" w:sz="8" w:color="2360A6"/>
            </w:tcBorders>
          </w:tcPr>
          <w:p>
            <w:pPr>
              <w:spacing w:after="0"/>
              <w:rPr>
                <w:sz w:val="12"/>
                <w:szCs w:val="12"/>
                <w:color w:val="auto"/>
              </w:rPr>
            </w:pPr>
          </w:p>
        </w:tc>
        <w:tc>
          <w:tcPr>
            <w:tcW w:w="1160" w:type="dxa"/>
            <w:vAlign w:val="bottom"/>
            <w:tcBorders>
              <w:right w:val="single" w:sz="8" w:color="2360A6"/>
            </w:tcBorders>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2060" w:type="dxa"/>
            <w:vAlign w:val="bottom"/>
            <w:tcBorders>
              <w:right w:val="single" w:sz="8" w:color="2360A6"/>
            </w:tcBorders>
          </w:tcPr>
          <w:p>
            <w:pPr>
              <w:ind w:left="40"/>
              <w:spacing w:after="0" w:line="135" w:lineRule="exact"/>
              <w:rPr>
                <w:sz w:val="20"/>
                <w:szCs w:val="20"/>
                <w:color w:val="auto"/>
              </w:rPr>
            </w:pPr>
            <w:r>
              <w:rPr>
                <w:rFonts w:ascii="Arial" w:cs="Arial" w:eastAsia="Arial" w:hAnsi="Arial"/>
                <w:sz w:val="13"/>
                <w:szCs w:val="13"/>
                <w:b w:val="1"/>
                <w:bCs w:val="1"/>
                <w:color w:val="2360A6"/>
              </w:rPr>
              <w:t>Recurring Activities after</w:t>
            </w:r>
          </w:p>
        </w:tc>
        <w:tc>
          <w:tcPr>
            <w:tcW w:w="860" w:type="dxa"/>
            <w:vAlign w:val="bottom"/>
            <w:tcBorders>
              <w:right w:val="single" w:sz="8" w:color="2360A6"/>
            </w:tcBorders>
          </w:tcPr>
          <w:p>
            <w:pPr>
              <w:spacing w:after="0"/>
              <w:rPr>
                <w:sz w:val="11"/>
                <w:szCs w:val="11"/>
                <w:color w:val="auto"/>
              </w:rPr>
            </w:pPr>
          </w:p>
        </w:tc>
        <w:tc>
          <w:tcPr>
            <w:tcW w:w="1080" w:type="dxa"/>
            <w:vAlign w:val="bottom"/>
            <w:tcBorders>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1300" w:type="dxa"/>
            <w:vAlign w:val="bottom"/>
            <w:tcBorders>
              <w:right w:val="single" w:sz="8" w:color="2360A6"/>
            </w:tcBorders>
          </w:tcPr>
          <w:p>
            <w:pPr>
              <w:spacing w:after="0"/>
              <w:rPr>
                <w:sz w:val="11"/>
                <w:szCs w:val="11"/>
                <w:color w:val="auto"/>
              </w:rPr>
            </w:pPr>
          </w:p>
        </w:tc>
        <w:tc>
          <w:tcPr>
            <w:tcW w:w="1180" w:type="dxa"/>
            <w:vAlign w:val="bottom"/>
            <w:tcBorders>
              <w:right w:val="single" w:sz="8" w:color="2360A6"/>
            </w:tcBorders>
          </w:tcPr>
          <w:p>
            <w:pPr>
              <w:spacing w:after="0"/>
              <w:rPr>
                <w:sz w:val="11"/>
                <w:szCs w:val="11"/>
                <w:color w:val="auto"/>
              </w:rPr>
            </w:pPr>
          </w:p>
        </w:tc>
        <w:tc>
          <w:tcPr>
            <w:tcW w:w="840" w:type="dxa"/>
            <w:vAlign w:val="bottom"/>
            <w:tcBorders>
              <w:right w:val="single" w:sz="8" w:color="2360A6"/>
            </w:tcBorders>
          </w:tcPr>
          <w:p>
            <w:pPr>
              <w:spacing w:after="0"/>
              <w:rPr>
                <w:sz w:val="11"/>
                <w:szCs w:val="11"/>
                <w:color w:val="auto"/>
              </w:rPr>
            </w:pPr>
          </w:p>
        </w:tc>
        <w:tc>
          <w:tcPr>
            <w:tcW w:w="1160" w:type="dxa"/>
            <w:vAlign w:val="bottom"/>
            <w:tcBorders>
              <w:right w:val="single" w:sz="8" w:color="2360A6"/>
            </w:tcBorders>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60" w:type="dxa"/>
            <w:vAlign w:val="bottom"/>
            <w:tcBorders>
              <w:right w:val="single" w:sz="8" w:color="2360A6"/>
            </w:tcBorders>
          </w:tcPr>
          <w:p>
            <w:pPr>
              <w:ind w:left="40"/>
              <w:spacing w:after="0" w:line="135" w:lineRule="exact"/>
              <w:rPr>
                <w:sz w:val="20"/>
                <w:szCs w:val="20"/>
                <w:color w:val="auto"/>
              </w:rPr>
            </w:pPr>
            <w:r>
              <w:rPr>
                <w:rFonts w:ascii="Arial" w:cs="Arial" w:eastAsia="Arial" w:hAnsi="Arial"/>
                <w:sz w:val="13"/>
                <w:szCs w:val="13"/>
                <w:b w:val="1"/>
                <w:bCs w:val="1"/>
                <w:color w:val="2360A6"/>
              </w:rPr>
              <w:t>Income/(Loss) of Equity</w:t>
            </w:r>
          </w:p>
        </w:tc>
        <w:tc>
          <w:tcPr>
            <w:tcW w:w="860" w:type="dxa"/>
            <w:vAlign w:val="bottom"/>
            <w:tcBorders>
              <w:right w:val="single" w:sz="8" w:color="2360A6"/>
            </w:tcBorders>
          </w:tcPr>
          <w:p>
            <w:pPr>
              <w:spacing w:after="0"/>
              <w:rPr>
                <w:sz w:val="11"/>
                <w:szCs w:val="11"/>
                <w:color w:val="auto"/>
              </w:rPr>
            </w:pPr>
          </w:p>
        </w:tc>
        <w:tc>
          <w:tcPr>
            <w:tcW w:w="1080" w:type="dxa"/>
            <w:vAlign w:val="bottom"/>
            <w:tcBorders>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1300" w:type="dxa"/>
            <w:vAlign w:val="bottom"/>
            <w:tcBorders>
              <w:right w:val="single" w:sz="8" w:color="2360A6"/>
            </w:tcBorders>
          </w:tcPr>
          <w:p>
            <w:pPr>
              <w:spacing w:after="0"/>
              <w:rPr>
                <w:sz w:val="11"/>
                <w:szCs w:val="11"/>
                <w:color w:val="auto"/>
              </w:rPr>
            </w:pPr>
          </w:p>
        </w:tc>
        <w:tc>
          <w:tcPr>
            <w:tcW w:w="1180" w:type="dxa"/>
            <w:vAlign w:val="bottom"/>
            <w:tcBorders>
              <w:right w:val="single" w:sz="8" w:color="2360A6"/>
            </w:tcBorders>
          </w:tcPr>
          <w:p>
            <w:pPr>
              <w:spacing w:after="0"/>
              <w:rPr>
                <w:sz w:val="11"/>
                <w:szCs w:val="11"/>
                <w:color w:val="auto"/>
              </w:rPr>
            </w:pPr>
          </w:p>
        </w:tc>
        <w:tc>
          <w:tcPr>
            <w:tcW w:w="840" w:type="dxa"/>
            <w:vAlign w:val="bottom"/>
            <w:tcBorders>
              <w:right w:val="single" w:sz="8" w:color="2360A6"/>
            </w:tcBorders>
          </w:tcPr>
          <w:p>
            <w:pPr>
              <w:spacing w:after="0"/>
              <w:rPr>
                <w:sz w:val="11"/>
                <w:szCs w:val="11"/>
                <w:color w:val="auto"/>
              </w:rPr>
            </w:pPr>
          </w:p>
        </w:tc>
        <w:tc>
          <w:tcPr>
            <w:tcW w:w="1160" w:type="dxa"/>
            <w:vAlign w:val="bottom"/>
            <w:tcBorders>
              <w:right w:val="single" w:sz="8" w:color="2360A6"/>
            </w:tcBorders>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8"/>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Affiliates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851.1</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33.9</w:t>
            </w:r>
          </w:p>
        </w:tc>
        <w:tc>
          <w:tcPr>
            <w:tcW w:w="9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(82.6)</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802.4</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802.4</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(1.8)</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800.6</w:t>
            </w:r>
          </w:p>
        </w:tc>
        <w:tc>
          <w:tcPr>
            <w:tcW w:w="20" w:type="dxa"/>
            <w:vAlign w:val="bottom"/>
            <w:tcBorders>
              <w:bottom w:val="single" w:sz="8" w:color="2360A6"/>
            </w:tcBorders>
          </w:tcPr>
          <w:p>
            <w:pPr>
              <w:spacing w:after="0"/>
              <w:rPr>
                <w:sz w:val="15"/>
                <w:szCs w:val="15"/>
                <w:color w:val="auto"/>
              </w:rPr>
            </w:pPr>
          </w:p>
        </w:tc>
      </w:tr>
      <w:tr>
        <w:trPr>
          <w:trHeight w:val="156"/>
        </w:trPr>
        <w:tc>
          <w:tcPr>
            <w:tcW w:w="206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Income/(Charges) from Disposals</w:t>
            </w:r>
          </w:p>
        </w:tc>
        <w:tc>
          <w:tcPr>
            <w:tcW w:w="86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180" w:type="dxa"/>
            <w:vAlign w:val="bottom"/>
            <w:tcBorders>
              <w:right w:val="single" w:sz="8" w:color="2360A6"/>
            </w:tcBorders>
          </w:tcPr>
          <w:p>
            <w:pPr>
              <w:spacing w:after="0"/>
              <w:rPr>
                <w:sz w:val="13"/>
                <w:szCs w:val="13"/>
                <w:color w:val="auto"/>
              </w:rPr>
            </w:pPr>
          </w:p>
        </w:tc>
        <w:tc>
          <w:tcPr>
            <w:tcW w:w="840" w:type="dxa"/>
            <w:vAlign w:val="bottom"/>
            <w:tcBorders>
              <w:right w:val="single" w:sz="8" w:color="2360A6"/>
            </w:tcBorders>
          </w:tcPr>
          <w:p>
            <w:pPr>
              <w:spacing w:after="0"/>
              <w:rPr>
                <w:sz w:val="13"/>
                <w:szCs w:val="13"/>
                <w:color w:val="auto"/>
              </w:rPr>
            </w:pPr>
          </w:p>
        </w:tc>
        <w:tc>
          <w:tcPr>
            <w:tcW w:w="1160" w:type="dxa"/>
            <w:vAlign w:val="bottom"/>
            <w:tcBorders>
              <w:right w:val="single" w:sz="8" w:color="2360A6"/>
            </w:tcBorders>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of Activities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w:t>
            </w:r>
          </w:p>
        </w:tc>
        <w:tc>
          <w:tcPr>
            <w:tcW w:w="20" w:type="dxa"/>
            <w:vAlign w:val="bottom"/>
            <w:tcBorders>
              <w:bottom w:val="single" w:sz="8" w:color="2360A6"/>
            </w:tcBorders>
          </w:tcPr>
          <w:p>
            <w:pPr>
              <w:spacing w:after="0"/>
              <w:rPr>
                <w:sz w:val="14"/>
                <w:szCs w:val="14"/>
                <w:color w:val="auto"/>
              </w:rPr>
            </w:pPr>
          </w:p>
        </w:tc>
      </w:tr>
      <w:tr>
        <w:trPr>
          <w:trHeight w:val="156"/>
        </w:trPr>
        <w:tc>
          <w:tcPr>
            <w:tcW w:w="206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Income/(Charges) from Non-</w:t>
            </w:r>
          </w:p>
        </w:tc>
        <w:tc>
          <w:tcPr>
            <w:tcW w:w="86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180" w:type="dxa"/>
            <w:vAlign w:val="bottom"/>
            <w:tcBorders>
              <w:right w:val="single" w:sz="8" w:color="2360A6"/>
            </w:tcBorders>
          </w:tcPr>
          <w:p>
            <w:pPr>
              <w:spacing w:after="0"/>
              <w:rPr>
                <w:sz w:val="13"/>
                <w:szCs w:val="13"/>
                <w:color w:val="auto"/>
              </w:rPr>
            </w:pPr>
          </w:p>
        </w:tc>
        <w:tc>
          <w:tcPr>
            <w:tcW w:w="840" w:type="dxa"/>
            <w:vAlign w:val="bottom"/>
            <w:tcBorders>
              <w:right w:val="single" w:sz="8" w:color="2360A6"/>
            </w:tcBorders>
          </w:tcPr>
          <w:p>
            <w:pPr>
              <w:spacing w:after="0"/>
              <w:rPr>
                <w:sz w:val="13"/>
                <w:szCs w:val="13"/>
                <w:color w:val="auto"/>
              </w:rPr>
            </w:pPr>
          </w:p>
        </w:tc>
        <w:tc>
          <w:tcPr>
            <w:tcW w:w="1160" w:type="dxa"/>
            <w:vAlign w:val="bottom"/>
            <w:tcBorders>
              <w:right w:val="single" w:sz="8" w:color="2360A6"/>
            </w:tcBorders>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Current Activities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(1.2)</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(468.6)</w:t>
            </w:r>
          </w:p>
        </w:tc>
        <w:tc>
          <w:tcPr>
            <w:tcW w:w="11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(469.8)</w:t>
            </w:r>
          </w:p>
        </w:tc>
        <w:tc>
          <w:tcPr>
            <w:tcW w:w="8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(469.8)</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(469.8)</w:t>
            </w:r>
          </w:p>
        </w:tc>
        <w:tc>
          <w:tcPr>
            <w:tcW w:w="20" w:type="dxa"/>
            <w:vAlign w:val="bottom"/>
            <w:tcBorders>
              <w:bottom w:val="single" w:sz="8" w:color="2360A6"/>
            </w:tcBorders>
          </w:tcPr>
          <w:p>
            <w:pPr>
              <w:spacing w:after="0"/>
              <w:rPr>
                <w:sz w:val="14"/>
                <w:szCs w:val="14"/>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Operating Income/(Loss)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851.1</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32.7</w:t>
            </w:r>
          </w:p>
        </w:tc>
        <w:tc>
          <w:tcPr>
            <w:tcW w:w="9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(82.6)</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(468.6)</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332.6</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332.6</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(1.8)</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330.8</w:t>
            </w:r>
          </w:p>
        </w:tc>
        <w:tc>
          <w:tcPr>
            <w:tcW w:w="20" w:type="dxa"/>
            <w:vAlign w:val="bottom"/>
            <w:tcBorders>
              <w:bottom w:val="single" w:sz="8" w:color="2360A6"/>
            </w:tcBorders>
          </w:tcPr>
          <w:p>
            <w:pPr>
              <w:spacing w:after="0"/>
              <w:rPr>
                <w:sz w:val="18"/>
                <w:szCs w:val="18"/>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Financial Income/(Expenses)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(157.4)</w:t>
            </w:r>
          </w:p>
        </w:tc>
        <w:tc>
          <w:tcPr>
            <w:tcW w:w="11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(157.4)</w:t>
            </w:r>
          </w:p>
        </w:tc>
        <w:tc>
          <w:tcPr>
            <w:tcW w:w="8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(157.4)</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(0.2)</w:t>
            </w:r>
          </w:p>
        </w:tc>
        <w:tc>
          <w:tcPr>
            <w:tcW w:w="12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(157.6)</w:t>
            </w:r>
          </w:p>
        </w:tc>
        <w:tc>
          <w:tcPr>
            <w:tcW w:w="20" w:type="dxa"/>
            <w:vAlign w:val="bottom"/>
            <w:tcBorders>
              <w:bottom w:val="single" w:sz="8" w:color="2360A6"/>
            </w:tcBorders>
          </w:tcPr>
          <w:p>
            <w:pPr>
              <w:spacing w:after="0"/>
              <w:rPr>
                <w:sz w:val="18"/>
                <w:szCs w:val="18"/>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Income Tax Expense</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(119.0)</w:t>
            </w:r>
          </w:p>
        </w:tc>
        <w:tc>
          <w:tcPr>
            <w:tcW w:w="11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(119.0)</w:t>
            </w:r>
          </w:p>
        </w:tc>
        <w:tc>
          <w:tcPr>
            <w:tcW w:w="8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(119.0)</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2.0</w:t>
            </w:r>
          </w:p>
        </w:tc>
        <w:tc>
          <w:tcPr>
            <w:tcW w:w="12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(117.0)</w:t>
            </w:r>
          </w:p>
        </w:tc>
        <w:tc>
          <w:tcPr>
            <w:tcW w:w="20" w:type="dxa"/>
            <w:vAlign w:val="bottom"/>
            <w:tcBorders>
              <w:bottom w:val="single" w:sz="8" w:color="2360A6"/>
            </w:tcBorders>
          </w:tcPr>
          <w:p>
            <w:pPr>
              <w:spacing w:after="0"/>
              <w:rPr>
                <w:sz w:val="18"/>
                <w:szCs w:val="18"/>
                <w:color w:val="auto"/>
              </w:rPr>
            </w:pPr>
          </w:p>
        </w:tc>
      </w:tr>
      <w:tr>
        <w:trPr>
          <w:trHeight w:val="140"/>
        </w:trPr>
        <w:tc>
          <w:tcPr>
            <w:tcW w:w="2060" w:type="dxa"/>
            <w:vAlign w:val="bottom"/>
            <w:tcBorders>
              <w:right w:val="single" w:sz="8" w:color="2360A6"/>
            </w:tcBorders>
            <w:shd w:val="clear" w:color="auto" w:fill="D2DEEC"/>
          </w:tcPr>
          <w:p>
            <w:pPr>
              <w:ind w:left="40"/>
              <w:spacing w:after="0" w:line="140" w:lineRule="exact"/>
              <w:rPr>
                <w:sz w:val="20"/>
                <w:szCs w:val="20"/>
                <w:color w:val="auto"/>
              </w:rPr>
            </w:pPr>
            <w:r>
              <w:rPr>
                <w:rFonts w:ascii="Arial" w:cs="Arial" w:eastAsia="Arial" w:hAnsi="Arial"/>
                <w:sz w:val="13"/>
                <w:szCs w:val="13"/>
                <w:b w:val="1"/>
                <w:bCs w:val="1"/>
                <w:color w:val="2360A6"/>
              </w:rPr>
              <w:t>NET INCOME/(LOSS) FOR THE</w:t>
            </w:r>
          </w:p>
        </w:tc>
        <w:tc>
          <w:tcPr>
            <w:tcW w:w="860" w:type="dxa"/>
            <w:vAlign w:val="bottom"/>
            <w:tcBorders>
              <w:right w:val="single" w:sz="8" w:color="2360A6"/>
            </w:tcBorders>
            <w:shd w:val="clear" w:color="auto" w:fill="D2DEEC"/>
          </w:tcPr>
          <w:p>
            <w:pPr>
              <w:spacing w:after="0"/>
              <w:rPr>
                <w:sz w:val="12"/>
                <w:szCs w:val="12"/>
                <w:color w:val="auto"/>
              </w:rPr>
            </w:pPr>
          </w:p>
        </w:tc>
        <w:tc>
          <w:tcPr>
            <w:tcW w:w="1080" w:type="dxa"/>
            <w:vAlign w:val="bottom"/>
            <w:tcBorders>
              <w:right w:val="single" w:sz="8" w:color="2360A6"/>
            </w:tcBorders>
            <w:shd w:val="clear" w:color="auto" w:fill="D2DEEC"/>
          </w:tcPr>
          <w:p>
            <w:pPr>
              <w:spacing w:after="0"/>
              <w:rPr>
                <w:sz w:val="12"/>
                <w:szCs w:val="12"/>
                <w:color w:val="auto"/>
              </w:rPr>
            </w:pPr>
          </w:p>
        </w:tc>
        <w:tc>
          <w:tcPr>
            <w:tcW w:w="980" w:type="dxa"/>
            <w:vAlign w:val="bottom"/>
            <w:tcBorders>
              <w:right w:val="single" w:sz="8" w:color="2360A6"/>
            </w:tcBorders>
            <w:shd w:val="clear" w:color="auto" w:fill="D2DEEC"/>
          </w:tcPr>
          <w:p>
            <w:pPr>
              <w:spacing w:after="0"/>
              <w:rPr>
                <w:sz w:val="12"/>
                <w:szCs w:val="12"/>
                <w:color w:val="auto"/>
              </w:rPr>
            </w:pPr>
          </w:p>
        </w:tc>
        <w:tc>
          <w:tcPr>
            <w:tcW w:w="1300" w:type="dxa"/>
            <w:vAlign w:val="bottom"/>
            <w:tcBorders>
              <w:right w:val="single" w:sz="8" w:color="2360A6"/>
            </w:tcBorders>
            <w:shd w:val="clear" w:color="auto" w:fill="D2DEEC"/>
          </w:tcPr>
          <w:p>
            <w:pPr>
              <w:spacing w:after="0"/>
              <w:rPr>
                <w:sz w:val="12"/>
                <w:szCs w:val="12"/>
                <w:color w:val="auto"/>
              </w:rPr>
            </w:pPr>
          </w:p>
        </w:tc>
        <w:tc>
          <w:tcPr>
            <w:tcW w:w="1180" w:type="dxa"/>
            <w:vAlign w:val="bottom"/>
            <w:tcBorders>
              <w:right w:val="single" w:sz="8" w:color="2360A6"/>
            </w:tcBorders>
            <w:shd w:val="clear" w:color="auto" w:fill="D2DEEC"/>
          </w:tcPr>
          <w:p>
            <w:pPr>
              <w:spacing w:after="0"/>
              <w:rPr>
                <w:sz w:val="12"/>
                <w:szCs w:val="12"/>
                <w:color w:val="auto"/>
              </w:rPr>
            </w:pPr>
          </w:p>
        </w:tc>
        <w:tc>
          <w:tcPr>
            <w:tcW w:w="840" w:type="dxa"/>
            <w:vAlign w:val="bottom"/>
            <w:tcBorders>
              <w:right w:val="single" w:sz="8" w:color="2360A6"/>
            </w:tcBorders>
            <w:shd w:val="clear" w:color="auto" w:fill="D2DEEC"/>
          </w:tcPr>
          <w:p>
            <w:pPr>
              <w:spacing w:after="0"/>
              <w:rPr>
                <w:sz w:val="12"/>
                <w:szCs w:val="12"/>
                <w:color w:val="auto"/>
              </w:rPr>
            </w:pPr>
          </w:p>
        </w:tc>
        <w:tc>
          <w:tcPr>
            <w:tcW w:w="1160" w:type="dxa"/>
            <w:vAlign w:val="bottom"/>
            <w:tcBorders>
              <w:right w:val="single" w:sz="8" w:color="2360A6"/>
            </w:tcBorders>
            <w:shd w:val="clear" w:color="auto" w:fill="D2DEEC"/>
          </w:tcPr>
          <w:p>
            <w:pPr>
              <w:spacing w:after="0"/>
              <w:rPr>
                <w:sz w:val="12"/>
                <w:szCs w:val="12"/>
                <w:color w:val="auto"/>
              </w:rPr>
            </w:pPr>
          </w:p>
        </w:tc>
        <w:tc>
          <w:tcPr>
            <w:tcW w:w="1240" w:type="dxa"/>
            <w:vAlign w:val="bottom"/>
            <w:shd w:val="clear" w:color="auto" w:fill="D2DEEC"/>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60" w:type="dxa"/>
            <w:vAlign w:val="bottom"/>
            <w:tcBorders>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3"/>
                <w:szCs w:val="13"/>
                <w:b w:val="1"/>
                <w:bCs w:val="1"/>
                <w:color w:val="2360A6"/>
              </w:rPr>
              <w:t>YEAR</w:t>
            </w:r>
          </w:p>
        </w:tc>
        <w:tc>
          <w:tcPr>
            <w:tcW w:w="86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NA</w:t>
            </w:r>
          </w:p>
        </w:tc>
        <w:tc>
          <w:tcPr>
            <w:tcW w:w="10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NA</w:t>
            </w:r>
          </w:p>
        </w:tc>
        <w:tc>
          <w:tcPr>
            <w:tcW w:w="98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NA</w:t>
            </w:r>
          </w:p>
        </w:tc>
        <w:tc>
          <w:tcPr>
            <w:tcW w:w="130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NA</w:t>
            </w:r>
          </w:p>
        </w:tc>
        <w:tc>
          <w:tcPr>
            <w:tcW w:w="11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56.2</w:t>
            </w:r>
          </w:p>
        </w:tc>
        <w:tc>
          <w:tcPr>
            <w:tcW w:w="84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56.2</w:t>
            </w:r>
          </w:p>
        </w:tc>
        <w:tc>
          <w:tcPr>
            <w:tcW w:w="116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w:t>
            </w:r>
          </w:p>
        </w:tc>
        <w:tc>
          <w:tcPr>
            <w:tcW w:w="1240" w:type="dxa"/>
            <w:vAlign w:val="bottom"/>
            <w:tcBorders>
              <w:bottom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56.2</w:t>
            </w:r>
          </w:p>
        </w:tc>
        <w:tc>
          <w:tcPr>
            <w:tcW w:w="20" w:type="dxa"/>
            <w:vAlign w:val="bottom"/>
            <w:tcBorders>
              <w:bottom w:val="single" w:sz="8" w:color="2360A6"/>
            </w:tcBorders>
          </w:tcPr>
          <w:p>
            <w:pPr>
              <w:spacing w:after="0"/>
              <w:rPr>
                <w:sz w:val="15"/>
                <w:szCs w:val="15"/>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Segment Assets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5,881.7</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7,286.4</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1,569.3</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14,737.4</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14,737.4</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(1,850.5)</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12,886.9</w:t>
            </w:r>
          </w:p>
        </w:tc>
        <w:tc>
          <w:tcPr>
            <w:tcW w:w="20" w:type="dxa"/>
            <w:vAlign w:val="bottom"/>
            <w:tcBorders>
              <w:bottom w:val="single" w:sz="8" w:color="2360A6"/>
            </w:tcBorders>
          </w:tcPr>
          <w:p>
            <w:pPr>
              <w:spacing w:after="0"/>
              <w:rPr>
                <w:sz w:val="18"/>
                <w:szCs w:val="18"/>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Investments in Equity Affiliates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59.8</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38.5</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98.3</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98.3</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33.1</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131.4</w:t>
            </w:r>
          </w:p>
        </w:tc>
        <w:tc>
          <w:tcPr>
            <w:tcW w:w="20" w:type="dxa"/>
            <w:vAlign w:val="bottom"/>
            <w:tcBorders>
              <w:bottom w:val="single" w:sz="8" w:color="2360A6"/>
            </w:tcBorders>
          </w:tcPr>
          <w:p>
            <w:pPr>
              <w:spacing w:after="0"/>
              <w:rPr>
                <w:sz w:val="18"/>
                <w:szCs w:val="18"/>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Unallocated Assets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700.3</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700.3</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700.3</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(49.6)</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650.7</w:t>
            </w:r>
          </w:p>
        </w:tc>
        <w:tc>
          <w:tcPr>
            <w:tcW w:w="20" w:type="dxa"/>
            <w:vAlign w:val="bottom"/>
            <w:tcBorders>
              <w:bottom w:val="single" w:sz="8" w:color="2360A6"/>
            </w:tcBorders>
          </w:tcPr>
          <w:p>
            <w:pPr>
              <w:spacing w:after="0"/>
              <w:rPr>
                <w:sz w:val="18"/>
                <w:szCs w:val="18"/>
                <w:color w:val="auto"/>
              </w:rPr>
            </w:pPr>
          </w:p>
        </w:tc>
      </w:tr>
      <w:tr>
        <w:trPr>
          <w:trHeight w:val="210"/>
        </w:trPr>
        <w:tc>
          <w:tcPr>
            <w:tcW w:w="2060" w:type="dxa"/>
            <w:vAlign w:val="bottom"/>
            <w:tcBorders>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3"/>
                <w:szCs w:val="13"/>
                <w:b w:val="1"/>
                <w:bCs w:val="1"/>
                <w:color w:val="2360A6"/>
              </w:rPr>
              <w:t>TOTAL ASSETS</w:t>
            </w:r>
          </w:p>
        </w:tc>
        <w:tc>
          <w:tcPr>
            <w:tcW w:w="86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5,941.5</w:t>
            </w:r>
          </w:p>
        </w:tc>
        <w:tc>
          <w:tcPr>
            <w:tcW w:w="10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7,324.9</w:t>
            </w:r>
          </w:p>
        </w:tc>
        <w:tc>
          <w:tcPr>
            <w:tcW w:w="98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1,569.3</w:t>
            </w:r>
          </w:p>
        </w:tc>
        <w:tc>
          <w:tcPr>
            <w:tcW w:w="130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700.3</w:t>
            </w:r>
          </w:p>
        </w:tc>
        <w:tc>
          <w:tcPr>
            <w:tcW w:w="11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15,536.0</w:t>
            </w:r>
          </w:p>
        </w:tc>
        <w:tc>
          <w:tcPr>
            <w:tcW w:w="84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15,536.0</w:t>
            </w:r>
          </w:p>
        </w:tc>
        <w:tc>
          <w:tcPr>
            <w:tcW w:w="1160" w:type="dxa"/>
            <w:vAlign w:val="bottom"/>
            <w:tcBorders>
              <w:bottom w:val="single" w:sz="8" w:color="2360A6"/>
              <w:right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(1,867.0)</w:t>
            </w:r>
          </w:p>
        </w:tc>
        <w:tc>
          <w:tcPr>
            <w:tcW w:w="1240" w:type="dxa"/>
            <w:vAlign w:val="bottom"/>
            <w:tcBorders>
              <w:bottom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13,669.0</w:t>
            </w:r>
          </w:p>
        </w:tc>
        <w:tc>
          <w:tcPr>
            <w:tcW w:w="20" w:type="dxa"/>
            <w:vAlign w:val="bottom"/>
            <w:tcBorders>
              <w:bottom w:val="single" w:sz="8" w:color="2360A6"/>
            </w:tcBorders>
          </w:tcPr>
          <w:p>
            <w:pPr>
              <w:spacing w:after="0"/>
              <w:rPr>
                <w:sz w:val="18"/>
                <w:szCs w:val="18"/>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Segment Liabilities </w:t>
            </w:r>
            <w:r>
              <w:rPr>
                <w:rFonts w:ascii="Arial" w:cs="Arial" w:eastAsia="Arial" w:hAnsi="Arial"/>
                <w:sz w:val="8"/>
                <w:szCs w:val="8"/>
                <w:color w:val="231F20"/>
              </w:rPr>
              <w:t>(1)</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3,333.8</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4,931.4</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2,342.1</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10,607.3</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10,607.3</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(1,858.6)</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8,748.7</w:t>
            </w:r>
          </w:p>
        </w:tc>
        <w:tc>
          <w:tcPr>
            <w:tcW w:w="20" w:type="dxa"/>
            <w:vAlign w:val="bottom"/>
            <w:tcBorders>
              <w:bottom w:val="single" w:sz="8" w:color="2360A6"/>
            </w:tcBorders>
          </w:tcPr>
          <w:p>
            <w:pPr>
              <w:spacing w:after="0"/>
              <w:rPr>
                <w:sz w:val="18"/>
                <w:szCs w:val="18"/>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Unallocated Liabilities </w:t>
            </w:r>
            <w:r>
              <w:rPr>
                <w:rFonts w:ascii="Arial" w:cs="Arial" w:eastAsia="Arial" w:hAnsi="Arial"/>
                <w:sz w:val="8"/>
                <w:szCs w:val="8"/>
                <w:color w:val="231F20"/>
              </w:rPr>
              <w:t>(2)</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4,928.7</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4,928.7</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4,928.7</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(8.4)</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4,920.3</w:t>
            </w:r>
          </w:p>
        </w:tc>
        <w:tc>
          <w:tcPr>
            <w:tcW w:w="20" w:type="dxa"/>
            <w:vAlign w:val="bottom"/>
            <w:tcBorders>
              <w:bottom w:val="single" w:sz="8" w:color="2360A6"/>
            </w:tcBorders>
          </w:tcPr>
          <w:p>
            <w:pPr>
              <w:spacing w:after="0"/>
              <w:rPr>
                <w:sz w:val="18"/>
                <w:szCs w:val="18"/>
                <w:color w:val="auto"/>
              </w:rPr>
            </w:pPr>
          </w:p>
        </w:tc>
      </w:tr>
      <w:tr>
        <w:trPr>
          <w:trHeight w:val="140"/>
        </w:trPr>
        <w:tc>
          <w:tcPr>
            <w:tcW w:w="2060" w:type="dxa"/>
            <w:vAlign w:val="bottom"/>
            <w:tcBorders>
              <w:right w:val="single" w:sz="8" w:color="2360A6"/>
            </w:tcBorders>
            <w:shd w:val="clear" w:color="auto" w:fill="D2DEEC"/>
          </w:tcPr>
          <w:p>
            <w:pPr>
              <w:ind w:left="40"/>
              <w:spacing w:after="0" w:line="140" w:lineRule="exact"/>
              <w:rPr>
                <w:sz w:val="20"/>
                <w:szCs w:val="20"/>
                <w:color w:val="auto"/>
              </w:rPr>
            </w:pPr>
            <w:r>
              <w:rPr>
                <w:rFonts w:ascii="Arial" w:cs="Arial" w:eastAsia="Arial" w:hAnsi="Arial"/>
                <w:sz w:val="13"/>
                <w:szCs w:val="13"/>
                <w:b w:val="1"/>
                <w:bCs w:val="1"/>
                <w:color w:val="2360A6"/>
              </w:rPr>
              <w:t>TOTAL LIABILITIES AND</w:t>
            </w:r>
          </w:p>
        </w:tc>
        <w:tc>
          <w:tcPr>
            <w:tcW w:w="860" w:type="dxa"/>
            <w:vAlign w:val="bottom"/>
            <w:tcBorders>
              <w:right w:val="single" w:sz="8" w:color="2360A6"/>
            </w:tcBorders>
            <w:shd w:val="clear" w:color="auto" w:fill="D2DEEC"/>
          </w:tcPr>
          <w:p>
            <w:pPr>
              <w:spacing w:after="0"/>
              <w:rPr>
                <w:sz w:val="12"/>
                <w:szCs w:val="12"/>
                <w:color w:val="auto"/>
              </w:rPr>
            </w:pPr>
          </w:p>
        </w:tc>
        <w:tc>
          <w:tcPr>
            <w:tcW w:w="1080" w:type="dxa"/>
            <w:vAlign w:val="bottom"/>
            <w:tcBorders>
              <w:right w:val="single" w:sz="8" w:color="2360A6"/>
            </w:tcBorders>
            <w:shd w:val="clear" w:color="auto" w:fill="D2DEEC"/>
          </w:tcPr>
          <w:p>
            <w:pPr>
              <w:spacing w:after="0"/>
              <w:rPr>
                <w:sz w:val="12"/>
                <w:szCs w:val="12"/>
                <w:color w:val="auto"/>
              </w:rPr>
            </w:pPr>
          </w:p>
        </w:tc>
        <w:tc>
          <w:tcPr>
            <w:tcW w:w="980" w:type="dxa"/>
            <w:vAlign w:val="bottom"/>
            <w:tcBorders>
              <w:right w:val="single" w:sz="8" w:color="2360A6"/>
            </w:tcBorders>
            <w:shd w:val="clear" w:color="auto" w:fill="D2DEEC"/>
          </w:tcPr>
          <w:p>
            <w:pPr>
              <w:spacing w:after="0"/>
              <w:rPr>
                <w:sz w:val="12"/>
                <w:szCs w:val="12"/>
                <w:color w:val="auto"/>
              </w:rPr>
            </w:pPr>
          </w:p>
        </w:tc>
        <w:tc>
          <w:tcPr>
            <w:tcW w:w="1300" w:type="dxa"/>
            <w:vAlign w:val="bottom"/>
            <w:tcBorders>
              <w:right w:val="single" w:sz="8" w:color="2360A6"/>
            </w:tcBorders>
            <w:shd w:val="clear" w:color="auto" w:fill="D2DEEC"/>
          </w:tcPr>
          <w:p>
            <w:pPr>
              <w:spacing w:after="0"/>
              <w:rPr>
                <w:sz w:val="12"/>
                <w:szCs w:val="12"/>
                <w:color w:val="auto"/>
              </w:rPr>
            </w:pPr>
          </w:p>
        </w:tc>
        <w:tc>
          <w:tcPr>
            <w:tcW w:w="1180" w:type="dxa"/>
            <w:vAlign w:val="bottom"/>
            <w:tcBorders>
              <w:right w:val="single" w:sz="8" w:color="2360A6"/>
            </w:tcBorders>
            <w:shd w:val="clear" w:color="auto" w:fill="D2DEEC"/>
          </w:tcPr>
          <w:p>
            <w:pPr>
              <w:spacing w:after="0"/>
              <w:rPr>
                <w:sz w:val="12"/>
                <w:szCs w:val="12"/>
                <w:color w:val="auto"/>
              </w:rPr>
            </w:pPr>
          </w:p>
        </w:tc>
        <w:tc>
          <w:tcPr>
            <w:tcW w:w="840" w:type="dxa"/>
            <w:vAlign w:val="bottom"/>
            <w:tcBorders>
              <w:right w:val="single" w:sz="8" w:color="2360A6"/>
            </w:tcBorders>
            <w:shd w:val="clear" w:color="auto" w:fill="D2DEEC"/>
          </w:tcPr>
          <w:p>
            <w:pPr>
              <w:spacing w:after="0"/>
              <w:rPr>
                <w:sz w:val="12"/>
                <w:szCs w:val="12"/>
                <w:color w:val="auto"/>
              </w:rPr>
            </w:pPr>
          </w:p>
        </w:tc>
        <w:tc>
          <w:tcPr>
            <w:tcW w:w="1160" w:type="dxa"/>
            <w:vAlign w:val="bottom"/>
            <w:tcBorders>
              <w:right w:val="single" w:sz="8" w:color="2360A6"/>
            </w:tcBorders>
            <w:shd w:val="clear" w:color="auto" w:fill="D2DEEC"/>
          </w:tcPr>
          <w:p>
            <w:pPr>
              <w:spacing w:after="0"/>
              <w:rPr>
                <w:sz w:val="12"/>
                <w:szCs w:val="12"/>
                <w:color w:val="auto"/>
              </w:rPr>
            </w:pPr>
          </w:p>
        </w:tc>
        <w:tc>
          <w:tcPr>
            <w:tcW w:w="1240" w:type="dxa"/>
            <w:vAlign w:val="bottom"/>
            <w:shd w:val="clear" w:color="auto" w:fill="D2DEEC"/>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60" w:type="dxa"/>
            <w:vAlign w:val="bottom"/>
            <w:tcBorders>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3"/>
                <w:szCs w:val="13"/>
                <w:b w:val="1"/>
                <w:bCs w:val="1"/>
                <w:color w:val="2360A6"/>
              </w:rPr>
              <w:t>EQUITY</w:t>
            </w:r>
          </w:p>
        </w:tc>
        <w:tc>
          <w:tcPr>
            <w:tcW w:w="86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3,333.8</w:t>
            </w:r>
          </w:p>
        </w:tc>
        <w:tc>
          <w:tcPr>
            <w:tcW w:w="10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4,931.4</w:t>
            </w:r>
          </w:p>
        </w:tc>
        <w:tc>
          <w:tcPr>
            <w:tcW w:w="98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2,342.1</w:t>
            </w:r>
          </w:p>
        </w:tc>
        <w:tc>
          <w:tcPr>
            <w:tcW w:w="130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4,928.7</w:t>
            </w:r>
          </w:p>
        </w:tc>
        <w:tc>
          <w:tcPr>
            <w:tcW w:w="11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15,536.0</w:t>
            </w:r>
          </w:p>
        </w:tc>
        <w:tc>
          <w:tcPr>
            <w:tcW w:w="84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15,536.0</w:t>
            </w:r>
          </w:p>
        </w:tc>
        <w:tc>
          <w:tcPr>
            <w:tcW w:w="1160" w:type="dxa"/>
            <w:vAlign w:val="bottom"/>
            <w:tcBorders>
              <w:bottom w:val="single" w:sz="8" w:color="2360A6"/>
              <w:right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(1,867.0)</w:t>
            </w:r>
          </w:p>
        </w:tc>
        <w:tc>
          <w:tcPr>
            <w:tcW w:w="1240" w:type="dxa"/>
            <w:vAlign w:val="bottom"/>
            <w:tcBorders>
              <w:bottom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13,669.0</w:t>
            </w:r>
          </w:p>
        </w:tc>
        <w:tc>
          <w:tcPr>
            <w:tcW w:w="20" w:type="dxa"/>
            <w:vAlign w:val="bottom"/>
            <w:tcBorders>
              <w:bottom w:val="single" w:sz="8" w:color="2360A6"/>
            </w:tcBorders>
          </w:tcPr>
          <w:p>
            <w:pPr>
              <w:spacing w:after="0"/>
              <w:rPr>
                <w:sz w:val="15"/>
                <w:szCs w:val="15"/>
                <w:color w:val="auto"/>
              </w:rPr>
            </w:pPr>
          </w:p>
        </w:tc>
      </w:tr>
      <w:tr>
        <w:trPr>
          <w:trHeight w:val="264"/>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Other Segment Information</w:t>
            </w:r>
          </w:p>
        </w:tc>
        <w:tc>
          <w:tcPr>
            <w:tcW w:w="860" w:type="dxa"/>
            <w:vAlign w:val="bottom"/>
            <w:tcBorders>
              <w:bottom w:val="single" w:sz="8" w:color="2360A6"/>
              <w:right w:val="single" w:sz="8" w:color="2360A6"/>
            </w:tcBorders>
          </w:tcPr>
          <w:p>
            <w:pPr>
              <w:spacing w:after="0"/>
              <w:rPr>
                <w:sz w:val="22"/>
                <w:szCs w:val="22"/>
                <w:color w:val="auto"/>
              </w:rPr>
            </w:pPr>
          </w:p>
        </w:tc>
        <w:tc>
          <w:tcPr>
            <w:tcW w:w="1080" w:type="dxa"/>
            <w:vAlign w:val="bottom"/>
            <w:tcBorders>
              <w:bottom w:val="single" w:sz="8" w:color="2360A6"/>
              <w:right w:val="single" w:sz="8" w:color="2360A6"/>
            </w:tcBorders>
          </w:tcPr>
          <w:p>
            <w:pPr>
              <w:spacing w:after="0"/>
              <w:rPr>
                <w:sz w:val="22"/>
                <w:szCs w:val="22"/>
                <w:color w:val="auto"/>
              </w:rPr>
            </w:pPr>
          </w:p>
        </w:tc>
        <w:tc>
          <w:tcPr>
            <w:tcW w:w="980" w:type="dxa"/>
            <w:vAlign w:val="bottom"/>
            <w:tcBorders>
              <w:bottom w:val="single" w:sz="8" w:color="2360A6"/>
              <w:right w:val="single" w:sz="8" w:color="2360A6"/>
            </w:tcBorders>
          </w:tcPr>
          <w:p>
            <w:pPr>
              <w:spacing w:after="0"/>
              <w:rPr>
                <w:sz w:val="22"/>
                <w:szCs w:val="22"/>
                <w:color w:val="auto"/>
              </w:rPr>
            </w:pPr>
          </w:p>
        </w:tc>
        <w:tc>
          <w:tcPr>
            <w:tcW w:w="1300" w:type="dxa"/>
            <w:vAlign w:val="bottom"/>
            <w:tcBorders>
              <w:bottom w:val="single" w:sz="8" w:color="2360A6"/>
              <w:right w:val="single" w:sz="8" w:color="2360A6"/>
            </w:tcBorders>
          </w:tcPr>
          <w:p>
            <w:pPr>
              <w:spacing w:after="0"/>
              <w:rPr>
                <w:sz w:val="22"/>
                <w:szCs w:val="22"/>
                <w:color w:val="auto"/>
              </w:rPr>
            </w:pPr>
          </w:p>
        </w:tc>
        <w:tc>
          <w:tcPr>
            <w:tcW w:w="1180" w:type="dxa"/>
            <w:vAlign w:val="bottom"/>
            <w:tcBorders>
              <w:bottom w:val="single" w:sz="8" w:color="2360A6"/>
              <w:right w:val="single" w:sz="8" w:color="2360A6"/>
            </w:tcBorders>
          </w:tcPr>
          <w:p>
            <w:pPr>
              <w:spacing w:after="0"/>
              <w:rPr>
                <w:sz w:val="22"/>
                <w:szCs w:val="22"/>
                <w:color w:val="auto"/>
              </w:rPr>
            </w:pPr>
          </w:p>
        </w:tc>
        <w:tc>
          <w:tcPr>
            <w:tcW w:w="840" w:type="dxa"/>
            <w:vAlign w:val="bottom"/>
            <w:tcBorders>
              <w:bottom w:val="single" w:sz="8" w:color="2360A6"/>
              <w:right w:val="single" w:sz="8" w:color="2360A6"/>
            </w:tcBorders>
          </w:tcPr>
          <w:p>
            <w:pPr>
              <w:spacing w:after="0"/>
              <w:rPr>
                <w:sz w:val="22"/>
                <w:szCs w:val="22"/>
                <w:color w:val="auto"/>
              </w:rPr>
            </w:pPr>
          </w:p>
        </w:tc>
        <w:tc>
          <w:tcPr>
            <w:tcW w:w="1160" w:type="dxa"/>
            <w:vAlign w:val="bottom"/>
            <w:tcBorders>
              <w:bottom w:val="single" w:sz="8" w:color="2360A6"/>
              <w:right w:val="single" w:sz="8" w:color="2360A6"/>
            </w:tcBorders>
          </w:tcPr>
          <w:p>
            <w:pPr>
              <w:spacing w:after="0"/>
              <w:rPr>
                <w:sz w:val="22"/>
                <w:szCs w:val="22"/>
                <w:color w:val="auto"/>
              </w:rPr>
            </w:pPr>
          </w:p>
        </w:tc>
        <w:tc>
          <w:tcPr>
            <w:tcW w:w="1240" w:type="dxa"/>
            <w:vAlign w:val="bottom"/>
            <w:tcBorders>
              <w:bottom w:val="single" w:sz="8" w:color="2360A6"/>
            </w:tcBorders>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Backlog </w:t>
            </w:r>
            <w:r>
              <w:rPr>
                <w:rFonts w:ascii="Arial" w:cs="Arial" w:eastAsia="Arial" w:hAnsi="Arial"/>
                <w:sz w:val="8"/>
                <w:szCs w:val="8"/>
                <w:color w:val="231F20"/>
              </w:rPr>
              <w:t>(3)</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7,309.4</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9,660.8</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16,970.2</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16,970.2</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NA</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NA</w:t>
            </w:r>
          </w:p>
        </w:tc>
        <w:tc>
          <w:tcPr>
            <w:tcW w:w="20" w:type="dxa"/>
            <w:vAlign w:val="bottom"/>
            <w:tcBorders>
              <w:bottom w:val="single" w:sz="8" w:color="2360A6"/>
            </w:tcBorders>
          </w:tcPr>
          <w:p>
            <w:pPr>
              <w:spacing w:after="0"/>
              <w:rPr>
                <w:sz w:val="18"/>
                <w:szCs w:val="18"/>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Order Intake </w:t>
            </w:r>
            <w:r>
              <w:rPr>
                <w:rFonts w:ascii="Arial" w:cs="Arial" w:eastAsia="Arial" w:hAnsi="Arial"/>
                <w:sz w:val="8"/>
                <w:szCs w:val="8"/>
                <w:color w:val="231F20"/>
              </w:rPr>
              <w:t>(4)</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3,105.8</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4,459.3</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7,565.1</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7,565.1</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NA</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NA</w:t>
            </w:r>
          </w:p>
        </w:tc>
        <w:tc>
          <w:tcPr>
            <w:tcW w:w="20" w:type="dxa"/>
            <w:vAlign w:val="bottom"/>
            <w:tcBorders>
              <w:bottom w:val="single" w:sz="8" w:color="2360A6"/>
            </w:tcBorders>
          </w:tcPr>
          <w:p>
            <w:pPr>
              <w:spacing w:after="0"/>
              <w:rPr>
                <w:sz w:val="18"/>
                <w:szCs w:val="18"/>
                <w:color w:val="auto"/>
              </w:rPr>
            </w:pPr>
          </w:p>
        </w:tc>
      </w:tr>
      <w:tr>
        <w:trPr>
          <w:trHeight w:val="264"/>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Capital Expenditures:</w:t>
            </w:r>
          </w:p>
        </w:tc>
        <w:tc>
          <w:tcPr>
            <w:tcW w:w="860" w:type="dxa"/>
            <w:vAlign w:val="bottom"/>
            <w:tcBorders>
              <w:bottom w:val="single" w:sz="8" w:color="2360A6"/>
              <w:right w:val="single" w:sz="8" w:color="2360A6"/>
            </w:tcBorders>
          </w:tcPr>
          <w:p>
            <w:pPr>
              <w:spacing w:after="0"/>
              <w:rPr>
                <w:sz w:val="22"/>
                <w:szCs w:val="22"/>
                <w:color w:val="auto"/>
              </w:rPr>
            </w:pPr>
          </w:p>
        </w:tc>
        <w:tc>
          <w:tcPr>
            <w:tcW w:w="1080" w:type="dxa"/>
            <w:vAlign w:val="bottom"/>
            <w:tcBorders>
              <w:bottom w:val="single" w:sz="8" w:color="2360A6"/>
              <w:right w:val="single" w:sz="8" w:color="2360A6"/>
            </w:tcBorders>
          </w:tcPr>
          <w:p>
            <w:pPr>
              <w:spacing w:after="0"/>
              <w:rPr>
                <w:sz w:val="22"/>
                <w:szCs w:val="22"/>
                <w:color w:val="auto"/>
              </w:rPr>
            </w:pPr>
          </w:p>
        </w:tc>
        <w:tc>
          <w:tcPr>
            <w:tcW w:w="980" w:type="dxa"/>
            <w:vAlign w:val="bottom"/>
            <w:tcBorders>
              <w:bottom w:val="single" w:sz="8" w:color="2360A6"/>
              <w:right w:val="single" w:sz="8" w:color="2360A6"/>
            </w:tcBorders>
          </w:tcPr>
          <w:p>
            <w:pPr>
              <w:spacing w:after="0"/>
              <w:rPr>
                <w:sz w:val="22"/>
                <w:szCs w:val="22"/>
                <w:color w:val="auto"/>
              </w:rPr>
            </w:pPr>
          </w:p>
        </w:tc>
        <w:tc>
          <w:tcPr>
            <w:tcW w:w="1300" w:type="dxa"/>
            <w:vAlign w:val="bottom"/>
            <w:tcBorders>
              <w:bottom w:val="single" w:sz="8" w:color="2360A6"/>
              <w:right w:val="single" w:sz="8" w:color="2360A6"/>
            </w:tcBorders>
          </w:tcPr>
          <w:p>
            <w:pPr>
              <w:spacing w:after="0"/>
              <w:rPr>
                <w:sz w:val="22"/>
                <w:szCs w:val="22"/>
                <w:color w:val="auto"/>
              </w:rPr>
            </w:pPr>
          </w:p>
        </w:tc>
        <w:tc>
          <w:tcPr>
            <w:tcW w:w="1180" w:type="dxa"/>
            <w:vAlign w:val="bottom"/>
            <w:tcBorders>
              <w:bottom w:val="single" w:sz="8" w:color="2360A6"/>
              <w:right w:val="single" w:sz="8" w:color="2360A6"/>
            </w:tcBorders>
          </w:tcPr>
          <w:p>
            <w:pPr>
              <w:spacing w:after="0"/>
              <w:rPr>
                <w:sz w:val="22"/>
                <w:szCs w:val="22"/>
                <w:color w:val="auto"/>
              </w:rPr>
            </w:pPr>
          </w:p>
        </w:tc>
        <w:tc>
          <w:tcPr>
            <w:tcW w:w="840" w:type="dxa"/>
            <w:vAlign w:val="bottom"/>
            <w:tcBorders>
              <w:bottom w:val="single" w:sz="8" w:color="2360A6"/>
              <w:right w:val="single" w:sz="8" w:color="2360A6"/>
            </w:tcBorders>
          </w:tcPr>
          <w:p>
            <w:pPr>
              <w:spacing w:after="0"/>
              <w:rPr>
                <w:sz w:val="22"/>
                <w:szCs w:val="22"/>
                <w:color w:val="auto"/>
              </w:rPr>
            </w:pPr>
          </w:p>
        </w:tc>
        <w:tc>
          <w:tcPr>
            <w:tcW w:w="1160" w:type="dxa"/>
            <w:vAlign w:val="bottom"/>
            <w:tcBorders>
              <w:bottom w:val="single" w:sz="8" w:color="2360A6"/>
              <w:right w:val="single" w:sz="8" w:color="2360A6"/>
            </w:tcBorders>
          </w:tcPr>
          <w:p>
            <w:pPr>
              <w:spacing w:after="0"/>
              <w:rPr>
                <w:sz w:val="22"/>
                <w:szCs w:val="22"/>
                <w:color w:val="auto"/>
              </w:rPr>
            </w:pPr>
          </w:p>
        </w:tc>
        <w:tc>
          <w:tcPr>
            <w:tcW w:w="1240" w:type="dxa"/>
            <w:vAlign w:val="bottom"/>
            <w:tcBorders>
              <w:bottom w:val="single" w:sz="8" w:color="2360A6"/>
            </w:tcBorders>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Š Property, Plant and Equipment</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255.1</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26.7</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281.8</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281.8</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(1.5)</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280.3</w:t>
            </w:r>
          </w:p>
        </w:tc>
        <w:tc>
          <w:tcPr>
            <w:tcW w:w="20" w:type="dxa"/>
            <w:vAlign w:val="bottom"/>
            <w:tcBorders>
              <w:bottom w:val="single" w:sz="8" w:color="2360A6"/>
            </w:tcBorders>
          </w:tcPr>
          <w:p>
            <w:pPr>
              <w:spacing w:after="0"/>
              <w:rPr>
                <w:sz w:val="18"/>
                <w:szCs w:val="18"/>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Š Intangible Assets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6.3</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6.8</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13.1</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13.1</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(0.1)</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13.0</w:t>
            </w:r>
          </w:p>
        </w:tc>
        <w:tc>
          <w:tcPr>
            <w:tcW w:w="20" w:type="dxa"/>
            <w:vAlign w:val="bottom"/>
            <w:tcBorders>
              <w:bottom w:val="single" w:sz="8" w:color="2360A6"/>
            </w:tcBorders>
          </w:tcPr>
          <w:p>
            <w:pPr>
              <w:spacing w:after="0"/>
              <w:rPr>
                <w:sz w:val="18"/>
                <w:szCs w:val="18"/>
                <w:color w:val="auto"/>
              </w:rPr>
            </w:pPr>
          </w:p>
        </w:tc>
      </w:tr>
      <w:tr>
        <w:trPr>
          <w:trHeight w:val="264"/>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Amortization:</w:t>
            </w:r>
          </w:p>
        </w:tc>
        <w:tc>
          <w:tcPr>
            <w:tcW w:w="860" w:type="dxa"/>
            <w:vAlign w:val="bottom"/>
            <w:tcBorders>
              <w:bottom w:val="single" w:sz="8" w:color="2360A6"/>
              <w:right w:val="single" w:sz="8" w:color="2360A6"/>
            </w:tcBorders>
          </w:tcPr>
          <w:p>
            <w:pPr>
              <w:spacing w:after="0"/>
              <w:rPr>
                <w:sz w:val="22"/>
                <w:szCs w:val="22"/>
                <w:color w:val="auto"/>
              </w:rPr>
            </w:pPr>
          </w:p>
        </w:tc>
        <w:tc>
          <w:tcPr>
            <w:tcW w:w="1080" w:type="dxa"/>
            <w:vAlign w:val="bottom"/>
            <w:tcBorders>
              <w:bottom w:val="single" w:sz="8" w:color="2360A6"/>
              <w:right w:val="single" w:sz="8" w:color="2360A6"/>
            </w:tcBorders>
          </w:tcPr>
          <w:p>
            <w:pPr>
              <w:spacing w:after="0"/>
              <w:rPr>
                <w:sz w:val="22"/>
                <w:szCs w:val="22"/>
                <w:color w:val="auto"/>
              </w:rPr>
            </w:pPr>
          </w:p>
        </w:tc>
        <w:tc>
          <w:tcPr>
            <w:tcW w:w="980" w:type="dxa"/>
            <w:vAlign w:val="bottom"/>
            <w:tcBorders>
              <w:bottom w:val="single" w:sz="8" w:color="2360A6"/>
              <w:right w:val="single" w:sz="8" w:color="2360A6"/>
            </w:tcBorders>
          </w:tcPr>
          <w:p>
            <w:pPr>
              <w:spacing w:after="0"/>
              <w:rPr>
                <w:sz w:val="22"/>
                <w:szCs w:val="22"/>
                <w:color w:val="auto"/>
              </w:rPr>
            </w:pPr>
          </w:p>
        </w:tc>
        <w:tc>
          <w:tcPr>
            <w:tcW w:w="1300" w:type="dxa"/>
            <w:vAlign w:val="bottom"/>
            <w:tcBorders>
              <w:bottom w:val="single" w:sz="8" w:color="2360A6"/>
              <w:right w:val="single" w:sz="8" w:color="2360A6"/>
            </w:tcBorders>
          </w:tcPr>
          <w:p>
            <w:pPr>
              <w:spacing w:after="0"/>
              <w:rPr>
                <w:sz w:val="22"/>
                <w:szCs w:val="22"/>
                <w:color w:val="auto"/>
              </w:rPr>
            </w:pPr>
          </w:p>
        </w:tc>
        <w:tc>
          <w:tcPr>
            <w:tcW w:w="1180" w:type="dxa"/>
            <w:vAlign w:val="bottom"/>
            <w:tcBorders>
              <w:bottom w:val="single" w:sz="8" w:color="2360A6"/>
              <w:right w:val="single" w:sz="8" w:color="2360A6"/>
            </w:tcBorders>
          </w:tcPr>
          <w:p>
            <w:pPr>
              <w:spacing w:after="0"/>
              <w:rPr>
                <w:sz w:val="22"/>
                <w:szCs w:val="22"/>
                <w:color w:val="auto"/>
              </w:rPr>
            </w:pPr>
          </w:p>
        </w:tc>
        <w:tc>
          <w:tcPr>
            <w:tcW w:w="840" w:type="dxa"/>
            <w:vAlign w:val="bottom"/>
            <w:tcBorders>
              <w:bottom w:val="single" w:sz="8" w:color="2360A6"/>
              <w:right w:val="single" w:sz="8" w:color="2360A6"/>
            </w:tcBorders>
          </w:tcPr>
          <w:p>
            <w:pPr>
              <w:spacing w:after="0"/>
              <w:rPr>
                <w:sz w:val="22"/>
                <w:szCs w:val="22"/>
                <w:color w:val="auto"/>
              </w:rPr>
            </w:pPr>
          </w:p>
        </w:tc>
        <w:tc>
          <w:tcPr>
            <w:tcW w:w="1160" w:type="dxa"/>
            <w:vAlign w:val="bottom"/>
            <w:tcBorders>
              <w:bottom w:val="single" w:sz="8" w:color="2360A6"/>
              <w:right w:val="single" w:sz="8" w:color="2360A6"/>
            </w:tcBorders>
          </w:tcPr>
          <w:p>
            <w:pPr>
              <w:spacing w:after="0"/>
              <w:rPr>
                <w:sz w:val="22"/>
                <w:szCs w:val="22"/>
                <w:color w:val="auto"/>
              </w:rPr>
            </w:pPr>
          </w:p>
        </w:tc>
        <w:tc>
          <w:tcPr>
            <w:tcW w:w="1240" w:type="dxa"/>
            <w:vAlign w:val="bottom"/>
            <w:tcBorders>
              <w:bottom w:val="single" w:sz="8" w:color="2360A6"/>
            </w:tcBorders>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Š Property, Plant and Equipment</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(257.2)</w:t>
            </w:r>
          </w:p>
        </w:tc>
        <w:tc>
          <w:tcPr>
            <w:tcW w:w="10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(27.2)</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(284.4)</w:t>
            </w:r>
          </w:p>
        </w:tc>
        <w:tc>
          <w:tcPr>
            <w:tcW w:w="8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(284.4)</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0.2</w:t>
            </w:r>
          </w:p>
        </w:tc>
        <w:tc>
          <w:tcPr>
            <w:tcW w:w="12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(284.2)</w:t>
            </w:r>
          </w:p>
        </w:tc>
        <w:tc>
          <w:tcPr>
            <w:tcW w:w="20" w:type="dxa"/>
            <w:vAlign w:val="bottom"/>
            <w:tcBorders>
              <w:bottom w:val="single" w:sz="8" w:color="2360A6"/>
            </w:tcBorders>
          </w:tcPr>
          <w:p>
            <w:pPr>
              <w:spacing w:after="0"/>
              <w:rPr>
                <w:sz w:val="18"/>
                <w:szCs w:val="18"/>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Š Intangible Assets</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(10.2)</w:t>
            </w:r>
          </w:p>
        </w:tc>
        <w:tc>
          <w:tcPr>
            <w:tcW w:w="10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(11.0)</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(21.2)</w:t>
            </w:r>
          </w:p>
        </w:tc>
        <w:tc>
          <w:tcPr>
            <w:tcW w:w="8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(21.2)</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0.1</w:t>
            </w:r>
          </w:p>
        </w:tc>
        <w:tc>
          <w:tcPr>
            <w:tcW w:w="12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(21.1)</w:t>
            </w:r>
          </w:p>
        </w:tc>
        <w:tc>
          <w:tcPr>
            <w:tcW w:w="20" w:type="dxa"/>
            <w:vAlign w:val="bottom"/>
            <w:tcBorders>
              <w:bottom w:val="single" w:sz="8" w:color="2360A6"/>
            </w:tcBorders>
          </w:tcPr>
          <w:p>
            <w:pPr>
              <w:spacing w:after="0"/>
              <w:rPr>
                <w:sz w:val="18"/>
                <w:szCs w:val="18"/>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Impairment of Assets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(40.7)</w:t>
            </w:r>
          </w:p>
        </w:tc>
        <w:tc>
          <w:tcPr>
            <w:tcW w:w="11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(40.7)</w:t>
            </w:r>
          </w:p>
        </w:tc>
        <w:tc>
          <w:tcPr>
            <w:tcW w:w="8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(40.7)</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(40.7)</w:t>
            </w:r>
          </w:p>
        </w:tc>
        <w:tc>
          <w:tcPr>
            <w:tcW w:w="20" w:type="dxa"/>
            <w:vAlign w:val="bottom"/>
            <w:tcBorders>
              <w:bottom w:val="single" w:sz="8" w:color="2360A6"/>
            </w:tcBorders>
          </w:tcPr>
          <w:p>
            <w:pPr>
              <w:spacing w:after="0"/>
              <w:rPr>
                <w:sz w:val="18"/>
                <w:szCs w:val="18"/>
                <w:color w:val="auto"/>
              </w:rPr>
            </w:pPr>
          </w:p>
        </w:tc>
      </w:tr>
    </w:tbl>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380365</wp:posOffset>
            </wp:positionH>
            <wp:positionV relativeFrom="page">
              <wp:posOffset>466090</wp:posOffset>
            </wp:positionV>
            <wp:extent cx="6809105" cy="56769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9105" cy="5676900"/>
                    </a:xfrm>
                    <a:prstGeom prst="rect">
                      <a:avLst/>
                    </a:prstGeom>
                    <a:noFill/>
                  </pic:spPr>
                </pic:pic>
              </a:graphicData>
            </a:graphic>
          </wp:anchor>
        </w:drawing>
      </w:r>
    </w:p>
    <w:p>
      <w:pPr>
        <w:ind w:left="60"/>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2"/>
          <w:szCs w:val="12"/>
          <w:color w:val="231F20"/>
        </w:rPr>
        <w:t>Segment liabilities allocated to the Corporate segment include financial debts such as bonds and other bank borrowings.</w:t>
      </w:r>
    </w:p>
    <w:p>
      <w:pPr>
        <w:ind w:left="60"/>
        <w:spacing w:after="0" w:line="234" w:lineRule="auto"/>
        <w:rPr>
          <w:sz w:val="20"/>
          <w:szCs w:val="20"/>
          <w:color w:val="auto"/>
        </w:rPr>
      </w:pPr>
      <w:r>
        <w:rPr>
          <w:rFonts w:ascii="Arial" w:cs="Arial" w:eastAsia="Arial" w:hAnsi="Arial"/>
          <w:sz w:val="9"/>
          <w:szCs w:val="9"/>
          <w:color w:val="231F20"/>
        </w:rPr>
        <w:t xml:space="preserve">(2) </w:t>
      </w:r>
      <w:r>
        <w:rPr>
          <w:rFonts w:ascii="Arial" w:cs="Arial" w:eastAsia="Arial" w:hAnsi="Arial"/>
          <w:sz w:val="12"/>
          <w:szCs w:val="12"/>
          <w:color w:val="231F20"/>
        </w:rPr>
        <w:t>Non allocable liabilities essentially include shareholders’ equity.</w:t>
      </w:r>
    </w:p>
    <w:p>
      <w:pPr>
        <w:spacing w:after="0" w:line="1" w:lineRule="exact"/>
        <w:rPr>
          <w:sz w:val="20"/>
          <w:szCs w:val="20"/>
          <w:color w:val="auto"/>
        </w:rPr>
      </w:pPr>
    </w:p>
    <w:p>
      <w:pPr>
        <w:ind w:left="60" w:right="120"/>
        <w:spacing w:after="0" w:line="258" w:lineRule="auto"/>
        <w:rPr>
          <w:sz w:val="20"/>
          <w:szCs w:val="20"/>
          <w:color w:val="auto"/>
        </w:rPr>
      </w:pPr>
      <w:r>
        <w:rPr>
          <w:rFonts w:ascii="Arial" w:cs="Arial" w:eastAsia="Arial" w:hAnsi="Arial"/>
          <w:sz w:val="9"/>
          <w:szCs w:val="9"/>
          <w:color w:val="231F20"/>
        </w:rPr>
        <w:t xml:space="preserve">(3) </w:t>
      </w:r>
      <w:r>
        <w:rPr>
          <w:rFonts w:ascii="Arial" w:cs="Arial" w:eastAsia="Arial" w:hAnsi="Arial"/>
          <w:sz w:val="12"/>
          <w:szCs w:val="12"/>
          <w:color w:val="231F20"/>
        </w:rPr>
        <w:t>Corresponds to ongoing contracts to be delivered. The backlog is defined as the difference at a specified date between the aggregate contractual sale price of all contracts in force and the</w:t>
      </w:r>
      <w:r>
        <w:rPr>
          <w:rFonts w:ascii="Arial" w:cs="Arial" w:eastAsia="Arial" w:hAnsi="Arial"/>
          <w:sz w:val="9"/>
          <w:szCs w:val="9"/>
          <w:color w:val="231F20"/>
        </w:rPr>
        <w:t xml:space="preserve"> </w:t>
      </w:r>
      <w:r>
        <w:rPr>
          <w:rFonts w:ascii="Arial" w:cs="Arial" w:eastAsia="Arial" w:hAnsi="Arial"/>
          <w:sz w:val="12"/>
          <w:szCs w:val="12"/>
          <w:color w:val="231F20"/>
        </w:rPr>
        <w:t>cumulative revenues recognized from these contracts as of that date.</w:t>
      </w:r>
    </w:p>
    <w:p>
      <w:pPr>
        <w:ind w:left="60"/>
        <w:spacing w:after="0"/>
        <w:rPr>
          <w:sz w:val="20"/>
          <w:szCs w:val="20"/>
          <w:color w:val="auto"/>
        </w:rPr>
      </w:pPr>
      <w:r>
        <w:rPr>
          <w:rFonts w:ascii="Arial" w:cs="Arial" w:eastAsia="Arial" w:hAnsi="Arial"/>
          <w:sz w:val="9"/>
          <w:szCs w:val="9"/>
          <w:color w:val="231F20"/>
        </w:rPr>
        <w:t xml:space="preserve">(4) </w:t>
      </w:r>
      <w:r>
        <w:rPr>
          <w:rFonts w:ascii="Arial" w:cs="Arial" w:eastAsia="Arial" w:hAnsi="Arial"/>
          <w:sz w:val="12"/>
          <w:szCs w:val="12"/>
          <w:color w:val="231F20"/>
        </w:rPr>
        <w:t>Corresponds to signed contracts which have come into force.</w:t>
      </w:r>
    </w:p>
    <w:p>
      <w:pPr>
        <w:sectPr>
          <w:pgSz w:w="11900" w:h="16838" w:orient="portrait"/>
          <w:cols w:equalWidth="0" w:num="1">
            <w:col w:w="10720"/>
          </w:cols>
          <w:pgMar w:left="600" w:top="714" w:right="57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6"/>
        </w:trPr>
        <w:tc>
          <w:tcPr>
            <w:tcW w:w="2060" w:type="dxa"/>
            <w:vAlign w:val="bottom"/>
            <w:tcBorders>
              <w:top w:val="single" w:sz="8" w:color="2360A6"/>
              <w:right w:val="single" w:sz="8" w:color="2360A6"/>
            </w:tcBorders>
          </w:tcPr>
          <w:p>
            <w:pPr>
              <w:spacing w:after="0"/>
              <w:rPr>
                <w:sz w:val="17"/>
                <w:szCs w:val="17"/>
                <w:color w:val="auto"/>
              </w:rPr>
            </w:pPr>
          </w:p>
        </w:tc>
        <w:tc>
          <w:tcPr>
            <w:tcW w:w="860" w:type="dxa"/>
            <w:vAlign w:val="bottom"/>
            <w:tcBorders>
              <w:top w:val="single" w:sz="8" w:color="2360A6"/>
              <w:bottom w:val="single" w:sz="8" w:color="2360A6"/>
            </w:tcBorders>
          </w:tcPr>
          <w:p>
            <w:pPr>
              <w:spacing w:after="0"/>
              <w:rPr>
                <w:sz w:val="17"/>
                <w:szCs w:val="17"/>
                <w:color w:val="auto"/>
              </w:rPr>
            </w:pPr>
          </w:p>
        </w:tc>
        <w:tc>
          <w:tcPr>
            <w:tcW w:w="1080" w:type="dxa"/>
            <w:vAlign w:val="bottom"/>
            <w:tcBorders>
              <w:top w:val="single" w:sz="8" w:color="2360A6"/>
              <w:bottom w:val="single" w:sz="8" w:color="2360A6"/>
            </w:tcBorders>
          </w:tcPr>
          <w:p>
            <w:pPr>
              <w:spacing w:after="0"/>
              <w:rPr>
                <w:sz w:val="17"/>
                <w:szCs w:val="17"/>
                <w:color w:val="auto"/>
              </w:rPr>
            </w:pPr>
          </w:p>
        </w:tc>
        <w:tc>
          <w:tcPr>
            <w:tcW w:w="980" w:type="dxa"/>
            <w:vAlign w:val="bottom"/>
            <w:tcBorders>
              <w:top w:val="single" w:sz="8" w:color="2360A6"/>
              <w:bottom w:val="single" w:sz="8" w:color="2360A6"/>
            </w:tcBorders>
          </w:tcPr>
          <w:p>
            <w:pPr>
              <w:spacing w:after="0"/>
              <w:rPr>
                <w:sz w:val="17"/>
                <w:szCs w:val="17"/>
                <w:color w:val="auto"/>
              </w:rPr>
            </w:pPr>
          </w:p>
        </w:tc>
        <w:tc>
          <w:tcPr>
            <w:tcW w:w="1300" w:type="dxa"/>
            <w:vAlign w:val="bottom"/>
            <w:tcBorders>
              <w:top w:val="single" w:sz="8" w:color="2360A6"/>
              <w:bottom w:val="single" w:sz="8" w:color="2360A6"/>
            </w:tcBorders>
          </w:tcPr>
          <w:p>
            <w:pPr>
              <w:spacing w:after="0"/>
              <w:rPr>
                <w:sz w:val="17"/>
                <w:szCs w:val="17"/>
                <w:color w:val="auto"/>
              </w:rPr>
            </w:pPr>
          </w:p>
        </w:tc>
        <w:tc>
          <w:tcPr>
            <w:tcW w:w="1180" w:type="dxa"/>
            <w:vAlign w:val="bottom"/>
            <w:tcBorders>
              <w:top w:val="single" w:sz="8" w:color="2360A6"/>
              <w:bottom w:val="single" w:sz="8" w:color="2360A6"/>
            </w:tcBorders>
          </w:tcPr>
          <w:p>
            <w:pPr>
              <w:jc w:val="right"/>
              <w:ind w:right="857"/>
              <w:spacing w:after="0"/>
              <w:rPr>
                <w:sz w:val="20"/>
                <w:szCs w:val="20"/>
                <w:color w:val="auto"/>
              </w:rPr>
            </w:pPr>
            <w:r>
              <w:rPr>
                <w:rFonts w:ascii="Arial" w:cs="Arial" w:eastAsia="Arial" w:hAnsi="Arial"/>
                <w:sz w:val="13"/>
                <w:szCs w:val="13"/>
                <w:b w:val="1"/>
                <w:bCs w:val="1"/>
                <w:color w:val="2360A6"/>
                <w:w w:val="82"/>
              </w:rPr>
              <w:t>2014</w:t>
            </w:r>
          </w:p>
        </w:tc>
        <w:tc>
          <w:tcPr>
            <w:tcW w:w="840" w:type="dxa"/>
            <w:vAlign w:val="bottom"/>
            <w:tcBorders>
              <w:top w:val="single" w:sz="8" w:color="2360A6"/>
              <w:bottom w:val="single" w:sz="8" w:color="2360A6"/>
            </w:tcBorders>
          </w:tcPr>
          <w:p>
            <w:pPr>
              <w:spacing w:after="0"/>
              <w:rPr>
                <w:sz w:val="17"/>
                <w:szCs w:val="17"/>
                <w:color w:val="auto"/>
              </w:rPr>
            </w:pPr>
          </w:p>
        </w:tc>
        <w:tc>
          <w:tcPr>
            <w:tcW w:w="1160" w:type="dxa"/>
            <w:vAlign w:val="bottom"/>
            <w:tcBorders>
              <w:top w:val="single" w:sz="8" w:color="2360A6"/>
              <w:bottom w:val="single" w:sz="8" w:color="2360A6"/>
            </w:tcBorders>
          </w:tcPr>
          <w:p>
            <w:pPr>
              <w:spacing w:after="0"/>
              <w:rPr>
                <w:sz w:val="17"/>
                <w:szCs w:val="17"/>
                <w:color w:val="auto"/>
              </w:rPr>
            </w:pPr>
          </w:p>
        </w:tc>
        <w:tc>
          <w:tcPr>
            <w:tcW w:w="1240" w:type="dxa"/>
            <w:vAlign w:val="bottom"/>
            <w:tcBorders>
              <w:top w:val="single" w:sz="8" w:color="2360A6"/>
              <w:bottom w:val="single" w:sz="8" w:color="2360A6"/>
            </w:tcBorders>
          </w:tcPr>
          <w:p>
            <w:pPr>
              <w:spacing w:after="0"/>
              <w:rPr>
                <w:sz w:val="17"/>
                <w:szCs w:val="17"/>
                <w:color w:val="auto"/>
              </w:rPr>
            </w:pPr>
          </w:p>
        </w:tc>
        <w:tc>
          <w:tcPr>
            <w:tcW w:w="20" w:type="dxa"/>
            <w:vAlign w:val="bottom"/>
            <w:tcBorders>
              <w:top w:val="single" w:sz="8" w:color="2360A6"/>
              <w:bottom w:val="single" w:sz="8" w:color="2360A6"/>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60" w:type="dxa"/>
            <w:vAlign w:val="bottom"/>
            <w:tcBorders>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In millions of Euro</w:t>
            </w:r>
          </w:p>
        </w:tc>
        <w:tc>
          <w:tcPr>
            <w:tcW w:w="860" w:type="dxa"/>
            <w:vAlign w:val="bottom"/>
            <w:tcBorders>
              <w:right w:val="single" w:sz="8" w:color="2360A6"/>
            </w:tcBorders>
          </w:tcPr>
          <w:p>
            <w:pPr>
              <w:spacing w:after="0"/>
              <w:rPr>
                <w:sz w:val="20"/>
                <w:szCs w:val="20"/>
                <w:color w:val="auto"/>
              </w:rPr>
            </w:pPr>
          </w:p>
        </w:tc>
        <w:tc>
          <w:tcPr>
            <w:tcW w:w="1080" w:type="dxa"/>
            <w:vAlign w:val="bottom"/>
            <w:tcBorders>
              <w:right w:val="single" w:sz="8" w:color="2360A6"/>
            </w:tcBorders>
            <w:vMerge w:val="restart"/>
          </w:tcPr>
          <w:p>
            <w:pPr>
              <w:jc w:val="right"/>
              <w:ind w:right="57"/>
              <w:spacing w:after="0"/>
              <w:rPr>
                <w:sz w:val="20"/>
                <w:szCs w:val="20"/>
                <w:color w:val="auto"/>
              </w:rPr>
            </w:pPr>
            <w:r>
              <w:rPr>
                <w:rFonts w:ascii="Arial" w:cs="Arial" w:eastAsia="Arial" w:hAnsi="Arial"/>
                <w:sz w:val="13"/>
                <w:szCs w:val="13"/>
                <w:b w:val="1"/>
                <w:bCs w:val="1"/>
                <w:color w:val="2360A6"/>
              </w:rPr>
              <w:t>Onshore/</w:t>
            </w:r>
          </w:p>
        </w:tc>
        <w:tc>
          <w:tcPr>
            <w:tcW w:w="980" w:type="dxa"/>
            <w:vAlign w:val="bottom"/>
            <w:tcBorders>
              <w:right w:val="single" w:sz="8" w:color="2360A6"/>
            </w:tcBorders>
          </w:tcPr>
          <w:p>
            <w:pPr>
              <w:spacing w:after="0"/>
              <w:rPr>
                <w:sz w:val="20"/>
                <w:szCs w:val="20"/>
                <w:color w:val="auto"/>
              </w:rPr>
            </w:pPr>
          </w:p>
        </w:tc>
        <w:tc>
          <w:tcPr>
            <w:tcW w:w="1300" w:type="dxa"/>
            <w:vAlign w:val="bottom"/>
            <w:tcBorders>
              <w:right w:val="single" w:sz="8" w:color="2360A6"/>
            </w:tcBorders>
            <w:vMerge w:val="restart"/>
          </w:tcPr>
          <w:p>
            <w:pPr>
              <w:jc w:val="right"/>
              <w:ind w:right="77"/>
              <w:spacing w:after="0"/>
              <w:rPr>
                <w:sz w:val="20"/>
                <w:szCs w:val="20"/>
                <w:color w:val="auto"/>
              </w:rPr>
            </w:pPr>
            <w:r>
              <w:rPr>
                <w:rFonts w:ascii="Arial" w:cs="Arial" w:eastAsia="Arial" w:hAnsi="Arial"/>
                <w:sz w:val="13"/>
                <w:szCs w:val="13"/>
                <w:b w:val="1"/>
                <w:bCs w:val="1"/>
                <w:color w:val="2360A6"/>
              </w:rPr>
              <w:t>Non Allocable and</w:t>
            </w:r>
          </w:p>
        </w:tc>
        <w:tc>
          <w:tcPr>
            <w:tcW w:w="1180" w:type="dxa"/>
            <w:vAlign w:val="bottom"/>
            <w:tcBorders>
              <w:right w:val="single" w:sz="8" w:color="2360A6"/>
            </w:tcBorders>
            <w:vMerge w:val="restart"/>
          </w:tcPr>
          <w:p>
            <w:pPr>
              <w:jc w:val="right"/>
              <w:ind w:right="57"/>
              <w:spacing w:after="0"/>
              <w:rPr>
                <w:sz w:val="20"/>
                <w:szCs w:val="20"/>
                <w:color w:val="auto"/>
              </w:rPr>
            </w:pPr>
            <w:r>
              <w:rPr>
                <w:rFonts w:ascii="Arial" w:cs="Arial" w:eastAsia="Arial" w:hAnsi="Arial"/>
                <w:sz w:val="13"/>
                <w:szCs w:val="13"/>
                <w:b w:val="1"/>
                <w:bCs w:val="1"/>
                <w:color w:val="2360A6"/>
              </w:rPr>
              <w:t>Total Continuing</w:t>
            </w:r>
          </w:p>
        </w:tc>
        <w:tc>
          <w:tcPr>
            <w:tcW w:w="840" w:type="dxa"/>
            <w:vAlign w:val="bottom"/>
            <w:tcBorders>
              <w:right w:val="single" w:sz="8" w:color="2360A6"/>
            </w:tcBorders>
            <w:vMerge w:val="restart"/>
          </w:tcPr>
          <w:p>
            <w:pPr>
              <w:jc w:val="right"/>
              <w:ind w:right="57"/>
              <w:spacing w:after="0"/>
              <w:rPr>
                <w:sz w:val="20"/>
                <w:szCs w:val="20"/>
                <w:color w:val="auto"/>
              </w:rPr>
            </w:pPr>
            <w:r>
              <w:rPr>
                <w:rFonts w:ascii="Arial" w:cs="Arial" w:eastAsia="Arial" w:hAnsi="Arial"/>
                <w:sz w:val="13"/>
                <w:szCs w:val="13"/>
                <w:b w:val="1"/>
                <w:bCs w:val="1"/>
                <w:color w:val="2360A6"/>
              </w:rPr>
              <w:t>Total</w:t>
            </w:r>
          </w:p>
        </w:tc>
        <w:tc>
          <w:tcPr>
            <w:tcW w:w="1160" w:type="dxa"/>
            <w:vAlign w:val="bottom"/>
            <w:tcBorders>
              <w:right w:val="single" w:sz="8" w:color="2360A6"/>
            </w:tcBorders>
          </w:tcPr>
          <w:p>
            <w:pPr>
              <w:spacing w:after="0"/>
              <w:rPr>
                <w:sz w:val="20"/>
                <w:szCs w:val="20"/>
                <w:color w:val="auto"/>
              </w:rPr>
            </w:pPr>
          </w:p>
        </w:tc>
        <w:tc>
          <w:tcPr>
            <w:tcW w:w="124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2360A6"/>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2060" w:type="dxa"/>
            <w:vAlign w:val="bottom"/>
            <w:tcBorders>
              <w:right w:val="single" w:sz="8" w:color="2360A6"/>
            </w:tcBorders>
          </w:tcPr>
          <w:p>
            <w:pPr>
              <w:spacing w:after="0"/>
              <w:rPr>
                <w:sz w:val="8"/>
                <w:szCs w:val="8"/>
                <w:color w:val="auto"/>
              </w:rPr>
            </w:pPr>
          </w:p>
        </w:tc>
        <w:tc>
          <w:tcPr>
            <w:tcW w:w="860" w:type="dxa"/>
            <w:vAlign w:val="bottom"/>
            <w:tcBorders>
              <w:right w:val="single" w:sz="8" w:color="2360A6"/>
            </w:tcBorders>
          </w:tcPr>
          <w:p>
            <w:pPr>
              <w:spacing w:after="0"/>
              <w:rPr>
                <w:sz w:val="8"/>
                <w:szCs w:val="8"/>
                <w:color w:val="auto"/>
              </w:rPr>
            </w:pPr>
          </w:p>
        </w:tc>
        <w:tc>
          <w:tcPr>
            <w:tcW w:w="1080" w:type="dxa"/>
            <w:vAlign w:val="bottom"/>
            <w:tcBorders>
              <w:right w:val="single" w:sz="8" w:color="2360A6"/>
            </w:tcBorders>
            <w:vMerge w:val="continue"/>
          </w:tcPr>
          <w:p>
            <w:pPr>
              <w:spacing w:after="0"/>
              <w:rPr>
                <w:sz w:val="8"/>
                <w:szCs w:val="8"/>
                <w:color w:val="auto"/>
              </w:rPr>
            </w:pPr>
          </w:p>
        </w:tc>
        <w:tc>
          <w:tcPr>
            <w:tcW w:w="980" w:type="dxa"/>
            <w:vAlign w:val="bottom"/>
            <w:tcBorders>
              <w:right w:val="single" w:sz="8" w:color="2360A6"/>
            </w:tcBorders>
          </w:tcPr>
          <w:p>
            <w:pPr>
              <w:spacing w:after="0"/>
              <w:rPr>
                <w:sz w:val="8"/>
                <w:szCs w:val="8"/>
                <w:color w:val="auto"/>
              </w:rPr>
            </w:pPr>
          </w:p>
        </w:tc>
        <w:tc>
          <w:tcPr>
            <w:tcW w:w="1300" w:type="dxa"/>
            <w:vAlign w:val="bottom"/>
            <w:tcBorders>
              <w:right w:val="single" w:sz="8" w:color="2360A6"/>
            </w:tcBorders>
            <w:vMerge w:val="continue"/>
          </w:tcPr>
          <w:p>
            <w:pPr>
              <w:spacing w:after="0"/>
              <w:rPr>
                <w:sz w:val="8"/>
                <w:szCs w:val="8"/>
                <w:color w:val="auto"/>
              </w:rPr>
            </w:pPr>
          </w:p>
        </w:tc>
        <w:tc>
          <w:tcPr>
            <w:tcW w:w="1180" w:type="dxa"/>
            <w:vAlign w:val="bottom"/>
            <w:tcBorders>
              <w:right w:val="single" w:sz="8" w:color="2360A6"/>
            </w:tcBorders>
            <w:vMerge w:val="continue"/>
          </w:tcPr>
          <w:p>
            <w:pPr>
              <w:spacing w:after="0"/>
              <w:rPr>
                <w:sz w:val="8"/>
                <w:szCs w:val="8"/>
                <w:color w:val="auto"/>
              </w:rPr>
            </w:pPr>
          </w:p>
        </w:tc>
        <w:tc>
          <w:tcPr>
            <w:tcW w:w="840" w:type="dxa"/>
            <w:vAlign w:val="bottom"/>
            <w:tcBorders>
              <w:right w:val="single" w:sz="8" w:color="2360A6"/>
            </w:tcBorders>
            <w:vMerge w:val="continue"/>
          </w:tcPr>
          <w:p>
            <w:pPr>
              <w:spacing w:after="0"/>
              <w:rPr>
                <w:sz w:val="8"/>
                <w:szCs w:val="8"/>
                <w:color w:val="auto"/>
              </w:rPr>
            </w:pPr>
          </w:p>
        </w:tc>
        <w:tc>
          <w:tcPr>
            <w:tcW w:w="1160" w:type="dxa"/>
            <w:vAlign w:val="bottom"/>
            <w:tcBorders>
              <w:right w:val="single" w:sz="8" w:color="2360A6"/>
            </w:tcBorders>
          </w:tcPr>
          <w:p>
            <w:pPr>
              <w:spacing w:after="0"/>
              <w:rPr>
                <w:sz w:val="8"/>
                <w:szCs w:val="8"/>
                <w:color w:val="auto"/>
              </w:rPr>
            </w:pPr>
          </w:p>
        </w:tc>
        <w:tc>
          <w:tcPr>
            <w:tcW w:w="12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60" w:type="dxa"/>
            <w:vAlign w:val="bottom"/>
            <w:tcBorders>
              <w:bottom w:val="single" w:sz="8" w:color="2360A6"/>
              <w:right w:val="single" w:sz="8" w:color="2360A6"/>
            </w:tcBorders>
          </w:tcPr>
          <w:p>
            <w:pPr>
              <w:spacing w:after="0"/>
              <w:rPr>
                <w:sz w:val="15"/>
                <w:szCs w:val="15"/>
                <w:color w:val="auto"/>
              </w:rPr>
            </w:pP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Subsea</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Offshore</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Corporate</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Eliminations</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Operations</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adjusted</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Adjustments</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Consolidated</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Revenues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4,880.4</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5,844.1</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10,724.5</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10,724.5</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(650.6)</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10,073.9</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Gross Margin</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898.6</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615.6</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1,514.2</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1,514.2</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(46.6)</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1,467.6</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60" w:type="dxa"/>
            <w:vAlign w:val="bottom"/>
            <w:tcBorders>
              <w:right w:val="single" w:sz="8" w:color="2360A6"/>
            </w:tcBorders>
          </w:tcPr>
          <w:p>
            <w:pPr>
              <w:ind w:left="40"/>
              <w:spacing w:after="0" w:line="140" w:lineRule="exact"/>
              <w:rPr>
                <w:sz w:val="20"/>
                <w:szCs w:val="20"/>
                <w:color w:val="auto"/>
              </w:rPr>
            </w:pPr>
            <w:r>
              <w:rPr>
                <w:rFonts w:ascii="Arial" w:cs="Arial" w:eastAsia="Arial" w:hAnsi="Arial"/>
                <w:sz w:val="13"/>
                <w:szCs w:val="13"/>
                <w:b w:val="1"/>
                <w:bCs w:val="1"/>
                <w:color w:val="2360A6"/>
              </w:rPr>
              <w:t>Operating Income/(Loss) from</w:t>
            </w:r>
          </w:p>
        </w:tc>
        <w:tc>
          <w:tcPr>
            <w:tcW w:w="860" w:type="dxa"/>
            <w:vAlign w:val="bottom"/>
            <w:tcBorders>
              <w:right w:val="single" w:sz="8" w:color="2360A6"/>
            </w:tcBorders>
          </w:tcPr>
          <w:p>
            <w:pPr>
              <w:spacing w:after="0"/>
              <w:rPr>
                <w:sz w:val="12"/>
                <w:szCs w:val="12"/>
                <w:color w:val="auto"/>
              </w:rPr>
            </w:pPr>
          </w:p>
        </w:tc>
        <w:tc>
          <w:tcPr>
            <w:tcW w:w="1080" w:type="dxa"/>
            <w:vAlign w:val="bottom"/>
            <w:tcBorders>
              <w:right w:val="single" w:sz="8" w:color="2360A6"/>
            </w:tcBorders>
          </w:tcPr>
          <w:p>
            <w:pPr>
              <w:spacing w:after="0"/>
              <w:rPr>
                <w:sz w:val="12"/>
                <w:szCs w:val="12"/>
                <w:color w:val="auto"/>
              </w:rPr>
            </w:pPr>
          </w:p>
        </w:tc>
        <w:tc>
          <w:tcPr>
            <w:tcW w:w="980" w:type="dxa"/>
            <w:vAlign w:val="bottom"/>
            <w:tcBorders>
              <w:right w:val="single" w:sz="8" w:color="2360A6"/>
            </w:tcBorders>
          </w:tcPr>
          <w:p>
            <w:pPr>
              <w:spacing w:after="0"/>
              <w:rPr>
                <w:sz w:val="12"/>
                <w:szCs w:val="12"/>
                <w:color w:val="auto"/>
              </w:rPr>
            </w:pPr>
          </w:p>
        </w:tc>
        <w:tc>
          <w:tcPr>
            <w:tcW w:w="1300" w:type="dxa"/>
            <w:vAlign w:val="bottom"/>
            <w:tcBorders>
              <w:right w:val="single" w:sz="8" w:color="2360A6"/>
            </w:tcBorders>
          </w:tcPr>
          <w:p>
            <w:pPr>
              <w:spacing w:after="0"/>
              <w:rPr>
                <w:sz w:val="12"/>
                <w:szCs w:val="12"/>
                <w:color w:val="auto"/>
              </w:rPr>
            </w:pPr>
          </w:p>
        </w:tc>
        <w:tc>
          <w:tcPr>
            <w:tcW w:w="1180" w:type="dxa"/>
            <w:vAlign w:val="bottom"/>
            <w:tcBorders>
              <w:right w:val="single" w:sz="8" w:color="2360A6"/>
            </w:tcBorders>
          </w:tcPr>
          <w:p>
            <w:pPr>
              <w:spacing w:after="0"/>
              <w:rPr>
                <w:sz w:val="12"/>
                <w:szCs w:val="12"/>
                <w:color w:val="auto"/>
              </w:rPr>
            </w:pPr>
          </w:p>
        </w:tc>
        <w:tc>
          <w:tcPr>
            <w:tcW w:w="840" w:type="dxa"/>
            <w:vAlign w:val="bottom"/>
            <w:tcBorders>
              <w:right w:val="single" w:sz="8" w:color="2360A6"/>
            </w:tcBorders>
          </w:tcPr>
          <w:p>
            <w:pPr>
              <w:spacing w:after="0"/>
              <w:rPr>
                <w:sz w:val="12"/>
                <w:szCs w:val="12"/>
                <w:color w:val="auto"/>
              </w:rPr>
            </w:pPr>
          </w:p>
        </w:tc>
        <w:tc>
          <w:tcPr>
            <w:tcW w:w="1160" w:type="dxa"/>
            <w:vAlign w:val="bottom"/>
            <w:tcBorders>
              <w:right w:val="single" w:sz="8" w:color="2360A6"/>
            </w:tcBorders>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Recurring Activities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624.2</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268.9</w:t>
            </w:r>
          </w:p>
        </w:tc>
        <w:tc>
          <w:tcPr>
            <w:tcW w:w="9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(86.7)</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806.4</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806.4</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(46.5)</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759.9</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6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Share of Income/(Loss) of Equity</w:t>
            </w:r>
          </w:p>
        </w:tc>
        <w:tc>
          <w:tcPr>
            <w:tcW w:w="86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180" w:type="dxa"/>
            <w:vAlign w:val="bottom"/>
            <w:tcBorders>
              <w:right w:val="single" w:sz="8" w:color="2360A6"/>
            </w:tcBorders>
          </w:tcPr>
          <w:p>
            <w:pPr>
              <w:spacing w:after="0"/>
              <w:rPr>
                <w:sz w:val="13"/>
                <w:szCs w:val="13"/>
                <w:color w:val="auto"/>
              </w:rPr>
            </w:pPr>
          </w:p>
        </w:tc>
        <w:tc>
          <w:tcPr>
            <w:tcW w:w="840" w:type="dxa"/>
            <w:vAlign w:val="bottom"/>
            <w:tcBorders>
              <w:right w:val="single" w:sz="8" w:color="2360A6"/>
            </w:tcBorders>
          </w:tcPr>
          <w:p>
            <w:pPr>
              <w:spacing w:after="0"/>
              <w:rPr>
                <w:sz w:val="13"/>
                <w:szCs w:val="13"/>
                <w:color w:val="auto"/>
              </w:rPr>
            </w:pPr>
          </w:p>
        </w:tc>
        <w:tc>
          <w:tcPr>
            <w:tcW w:w="1160" w:type="dxa"/>
            <w:vAlign w:val="bottom"/>
            <w:tcBorders>
              <w:right w:val="single" w:sz="8" w:color="2360A6"/>
            </w:tcBorders>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Affiliates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10.9</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7.3</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18.2</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18.2</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22.1</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40.3</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60" w:type="dxa"/>
            <w:vAlign w:val="bottom"/>
            <w:tcBorders>
              <w:right w:val="single" w:sz="8" w:color="2360A6"/>
            </w:tcBorders>
          </w:tcPr>
          <w:p>
            <w:pPr>
              <w:ind w:left="40"/>
              <w:spacing w:after="0" w:line="140" w:lineRule="exact"/>
              <w:rPr>
                <w:sz w:val="20"/>
                <w:szCs w:val="20"/>
                <w:color w:val="auto"/>
              </w:rPr>
            </w:pPr>
            <w:r>
              <w:rPr>
                <w:rFonts w:ascii="Arial" w:cs="Arial" w:eastAsia="Arial" w:hAnsi="Arial"/>
                <w:sz w:val="13"/>
                <w:szCs w:val="13"/>
                <w:b w:val="1"/>
                <w:bCs w:val="1"/>
                <w:color w:val="2360A6"/>
              </w:rPr>
              <w:t>Operating Income from</w:t>
            </w:r>
          </w:p>
        </w:tc>
        <w:tc>
          <w:tcPr>
            <w:tcW w:w="860" w:type="dxa"/>
            <w:vAlign w:val="bottom"/>
            <w:tcBorders>
              <w:right w:val="single" w:sz="8" w:color="2360A6"/>
            </w:tcBorders>
          </w:tcPr>
          <w:p>
            <w:pPr>
              <w:spacing w:after="0"/>
              <w:rPr>
                <w:sz w:val="12"/>
                <w:szCs w:val="12"/>
                <w:color w:val="auto"/>
              </w:rPr>
            </w:pPr>
          </w:p>
        </w:tc>
        <w:tc>
          <w:tcPr>
            <w:tcW w:w="1080" w:type="dxa"/>
            <w:vAlign w:val="bottom"/>
            <w:tcBorders>
              <w:right w:val="single" w:sz="8" w:color="2360A6"/>
            </w:tcBorders>
          </w:tcPr>
          <w:p>
            <w:pPr>
              <w:spacing w:after="0"/>
              <w:rPr>
                <w:sz w:val="12"/>
                <w:szCs w:val="12"/>
                <w:color w:val="auto"/>
              </w:rPr>
            </w:pPr>
          </w:p>
        </w:tc>
        <w:tc>
          <w:tcPr>
            <w:tcW w:w="980" w:type="dxa"/>
            <w:vAlign w:val="bottom"/>
            <w:tcBorders>
              <w:right w:val="single" w:sz="8" w:color="2360A6"/>
            </w:tcBorders>
          </w:tcPr>
          <w:p>
            <w:pPr>
              <w:spacing w:after="0"/>
              <w:rPr>
                <w:sz w:val="12"/>
                <w:szCs w:val="12"/>
                <w:color w:val="auto"/>
              </w:rPr>
            </w:pPr>
          </w:p>
        </w:tc>
        <w:tc>
          <w:tcPr>
            <w:tcW w:w="1300" w:type="dxa"/>
            <w:vAlign w:val="bottom"/>
            <w:tcBorders>
              <w:right w:val="single" w:sz="8" w:color="2360A6"/>
            </w:tcBorders>
          </w:tcPr>
          <w:p>
            <w:pPr>
              <w:spacing w:after="0"/>
              <w:rPr>
                <w:sz w:val="12"/>
                <w:szCs w:val="12"/>
                <w:color w:val="auto"/>
              </w:rPr>
            </w:pPr>
          </w:p>
        </w:tc>
        <w:tc>
          <w:tcPr>
            <w:tcW w:w="1180" w:type="dxa"/>
            <w:vAlign w:val="bottom"/>
            <w:tcBorders>
              <w:right w:val="single" w:sz="8" w:color="2360A6"/>
            </w:tcBorders>
          </w:tcPr>
          <w:p>
            <w:pPr>
              <w:spacing w:after="0"/>
              <w:rPr>
                <w:sz w:val="12"/>
                <w:szCs w:val="12"/>
                <w:color w:val="auto"/>
              </w:rPr>
            </w:pPr>
          </w:p>
        </w:tc>
        <w:tc>
          <w:tcPr>
            <w:tcW w:w="840" w:type="dxa"/>
            <w:vAlign w:val="bottom"/>
            <w:tcBorders>
              <w:right w:val="single" w:sz="8" w:color="2360A6"/>
            </w:tcBorders>
          </w:tcPr>
          <w:p>
            <w:pPr>
              <w:spacing w:after="0"/>
              <w:rPr>
                <w:sz w:val="12"/>
                <w:szCs w:val="12"/>
                <w:color w:val="auto"/>
              </w:rPr>
            </w:pPr>
          </w:p>
        </w:tc>
        <w:tc>
          <w:tcPr>
            <w:tcW w:w="1160" w:type="dxa"/>
            <w:vAlign w:val="bottom"/>
            <w:tcBorders>
              <w:right w:val="single" w:sz="8" w:color="2360A6"/>
            </w:tcBorders>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60" w:type="dxa"/>
            <w:vAlign w:val="bottom"/>
            <w:tcBorders>
              <w:right w:val="single" w:sz="8" w:color="2360A6"/>
            </w:tcBorders>
          </w:tcPr>
          <w:p>
            <w:pPr>
              <w:ind w:left="40"/>
              <w:spacing w:after="0" w:line="135" w:lineRule="exact"/>
              <w:rPr>
                <w:sz w:val="20"/>
                <w:szCs w:val="20"/>
                <w:color w:val="auto"/>
              </w:rPr>
            </w:pPr>
            <w:r>
              <w:rPr>
                <w:rFonts w:ascii="Arial" w:cs="Arial" w:eastAsia="Arial" w:hAnsi="Arial"/>
                <w:sz w:val="13"/>
                <w:szCs w:val="13"/>
                <w:b w:val="1"/>
                <w:bCs w:val="1"/>
                <w:color w:val="2360A6"/>
              </w:rPr>
              <w:t>Recurring Activities after</w:t>
            </w:r>
          </w:p>
        </w:tc>
        <w:tc>
          <w:tcPr>
            <w:tcW w:w="860" w:type="dxa"/>
            <w:vAlign w:val="bottom"/>
            <w:tcBorders>
              <w:right w:val="single" w:sz="8" w:color="2360A6"/>
            </w:tcBorders>
          </w:tcPr>
          <w:p>
            <w:pPr>
              <w:spacing w:after="0"/>
              <w:rPr>
                <w:sz w:val="11"/>
                <w:szCs w:val="11"/>
                <w:color w:val="auto"/>
              </w:rPr>
            </w:pPr>
          </w:p>
        </w:tc>
        <w:tc>
          <w:tcPr>
            <w:tcW w:w="1080" w:type="dxa"/>
            <w:vAlign w:val="bottom"/>
            <w:tcBorders>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1300" w:type="dxa"/>
            <w:vAlign w:val="bottom"/>
            <w:tcBorders>
              <w:right w:val="single" w:sz="8" w:color="2360A6"/>
            </w:tcBorders>
          </w:tcPr>
          <w:p>
            <w:pPr>
              <w:spacing w:after="0"/>
              <w:rPr>
                <w:sz w:val="11"/>
                <w:szCs w:val="11"/>
                <w:color w:val="auto"/>
              </w:rPr>
            </w:pPr>
          </w:p>
        </w:tc>
        <w:tc>
          <w:tcPr>
            <w:tcW w:w="1180" w:type="dxa"/>
            <w:vAlign w:val="bottom"/>
            <w:tcBorders>
              <w:right w:val="single" w:sz="8" w:color="2360A6"/>
            </w:tcBorders>
          </w:tcPr>
          <w:p>
            <w:pPr>
              <w:spacing w:after="0"/>
              <w:rPr>
                <w:sz w:val="11"/>
                <w:szCs w:val="11"/>
                <w:color w:val="auto"/>
              </w:rPr>
            </w:pPr>
          </w:p>
        </w:tc>
        <w:tc>
          <w:tcPr>
            <w:tcW w:w="840" w:type="dxa"/>
            <w:vAlign w:val="bottom"/>
            <w:tcBorders>
              <w:right w:val="single" w:sz="8" w:color="2360A6"/>
            </w:tcBorders>
          </w:tcPr>
          <w:p>
            <w:pPr>
              <w:spacing w:after="0"/>
              <w:rPr>
                <w:sz w:val="11"/>
                <w:szCs w:val="11"/>
                <w:color w:val="auto"/>
              </w:rPr>
            </w:pPr>
          </w:p>
        </w:tc>
        <w:tc>
          <w:tcPr>
            <w:tcW w:w="1160" w:type="dxa"/>
            <w:vAlign w:val="bottom"/>
            <w:tcBorders>
              <w:right w:val="single" w:sz="8" w:color="2360A6"/>
            </w:tcBorders>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60" w:type="dxa"/>
            <w:vAlign w:val="bottom"/>
            <w:tcBorders>
              <w:right w:val="single" w:sz="8" w:color="2360A6"/>
            </w:tcBorders>
          </w:tcPr>
          <w:p>
            <w:pPr>
              <w:ind w:left="40"/>
              <w:spacing w:after="0" w:line="135" w:lineRule="exact"/>
              <w:rPr>
                <w:sz w:val="20"/>
                <w:szCs w:val="20"/>
                <w:color w:val="auto"/>
              </w:rPr>
            </w:pPr>
            <w:r>
              <w:rPr>
                <w:rFonts w:ascii="Arial" w:cs="Arial" w:eastAsia="Arial" w:hAnsi="Arial"/>
                <w:sz w:val="13"/>
                <w:szCs w:val="13"/>
                <w:b w:val="1"/>
                <w:bCs w:val="1"/>
                <w:color w:val="2360A6"/>
              </w:rPr>
              <w:t>Income/(Loss) of Equity</w:t>
            </w:r>
          </w:p>
        </w:tc>
        <w:tc>
          <w:tcPr>
            <w:tcW w:w="860" w:type="dxa"/>
            <w:vAlign w:val="bottom"/>
            <w:tcBorders>
              <w:right w:val="single" w:sz="8" w:color="2360A6"/>
            </w:tcBorders>
          </w:tcPr>
          <w:p>
            <w:pPr>
              <w:spacing w:after="0"/>
              <w:rPr>
                <w:sz w:val="11"/>
                <w:szCs w:val="11"/>
                <w:color w:val="auto"/>
              </w:rPr>
            </w:pPr>
          </w:p>
        </w:tc>
        <w:tc>
          <w:tcPr>
            <w:tcW w:w="1080" w:type="dxa"/>
            <w:vAlign w:val="bottom"/>
            <w:tcBorders>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1300" w:type="dxa"/>
            <w:vAlign w:val="bottom"/>
            <w:tcBorders>
              <w:right w:val="single" w:sz="8" w:color="2360A6"/>
            </w:tcBorders>
          </w:tcPr>
          <w:p>
            <w:pPr>
              <w:spacing w:after="0"/>
              <w:rPr>
                <w:sz w:val="11"/>
                <w:szCs w:val="11"/>
                <w:color w:val="auto"/>
              </w:rPr>
            </w:pPr>
          </w:p>
        </w:tc>
        <w:tc>
          <w:tcPr>
            <w:tcW w:w="1180" w:type="dxa"/>
            <w:vAlign w:val="bottom"/>
            <w:tcBorders>
              <w:right w:val="single" w:sz="8" w:color="2360A6"/>
            </w:tcBorders>
          </w:tcPr>
          <w:p>
            <w:pPr>
              <w:spacing w:after="0"/>
              <w:rPr>
                <w:sz w:val="11"/>
                <w:szCs w:val="11"/>
                <w:color w:val="auto"/>
              </w:rPr>
            </w:pPr>
          </w:p>
        </w:tc>
        <w:tc>
          <w:tcPr>
            <w:tcW w:w="840" w:type="dxa"/>
            <w:vAlign w:val="bottom"/>
            <w:tcBorders>
              <w:right w:val="single" w:sz="8" w:color="2360A6"/>
            </w:tcBorders>
          </w:tcPr>
          <w:p>
            <w:pPr>
              <w:spacing w:after="0"/>
              <w:rPr>
                <w:sz w:val="11"/>
                <w:szCs w:val="11"/>
                <w:color w:val="auto"/>
              </w:rPr>
            </w:pPr>
          </w:p>
        </w:tc>
        <w:tc>
          <w:tcPr>
            <w:tcW w:w="1160" w:type="dxa"/>
            <w:vAlign w:val="bottom"/>
            <w:tcBorders>
              <w:right w:val="single" w:sz="8" w:color="2360A6"/>
            </w:tcBorders>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Affiliates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635.1</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276.2</w:t>
            </w:r>
          </w:p>
        </w:tc>
        <w:tc>
          <w:tcPr>
            <w:tcW w:w="9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(86.7)</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824.6</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824.6</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(24.4)</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800.2</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6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Income/(Charges) from Disposals</w:t>
            </w:r>
          </w:p>
        </w:tc>
        <w:tc>
          <w:tcPr>
            <w:tcW w:w="86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180" w:type="dxa"/>
            <w:vAlign w:val="bottom"/>
            <w:tcBorders>
              <w:right w:val="single" w:sz="8" w:color="2360A6"/>
            </w:tcBorders>
          </w:tcPr>
          <w:p>
            <w:pPr>
              <w:spacing w:after="0"/>
              <w:rPr>
                <w:sz w:val="13"/>
                <w:szCs w:val="13"/>
                <w:color w:val="auto"/>
              </w:rPr>
            </w:pPr>
          </w:p>
        </w:tc>
        <w:tc>
          <w:tcPr>
            <w:tcW w:w="840" w:type="dxa"/>
            <w:vAlign w:val="bottom"/>
            <w:tcBorders>
              <w:right w:val="single" w:sz="8" w:color="2360A6"/>
            </w:tcBorders>
          </w:tcPr>
          <w:p>
            <w:pPr>
              <w:spacing w:after="0"/>
              <w:rPr>
                <w:sz w:val="13"/>
                <w:szCs w:val="13"/>
                <w:color w:val="auto"/>
              </w:rPr>
            </w:pPr>
          </w:p>
        </w:tc>
        <w:tc>
          <w:tcPr>
            <w:tcW w:w="1160" w:type="dxa"/>
            <w:vAlign w:val="bottom"/>
            <w:tcBorders>
              <w:right w:val="single" w:sz="8" w:color="2360A6"/>
            </w:tcBorders>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of Activities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(5.5)</w:t>
            </w:r>
          </w:p>
        </w:tc>
        <w:tc>
          <w:tcPr>
            <w:tcW w:w="11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(5.5)</w:t>
            </w:r>
          </w:p>
        </w:tc>
        <w:tc>
          <w:tcPr>
            <w:tcW w:w="8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(5.5)</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(5.5)</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6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Income/(Charges) from Non-</w:t>
            </w:r>
          </w:p>
        </w:tc>
        <w:tc>
          <w:tcPr>
            <w:tcW w:w="86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180" w:type="dxa"/>
            <w:vAlign w:val="bottom"/>
            <w:tcBorders>
              <w:right w:val="single" w:sz="8" w:color="2360A6"/>
            </w:tcBorders>
          </w:tcPr>
          <w:p>
            <w:pPr>
              <w:spacing w:after="0"/>
              <w:rPr>
                <w:sz w:val="13"/>
                <w:szCs w:val="13"/>
                <w:color w:val="auto"/>
              </w:rPr>
            </w:pPr>
          </w:p>
        </w:tc>
        <w:tc>
          <w:tcPr>
            <w:tcW w:w="840" w:type="dxa"/>
            <w:vAlign w:val="bottom"/>
            <w:tcBorders>
              <w:right w:val="single" w:sz="8" w:color="2360A6"/>
            </w:tcBorders>
          </w:tcPr>
          <w:p>
            <w:pPr>
              <w:spacing w:after="0"/>
              <w:rPr>
                <w:sz w:val="13"/>
                <w:szCs w:val="13"/>
                <w:color w:val="auto"/>
              </w:rPr>
            </w:pPr>
          </w:p>
        </w:tc>
        <w:tc>
          <w:tcPr>
            <w:tcW w:w="1160" w:type="dxa"/>
            <w:vAlign w:val="bottom"/>
            <w:tcBorders>
              <w:right w:val="single" w:sz="8" w:color="2360A6"/>
            </w:tcBorders>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Current Activities</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(1.2)</w:t>
            </w:r>
          </w:p>
        </w:tc>
        <w:tc>
          <w:tcPr>
            <w:tcW w:w="10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(5.1)</w:t>
            </w:r>
          </w:p>
        </w:tc>
        <w:tc>
          <w:tcPr>
            <w:tcW w:w="980" w:type="dxa"/>
            <w:vAlign w:val="bottom"/>
            <w:tcBorders>
              <w:bottom w:val="single" w:sz="8" w:color="2360A6"/>
              <w:right w:val="single" w:sz="8" w:color="2360A6"/>
            </w:tcBorders>
          </w:tcPr>
          <w:p>
            <w:pPr>
              <w:spacing w:after="0"/>
              <w:rPr>
                <w:sz w:val="14"/>
                <w:szCs w:val="14"/>
                <w:color w:val="auto"/>
              </w:rPr>
            </w:pP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(61.8)</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68.1)</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68.1)</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(68.1)</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Operating Income/(Loss)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633.9</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271.1</w:t>
            </w:r>
          </w:p>
        </w:tc>
        <w:tc>
          <w:tcPr>
            <w:tcW w:w="9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(86.7)</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(67.3)</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751.0</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751.0</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(24.4)</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726.6</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Financial Income/(Expenses)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(128.5)</w:t>
            </w:r>
          </w:p>
        </w:tc>
        <w:tc>
          <w:tcPr>
            <w:tcW w:w="11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(128.5)</w:t>
            </w:r>
          </w:p>
        </w:tc>
        <w:tc>
          <w:tcPr>
            <w:tcW w:w="8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(128.5)</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1.2</w:t>
            </w:r>
          </w:p>
        </w:tc>
        <w:tc>
          <w:tcPr>
            <w:tcW w:w="12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(127.3)</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Income Tax Expense</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(180.1)</w:t>
            </w:r>
          </w:p>
        </w:tc>
        <w:tc>
          <w:tcPr>
            <w:tcW w:w="11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(180.1)</w:t>
            </w:r>
          </w:p>
        </w:tc>
        <w:tc>
          <w:tcPr>
            <w:tcW w:w="8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(180.1)</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23.2</w:t>
            </w:r>
          </w:p>
        </w:tc>
        <w:tc>
          <w:tcPr>
            <w:tcW w:w="12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(156.9)</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60" w:type="dxa"/>
            <w:vAlign w:val="bottom"/>
            <w:tcBorders>
              <w:right w:val="single" w:sz="8" w:color="2360A6"/>
            </w:tcBorders>
            <w:shd w:val="clear" w:color="auto" w:fill="D2DEEC"/>
          </w:tcPr>
          <w:p>
            <w:pPr>
              <w:ind w:left="40"/>
              <w:spacing w:after="0" w:line="140" w:lineRule="exact"/>
              <w:rPr>
                <w:sz w:val="20"/>
                <w:szCs w:val="20"/>
                <w:color w:val="auto"/>
              </w:rPr>
            </w:pPr>
            <w:r>
              <w:rPr>
                <w:rFonts w:ascii="Arial" w:cs="Arial" w:eastAsia="Arial" w:hAnsi="Arial"/>
                <w:sz w:val="13"/>
                <w:szCs w:val="13"/>
                <w:b w:val="1"/>
                <w:bCs w:val="1"/>
                <w:color w:val="2360A6"/>
              </w:rPr>
              <w:t>NET INCOME/(LOSS) FOR THE</w:t>
            </w:r>
          </w:p>
        </w:tc>
        <w:tc>
          <w:tcPr>
            <w:tcW w:w="860" w:type="dxa"/>
            <w:vAlign w:val="bottom"/>
            <w:tcBorders>
              <w:right w:val="single" w:sz="8" w:color="2360A6"/>
            </w:tcBorders>
            <w:shd w:val="clear" w:color="auto" w:fill="D2DEEC"/>
          </w:tcPr>
          <w:p>
            <w:pPr>
              <w:spacing w:after="0"/>
              <w:rPr>
                <w:sz w:val="12"/>
                <w:szCs w:val="12"/>
                <w:color w:val="auto"/>
              </w:rPr>
            </w:pPr>
          </w:p>
        </w:tc>
        <w:tc>
          <w:tcPr>
            <w:tcW w:w="1080" w:type="dxa"/>
            <w:vAlign w:val="bottom"/>
            <w:tcBorders>
              <w:right w:val="single" w:sz="8" w:color="2360A6"/>
            </w:tcBorders>
            <w:shd w:val="clear" w:color="auto" w:fill="D2DEEC"/>
          </w:tcPr>
          <w:p>
            <w:pPr>
              <w:spacing w:after="0"/>
              <w:rPr>
                <w:sz w:val="12"/>
                <w:szCs w:val="12"/>
                <w:color w:val="auto"/>
              </w:rPr>
            </w:pPr>
          </w:p>
        </w:tc>
        <w:tc>
          <w:tcPr>
            <w:tcW w:w="980" w:type="dxa"/>
            <w:vAlign w:val="bottom"/>
            <w:tcBorders>
              <w:right w:val="single" w:sz="8" w:color="2360A6"/>
            </w:tcBorders>
            <w:shd w:val="clear" w:color="auto" w:fill="D2DEEC"/>
          </w:tcPr>
          <w:p>
            <w:pPr>
              <w:spacing w:after="0"/>
              <w:rPr>
                <w:sz w:val="12"/>
                <w:szCs w:val="12"/>
                <w:color w:val="auto"/>
              </w:rPr>
            </w:pPr>
          </w:p>
        </w:tc>
        <w:tc>
          <w:tcPr>
            <w:tcW w:w="1300" w:type="dxa"/>
            <w:vAlign w:val="bottom"/>
            <w:tcBorders>
              <w:right w:val="single" w:sz="8" w:color="2360A6"/>
            </w:tcBorders>
            <w:shd w:val="clear" w:color="auto" w:fill="D2DEEC"/>
          </w:tcPr>
          <w:p>
            <w:pPr>
              <w:spacing w:after="0"/>
              <w:rPr>
                <w:sz w:val="12"/>
                <w:szCs w:val="12"/>
                <w:color w:val="auto"/>
              </w:rPr>
            </w:pPr>
          </w:p>
        </w:tc>
        <w:tc>
          <w:tcPr>
            <w:tcW w:w="1180" w:type="dxa"/>
            <w:vAlign w:val="bottom"/>
            <w:tcBorders>
              <w:right w:val="single" w:sz="8" w:color="2360A6"/>
            </w:tcBorders>
            <w:shd w:val="clear" w:color="auto" w:fill="D2DEEC"/>
          </w:tcPr>
          <w:p>
            <w:pPr>
              <w:spacing w:after="0"/>
              <w:rPr>
                <w:sz w:val="12"/>
                <w:szCs w:val="12"/>
                <w:color w:val="auto"/>
              </w:rPr>
            </w:pPr>
          </w:p>
        </w:tc>
        <w:tc>
          <w:tcPr>
            <w:tcW w:w="840" w:type="dxa"/>
            <w:vAlign w:val="bottom"/>
            <w:tcBorders>
              <w:right w:val="single" w:sz="8" w:color="2360A6"/>
            </w:tcBorders>
            <w:shd w:val="clear" w:color="auto" w:fill="D2DEEC"/>
          </w:tcPr>
          <w:p>
            <w:pPr>
              <w:spacing w:after="0"/>
              <w:rPr>
                <w:sz w:val="12"/>
                <w:szCs w:val="12"/>
                <w:color w:val="auto"/>
              </w:rPr>
            </w:pPr>
          </w:p>
        </w:tc>
        <w:tc>
          <w:tcPr>
            <w:tcW w:w="1160" w:type="dxa"/>
            <w:vAlign w:val="bottom"/>
            <w:tcBorders>
              <w:right w:val="single" w:sz="8" w:color="2360A6"/>
            </w:tcBorders>
            <w:shd w:val="clear" w:color="auto" w:fill="D2DEEC"/>
          </w:tcPr>
          <w:p>
            <w:pPr>
              <w:spacing w:after="0"/>
              <w:rPr>
                <w:sz w:val="12"/>
                <w:szCs w:val="12"/>
                <w:color w:val="auto"/>
              </w:rPr>
            </w:pPr>
          </w:p>
        </w:tc>
        <w:tc>
          <w:tcPr>
            <w:tcW w:w="1240" w:type="dxa"/>
            <w:vAlign w:val="bottom"/>
            <w:shd w:val="clear" w:color="auto" w:fill="D2DEE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60" w:type="dxa"/>
            <w:vAlign w:val="bottom"/>
            <w:tcBorders>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3"/>
                <w:szCs w:val="13"/>
                <w:b w:val="1"/>
                <w:bCs w:val="1"/>
                <w:color w:val="2360A6"/>
              </w:rPr>
              <w:t>YEAR</w:t>
            </w:r>
          </w:p>
        </w:tc>
        <w:tc>
          <w:tcPr>
            <w:tcW w:w="86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NA</w:t>
            </w:r>
          </w:p>
        </w:tc>
        <w:tc>
          <w:tcPr>
            <w:tcW w:w="10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NA</w:t>
            </w:r>
          </w:p>
        </w:tc>
        <w:tc>
          <w:tcPr>
            <w:tcW w:w="98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NA</w:t>
            </w:r>
          </w:p>
        </w:tc>
        <w:tc>
          <w:tcPr>
            <w:tcW w:w="130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NA</w:t>
            </w:r>
          </w:p>
        </w:tc>
        <w:tc>
          <w:tcPr>
            <w:tcW w:w="11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442.4</w:t>
            </w:r>
          </w:p>
        </w:tc>
        <w:tc>
          <w:tcPr>
            <w:tcW w:w="84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442.4</w:t>
            </w:r>
          </w:p>
        </w:tc>
        <w:tc>
          <w:tcPr>
            <w:tcW w:w="116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w:t>
            </w:r>
          </w:p>
        </w:tc>
        <w:tc>
          <w:tcPr>
            <w:tcW w:w="1240" w:type="dxa"/>
            <w:vAlign w:val="bottom"/>
            <w:tcBorders>
              <w:bottom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442.4</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Segment Assets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6,513.1</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5,312.9</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2,042.8</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13,868.8</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13,868.8</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(1,182.2)</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12,686.6</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Investments in Equity Affiliates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118.5</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38.3</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156.8</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156.8</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38.8</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195.6</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Unallocated Assets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574.4</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574.4</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574.4</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(36.8)</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537.6</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3"/>
                <w:szCs w:val="13"/>
                <w:b w:val="1"/>
                <w:bCs w:val="1"/>
                <w:color w:val="2360A6"/>
              </w:rPr>
              <w:t>TOTAL ASSETS</w:t>
            </w:r>
          </w:p>
        </w:tc>
        <w:tc>
          <w:tcPr>
            <w:tcW w:w="86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6,631.6</w:t>
            </w:r>
          </w:p>
        </w:tc>
        <w:tc>
          <w:tcPr>
            <w:tcW w:w="10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5,351.2</w:t>
            </w:r>
          </w:p>
        </w:tc>
        <w:tc>
          <w:tcPr>
            <w:tcW w:w="98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2,042.8</w:t>
            </w:r>
          </w:p>
        </w:tc>
        <w:tc>
          <w:tcPr>
            <w:tcW w:w="130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574.4</w:t>
            </w:r>
          </w:p>
        </w:tc>
        <w:tc>
          <w:tcPr>
            <w:tcW w:w="11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14,600.0</w:t>
            </w:r>
          </w:p>
        </w:tc>
        <w:tc>
          <w:tcPr>
            <w:tcW w:w="84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14,600.0</w:t>
            </w:r>
          </w:p>
        </w:tc>
        <w:tc>
          <w:tcPr>
            <w:tcW w:w="1160" w:type="dxa"/>
            <w:vAlign w:val="bottom"/>
            <w:tcBorders>
              <w:bottom w:val="single" w:sz="8" w:color="2360A6"/>
              <w:right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(1,180.2)</w:t>
            </w:r>
          </w:p>
        </w:tc>
        <w:tc>
          <w:tcPr>
            <w:tcW w:w="1240" w:type="dxa"/>
            <w:vAlign w:val="bottom"/>
            <w:tcBorders>
              <w:bottom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13,419.8</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Segment Liabilities </w:t>
            </w:r>
            <w:r>
              <w:rPr>
                <w:rFonts w:ascii="Arial" w:cs="Arial" w:eastAsia="Arial" w:hAnsi="Arial"/>
                <w:sz w:val="8"/>
                <w:szCs w:val="8"/>
                <w:color w:val="231F20"/>
              </w:rPr>
              <w:t>(1)</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3,059.8</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4,603.5</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2,205.7</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9,869.0</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9,869.0</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(1,165.8)</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8,703.2</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Unallocated Liabilities </w:t>
            </w:r>
            <w:r>
              <w:rPr>
                <w:rFonts w:ascii="Arial" w:cs="Arial" w:eastAsia="Arial" w:hAnsi="Arial"/>
                <w:sz w:val="8"/>
                <w:szCs w:val="8"/>
                <w:color w:val="231F20"/>
              </w:rPr>
              <w:t>(2)</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4,731.0</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4,731.0</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4,731.0</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(14.4)</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4,716.6</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60" w:type="dxa"/>
            <w:vAlign w:val="bottom"/>
            <w:tcBorders>
              <w:right w:val="single" w:sz="8" w:color="2360A6"/>
            </w:tcBorders>
            <w:shd w:val="clear" w:color="auto" w:fill="D2DEEC"/>
          </w:tcPr>
          <w:p>
            <w:pPr>
              <w:ind w:left="40"/>
              <w:spacing w:after="0" w:line="140" w:lineRule="exact"/>
              <w:rPr>
                <w:sz w:val="20"/>
                <w:szCs w:val="20"/>
                <w:color w:val="auto"/>
              </w:rPr>
            </w:pPr>
            <w:r>
              <w:rPr>
                <w:rFonts w:ascii="Arial" w:cs="Arial" w:eastAsia="Arial" w:hAnsi="Arial"/>
                <w:sz w:val="13"/>
                <w:szCs w:val="13"/>
                <w:b w:val="1"/>
                <w:bCs w:val="1"/>
                <w:color w:val="2360A6"/>
              </w:rPr>
              <w:t>TOTAL LIABILITIES AND</w:t>
            </w:r>
          </w:p>
        </w:tc>
        <w:tc>
          <w:tcPr>
            <w:tcW w:w="860" w:type="dxa"/>
            <w:vAlign w:val="bottom"/>
            <w:tcBorders>
              <w:right w:val="single" w:sz="8" w:color="2360A6"/>
            </w:tcBorders>
            <w:shd w:val="clear" w:color="auto" w:fill="D2DEEC"/>
          </w:tcPr>
          <w:p>
            <w:pPr>
              <w:spacing w:after="0"/>
              <w:rPr>
                <w:sz w:val="12"/>
                <w:szCs w:val="12"/>
                <w:color w:val="auto"/>
              </w:rPr>
            </w:pPr>
          </w:p>
        </w:tc>
        <w:tc>
          <w:tcPr>
            <w:tcW w:w="1080" w:type="dxa"/>
            <w:vAlign w:val="bottom"/>
            <w:tcBorders>
              <w:right w:val="single" w:sz="8" w:color="2360A6"/>
            </w:tcBorders>
            <w:shd w:val="clear" w:color="auto" w:fill="D2DEEC"/>
          </w:tcPr>
          <w:p>
            <w:pPr>
              <w:spacing w:after="0"/>
              <w:rPr>
                <w:sz w:val="12"/>
                <w:szCs w:val="12"/>
                <w:color w:val="auto"/>
              </w:rPr>
            </w:pPr>
          </w:p>
        </w:tc>
        <w:tc>
          <w:tcPr>
            <w:tcW w:w="980" w:type="dxa"/>
            <w:vAlign w:val="bottom"/>
            <w:tcBorders>
              <w:right w:val="single" w:sz="8" w:color="2360A6"/>
            </w:tcBorders>
            <w:shd w:val="clear" w:color="auto" w:fill="D2DEEC"/>
          </w:tcPr>
          <w:p>
            <w:pPr>
              <w:spacing w:after="0"/>
              <w:rPr>
                <w:sz w:val="12"/>
                <w:szCs w:val="12"/>
                <w:color w:val="auto"/>
              </w:rPr>
            </w:pPr>
          </w:p>
        </w:tc>
        <w:tc>
          <w:tcPr>
            <w:tcW w:w="1300" w:type="dxa"/>
            <w:vAlign w:val="bottom"/>
            <w:tcBorders>
              <w:right w:val="single" w:sz="8" w:color="2360A6"/>
            </w:tcBorders>
            <w:shd w:val="clear" w:color="auto" w:fill="D2DEEC"/>
          </w:tcPr>
          <w:p>
            <w:pPr>
              <w:spacing w:after="0"/>
              <w:rPr>
                <w:sz w:val="12"/>
                <w:szCs w:val="12"/>
                <w:color w:val="auto"/>
              </w:rPr>
            </w:pPr>
          </w:p>
        </w:tc>
        <w:tc>
          <w:tcPr>
            <w:tcW w:w="1180" w:type="dxa"/>
            <w:vAlign w:val="bottom"/>
            <w:tcBorders>
              <w:right w:val="single" w:sz="8" w:color="2360A6"/>
            </w:tcBorders>
            <w:shd w:val="clear" w:color="auto" w:fill="D2DEEC"/>
          </w:tcPr>
          <w:p>
            <w:pPr>
              <w:spacing w:after="0"/>
              <w:rPr>
                <w:sz w:val="12"/>
                <w:szCs w:val="12"/>
                <w:color w:val="auto"/>
              </w:rPr>
            </w:pPr>
          </w:p>
        </w:tc>
        <w:tc>
          <w:tcPr>
            <w:tcW w:w="840" w:type="dxa"/>
            <w:vAlign w:val="bottom"/>
            <w:tcBorders>
              <w:right w:val="single" w:sz="8" w:color="2360A6"/>
            </w:tcBorders>
            <w:shd w:val="clear" w:color="auto" w:fill="D2DEEC"/>
          </w:tcPr>
          <w:p>
            <w:pPr>
              <w:spacing w:after="0"/>
              <w:rPr>
                <w:sz w:val="12"/>
                <w:szCs w:val="12"/>
                <w:color w:val="auto"/>
              </w:rPr>
            </w:pPr>
          </w:p>
        </w:tc>
        <w:tc>
          <w:tcPr>
            <w:tcW w:w="1160" w:type="dxa"/>
            <w:vAlign w:val="bottom"/>
            <w:tcBorders>
              <w:right w:val="single" w:sz="8" w:color="2360A6"/>
            </w:tcBorders>
            <w:shd w:val="clear" w:color="auto" w:fill="D2DEEC"/>
          </w:tcPr>
          <w:p>
            <w:pPr>
              <w:spacing w:after="0"/>
              <w:rPr>
                <w:sz w:val="12"/>
                <w:szCs w:val="12"/>
                <w:color w:val="auto"/>
              </w:rPr>
            </w:pPr>
          </w:p>
        </w:tc>
        <w:tc>
          <w:tcPr>
            <w:tcW w:w="1240" w:type="dxa"/>
            <w:vAlign w:val="bottom"/>
            <w:shd w:val="clear" w:color="auto" w:fill="D2DEE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60" w:type="dxa"/>
            <w:vAlign w:val="bottom"/>
            <w:tcBorders>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3"/>
                <w:szCs w:val="13"/>
                <w:b w:val="1"/>
                <w:bCs w:val="1"/>
                <w:color w:val="2360A6"/>
              </w:rPr>
              <w:t>EQUITY</w:t>
            </w:r>
          </w:p>
        </w:tc>
        <w:tc>
          <w:tcPr>
            <w:tcW w:w="86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3,059.8</w:t>
            </w:r>
          </w:p>
        </w:tc>
        <w:tc>
          <w:tcPr>
            <w:tcW w:w="10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4,603.5</w:t>
            </w:r>
          </w:p>
        </w:tc>
        <w:tc>
          <w:tcPr>
            <w:tcW w:w="98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2,205.7</w:t>
            </w:r>
          </w:p>
        </w:tc>
        <w:tc>
          <w:tcPr>
            <w:tcW w:w="130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4,731.0</w:t>
            </w:r>
          </w:p>
        </w:tc>
        <w:tc>
          <w:tcPr>
            <w:tcW w:w="11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14,600.0</w:t>
            </w:r>
          </w:p>
        </w:tc>
        <w:tc>
          <w:tcPr>
            <w:tcW w:w="84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14,600.0</w:t>
            </w:r>
          </w:p>
        </w:tc>
        <w:tc>
          <w:tcPr>
            <w:tcW w:w="1160" w:type="dxa"/>
            <w:vAlign w:val="bottom"/>
            <w:tcBorders>
              <w:bottom w:val="single" w:sz="8" w:color="2360A6"/>
              <w:right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(1,180.2)</w:t>
            </w:r>
          </w:p>
        </w:tc>
        <w:tc>
          <w:tcPr>
            <w:tcW w:w="1240" w:type="dxa"/>
            <w:vAlign w:val="bottom"/>
            <w:tcBorders>
              <w:bottom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13,419.8</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Other Segment Information</w:t>
            </w:r>
          </w:p>
        </w:tc>
        <w:tc>
          <w:tcPr>
            <w:tcW w:w="860" w:type="dxa"/>
            <w:vAlign w:val="bottom"/>
            <w:tcBorders>
              <w:bottom w:val="single" w:sz="8" w:color="2360A6"/>
              <w:right w:val="single" w:sz="8" w:color="2360A6"/>
            </w:tcBorders>
          </w:tcPr>
          <w:p>
            <w:pPr>
              <w:spacing w:after="0"/>
              <w:rPr>
                <w:sz w:val="22"/>
                <w:szCs w:val="22"/>
                <w:color w:val="auto"/>
              </w:rPr>
            </w:pPr>
          </w:p>
        </w:tc>
        <w:tc>
          <w:tcPr>
            <w:tcW w:w="1080" w:type="dxa"/>
            <w:vAlign w:val="bottom"/>
            <w:tcBorders>
              <w:bottom w:val="single" w:sz="8" w:color="2360A6"/>
              <w:right w:val="single" w:sz="8" w:color="2360A6"/>
            </w:tcBorders>
          </w:tcPr>
          <w:p>
            <w:pPr>
              <w:spacing w:after="0"/>
              <w:rPr>
                <w:sz w:val="22"/>
                <w:szCs w:val="22"/>
                <w:color w:val="auto"/>
              </w:rPr>
            </w:pPr>
          </w:p>
        </w:tc>
        <w:tc>
          <w:tcPr>
            <w:tcW w:w="980" w:type="dxa"/>
            <w:vAlign w:val="bottom"/>
            <w:tcBorders>
              <w:bottom w:val="single" w:sz="8" w:color="2360A6"/>
              <w:right w:val="single" w:sz="8" w:color="2360A6"/>
            </w:tcBorders>
          </w:tcPr>
          <w:p>
            <w:pPr>
              <w:spacing w:after="0"/>
              <w:rPr>
                <w:sz w:val="22"/>
                <w:szCs w:val="22"/>
                <w:color w:val="auto"/>
              </w:rPr>
            </w:pPr>
          </w:p>
        </w:tc>
        <w:tc>
          <w:tcPr>
            <w:tcW w:w="1300" w:type="dxa"/>
            <w:vAlign w:val="bottom"/>
            <w:tcBorders>
              <w:bottom w:val="single" w:sz="8" w:color="2360A6"/>
              <w:right w:val="single" w:sz="8" w:color="2360A6"/>
            </w:tcBorders>
          </w:tcPr>
          <w:p>
            <w:pPr>
              <w:spacing w:after="0"/>
              <w:rPr>
                <w:sz w:val="22"/>
                <w:szCs w:val="22"/>
                <w:color w:val="auto"/>
              </w:rPr>
            </w:pPr>
          </w:p>
        </w:tc>
        <w:tc>
          <w:tcPr>
            <w:tcW w:w="1180" w:type="dxa"/>
            <w:vAlign w:val="bottom"/>
            <w:tcBorders>
              <w:bottom w:val="single" w:sz="8" w:color="2360A6"/>
              <w:right w:val="single" w:sz="8" w:color="2360A6"/>
            </w:tcBorders>
          </w:tcPr>
          <w:p>
            <w:pPr>
              <w:spacing w:after="0"/>
              <w:rPr>
                <w:sz w:val="22"/>
                <w:szCs w:val="22"/>
                <w:color w:val="auto"/>
              </w:rPr>
            </w:pPr>
          </w:p>
        </w:tc>
        <w:tc>
          <w:tcPr>
            <w:tcW w:w="840" w:type="dxa"/>
            <w:vAlign w:val="bottom"/>
            <w:tcBorders>
              <w:bottom w:val="single" w:sz="8" w:color="2360A6"/>
              <w:right w:val="single" w:sz="8" w:color="2360A6"/>
            </w:tcBorders>
          </w:tcPr>
          <w:p>
            <w:pPr>
              <w:spacing w:after="0"/>
              <w:rPr>
                <w:sz w:val="22"/>
                <w:szCs w:val="22"/>
                <w:color w:val="auto"/>
              </w:rPr>
            </w:pPr>
          </w:p>
        </w:tc>
        <w:tc>
          <w:tcPr>
            <w:tcW w:w="1160" w:type="dxa"/>
            <w:vAlign w:val="bottom"/>
            <w:tcBorders>
              <w:bottom w:val="single" w:sz="8" w:color="2360A6"/>
              <w:right w:val="single" w:sz="8" w:color="2360A6"/>
            </w:tcBorders>
          </w:tcPr>
          <w:p>
            <w:pPr>
              <w:spacing w:after="0"/>
              <w:rPr>
                <w:sz w:val="22"/>
                <w:szCs w:val="22"/>
                <w:color w:val="auto"/>
              </w:rPr>
            </w:pPr>
          </w:p>
        </w:tc>
        <w:tc>
          <w:tcPr>
            <w:tcW w:w="1240" w:type="dxa"/>
            <w:vAlign w:val="bottom"/>
            <w:tcBorders>
              <w:bottom w:val="single" w:sz="8" w:color="2360A6"/>
            </w:tcBorders>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Backlog </w:t>
            </w:r>
            <w:r>
              <w:rPr>
                <w:rFonts w:ascii="Arial" w:cs="Arial" w:eastAsia="Arial" w:hAnsi="Arial"/>
                <w:sz w:val="8"/>
                <w:szCs w:val="8"/>
                <w:color w:val="231F20"/>
              </w:rPr>
              <w:t>(3)</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9,727.8</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11,208.4</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20,936.2</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20,936.2</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NA</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NA</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Order Intake </w:t>
            </w:r>
            <w:r>
              <w:rPr>
                <w:rFonts w:ascii="Arial" w:cs="Arial" w:eastAsia="Arial" w:hAnsi="Arial"/>
                <w:sz w:val="8"/>
                <w:szCs w:val="8"/>
                <w:color w:val="231F20"/>
              </w:rPr>
              <w:t>(4)</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6,837.3</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8,458.5</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15,295.8</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15,295.8</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NA</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NA</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Capital Expenditures:</w:t>
            </w:r>
          </w:p>
        </w:tc>
        <w:tc>
          <w:tcPr>
            <w:tcW w:w="860" w:type="dxa"/>
            <w:vAlign w:val="bottom"/>
            <w:tcBorders>
              <w:bottom w:val="single" w:sz="8" w:color="2360A6"/>
              <w:right w:val="single" w:sz="8" w:color="2360A6"/>
            </w:tcBorders>
          </w:tcPr>
          <w:p>
            <w:pPr>
              <w:spacing w:after="0"/>
              <w:rPr>
                <w:sz w:val="22"/>
                <w:szCs w:val="22"/>
                <w:color w:val="auto"/>
              </w:rPr>
            </w:pPr>
          </w:p>
        </w:tc>
        <w:tc>
          <w:tcPr>
            <w:tcW w:w="1080" w:type="dxa"/>
            <w:vAlign w:val="bottom"/>
            <w:tcBorders>
              <w:bottom w:val="single" w:sz="8" w:color="2360A6"/>
              <w:right w:val="single" w:sz="8" w:color="2360A6"/>
            </w:tcBorders>
          </w:tcPr>
          <w:p>
            <w:pPr>
              <w:spacing w:after="0"/>
              <w:rPr>
                <w:sz w:val="22"/>
                <w:szCs w:val="22"/>
                <w:color w:val="auto"/>
              </w:rPr>
            </w:pPr>
          </w:p>
        </w:tc>
        <w:tc>
          <w:tcPr>
            <w:tcW w:w="980" w:type="dxa"/>
            <w:vAlign w:val="bottom"/>
            <w:tcBorders>
              <w:bottom w:val="single" w:sz="8" w:color="2360A6"/>
              <w:right w:val="single" w:sz="8" w:color="2360A6"/>
            </w:tcBorders>
          </w:tcPr>
          <w:p>
            <w:pPr>
              <w:spacing w:after="0"/>
              <w:rPr>
                <w:sz w:val="22"/>
                <w:szCs w:val="22"/>
                <w:color w:val="auto"/>
              </w:rPr>
            </w:pPr>
          </w:p>
        </w:tc>
        <w:tc>
          <w:tcPr>
            <w:tcW w:w="1300" w:type="dxa"/>
            <w:vAlign w:val="bottom"/>
            <w:tcBorders>
              <w:bottom w:val="single" w:sz="8" w:color="2360A6"/>
              <w:right w:val="single" w:sz="8" w:color="2360A6"/>
            </w:tcBorders>
          </w:tcPr>
          <w:p>
            <w:pPr>
              <w:spacing w:after="0"/>
              <w:rPr>
                <w:sz w:val="22"/>
                <w:szCs w:val="22"/>
                <w:color w:val="auto"/>
              </w:rPr>
            </w:pPr>
          </w:p>
        </w:tc>
        <w:tc>
          <w:tcPr>
            <w:tcW w:w="1180" w:type="dxa"/>
            <w:vAlign w:val="bottom"/>
            <w:tcBorders>
              <w:bottom w:val="single" w:sz="8" w:color="2360A6"/>
              <w:right w:val="single" w:sz="8" w:color="2360A6"/>
            </w:tcBorders>
          </w:tcPr>
          <w:p>
            <w:pPr>
              <w:spacing w:after="0"/>
              <w:rPr>
                <w:sz w:val="22"/>
                <w:szCs w:val="22"/>
                <w:color w:val="auto"/>
              </w:rPr>
            </w:pPr>
          </w:p>
        </w:tc>
        <w:tc>
          <w:tcPr>
            <w:tcW w:w="840" w:type="dxa"/>
            <w:vAlign w:val="bottom"/>
            <w:tcBorders>
              <w:bottom w:val="single" w:sz="8" w:color="2360A6"/>
              <w:right w:val="single" w:sz="8" w:color="2360A6"/>
            </w:tcBorders>
          </w:tcPr>
          <w:p>
            <w:pPr>
              <w:spacing w:after="0"/>
              <w:rPr>
                <w:sz w:val="22"/>
                <w:szCs w:val="22"/>
                <w:color w:val="auto"/>
              </w:rPr>
            </w:pPr>
          </w:p>
        </w:tc>
        <w:tc>
          <w:tcPr>
            <w:tcW w:w="1160" w:type="dxa"/>
            <w:vAlign w:val="bottom"/>
            <w:tcBorders>
              <w:bottom w:val="single" w:sz="8" w:color="2360A6"/>
              <w:right w:val="single" w:sz="8" w:color="2360A6"/>
            </w:tcBorders>
          </w:tcPr>
          <w:p>
            <w:pPr>
              <w:spacing w:after="0"/>
              <w:rPr>
                <w:sz w:val="22"/>
                <w:szCs w:val="22"/>
                <w:color w:val="auto"/>
              </w:rPr>
            </w:pPr>
          </w:p>
        </w:tc>
        <w:tc>
          <w:tcPr>
            <w:tcW w:w="1240" w:type="dxa"/>
            <w:vAlign w:val="bottom"/>
            <w:tcBorders>
              <w:bottom w:val="single" w:sz="8" w:color="2360A6"/>
            </w:tcBorders>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Š Property, Plant and Equipment</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330.7</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29.5</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360.2</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360.2</w:t>
            </w:r>
          </w:p>
        </w:tc>
        <w:tc>
          <w:tcPr>
            <w:tcW w:w="11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(0.6)</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359.6</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Š Intangible Assets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6.9</w:t>
            </w:r>
          </w:p>
        </w:tc>
        <w:tc>
          <w:tcPr>
            <w:tcW w:w="10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8.5</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15.4</w:t>
            </w: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15.4</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4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15.4</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Amortization:</w:t>
            </w:r>
          </w:p>
        </w:tc>
        <w:tc>
          <w:tcPr>
            <w:tcW w:w="860" w:type="dxa"/>
            <w:vAlign w:val="bottom"/>
            <w:tcBorders>
              <w:bottom w:val="single" w:sz="8" w:color="2360A6"/>
              <w:right w:val="single" w:sz="8" w:color="2360A6"/>
            </w:tcBorders>
          </w:tcPr>
          <w:p>
            <w:pPr>
              <w:spacing w:after="0"/>
              <w:rPr>
                <w:sz w:val="22"/>
                <w:szCs w:val="22"/>
                <w:color w:val="auto"/>
              </w:rPr>
            </w:pPr>
          </w:p>
        </w:tc>
        <w:tc>
          <w:tcPr>
            <w:tcW w:w="1080" w:type="dxa"/>
            <w:vAlign w:val="bottom"/>
            <w:tcBorders>
              <w:bottom w:val="single" w:sz="8" w:color="2360A6"/>
              <w:right w:val="single" w:sz="8" w:color="2360A6"/>
            </w:tcBorders>
          </w:tcPr>
          <w:p>
            <w:pPr>
              <w:spacing w:after="0"/>
              <w:rPr>
                <w:sz w:val="22"/>
                <w:szCs w:val="22"/>
                <w:color w:val="auto"/>
              </w:rPr>
            </w:pPr>
          </w:p>
        </w:tc>
        <w:tc>
          <w:tcPr>
            <w:tcW w:w="980" w:type="dxa"/>
            <w:vAlign w:val="bottom"/>
            <w:tcBorders>
              <w:bottom w:val="single" w:sz="8" w:color="2360A6"/>
              <w:right w:val="single" w:sz="8" w:color="2360A6"/>
            </w:tcBorders>
          </w:tcPr>
          <w:p>
            <w:pPr>
              <w:spacing w:after="0"/>
              <w:rPr>
                <w:sz w:val="22"/>
                <w:szCs w:val="22"/>
                <w:color w:val="auto"/>
              </w:rPr>
            </w:pPr>
          </w:p>
        </w:tc>
        <w:tc>
          <w:tcPr>
            <w:tcW w:w="1300" w:type="dxa"/>
            <w:vAlign w:val="bottom"/>
            <w:tcBorders>
              <w:bottom w:val="single" w:sz="8" w:color="2360A6"/>
              <w:right w:val="single" w:sz="8" w:color="2360A6"/>
            </w:tcBorders>
          </w:tcPr>
          <w:p>
            <w:pPr>
              <w:spacing w:after="0"/>
              <w:rPr>
                <w:sz w:val="22"/>
                <w:szCs w:val="22"/>
                <w:color w:val="auto"/>
              </w:rPr>
            </w:pPr>
          </w:p>
        </w:tc>
        <w:tc>
          <w:tcPr>
            <w:tcW w:w="1180" w:type="dxa"/>
            <w:vAlign w:val="bottom"/>
            <w:tcBorders>
              <w:bottom w:val="single" w:sz="8" w:color="2360A6"/>
              <w:right w:val="single" w:sz="8" w:color="2360A6"/>
            </w:tcBorders>
          </w:tcPr>
          <w:p>
            <w:pPr>
              <w:spacing w:after="0"/>
              <w:rPr>
                <w:sz w:val="22"/>
                <w:szCs w:val="22"/>
                <w:color w:val="auto"/>
              </w:rPr>
            </w:pPr>
          </w:p>
        </w:tc>
        <w:tc>
          <w:tcPr>
            <w:tcW w:w="840" w:type="dxa"/>
            <w:vAlign w:val="bottom"/>
            <w:tcBorders>
              <w:bottom w:val="single" w:sz="8" w:color="2360A6"/>
              <w:right w:val="single" w:sz="8" w:color="2360A6"/>
            </w:tcBorders>
          </w:tcPr>
          <w:p>
            <w:pPr>
              <w:spacing w:after="0"/>
              <w:rPr>
                <w:sz w:val="22"/>
                <w:szCs w:val="22"/>
                <w:color w:val="auto"/>
              </w:rPr>
            </w:pPr>
          </w:p>
        </w:tc>
        <w:tc>
          <w:tcPr>
            <w:tcW w:w="1160" w:type="dxa"/>
            <w:vAlign w:val="bottom"/>
            <w:tcBorders>
              <w:bottom w:val="single" w:sz="8" w:color="2360A6"/>
              <w:right w:val="single" w:sz="8" w:color="2360A6"/>
            </w:tcBorders>
          </w:tcPr>
          <w:p>
            <w:pPr>
              <w:spacing w:after="0"/>
              <w:rPr>
                <w:sz w:val="22"/>
                <w:szCs w:val="22"/>
                <w:color w:val="auto"/>
              </w:rPr>
            </w:pPr>
          </w:p>
        </w:tc>
        <w:tc>
          <w:tcPr>
            <w:tcW w:w="1240" w:type="dxa"/>
            <w:vAlign w:val="bottom"/>
            <w:tcBorders>
              <w:bottom w:val="single" w:sz="8" w:color="2360A6"/>
            </w:tcBorders>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Š Property, Plant and Equipment</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(219.0)</w:t>
            </w:r>
          </w:p>
        </w:tc>
        <w:tc>
          <w:tcPr>
            <w:tcW w:w="10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(22.0)</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(241.0)</w:t>
            </w:r>
          </w:p>
        </w:tc>
        <w:tc>
          <w:tcPr>
            <w:tcW w:w="8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(241.0)</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(241.0)</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Š Intangible Assets</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(8.8)</w:t>
            </w:r>
          </w:p>
        </w:tc>
        <w:tc>
          <w:tcPr>
            <w:tcW w:w="10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(10.7)</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(19.5)</w:t>
            </w:r>
          </w:p>
        </w:tc>
        <w:tc>
          <w:tcPr>
            <w:tcW w:w="8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(19.5)</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(19.5)</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Impairment of Assets</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(19.5)</w:t>
            </w:r>
          </w:p>
        </w:tc>
        <w:tc>
          <w:tcPr>
            <w:tcW w:w="10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(3.3)</w:t>
            </w:r>
          </w:p>
        </w:tc>
        <w:tc>
          <w:tcPr>
            <w:tcW w:w="9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1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(22.8)</w:t>
            </w:r>
          </w:p>
        </w:tc>
        <w:tc>
          <w:tcPr>
            <w:tcW w:w="8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(22.8)</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(22.8)</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380365</wp:posOffset>
            </wp:positionH>
            <wp:positionV relativeFrom="page">
              <wp:posOffset>603250</wp:posOffset>
            </wp:positionV>
            <wp:extent cx="6809105" cy="59086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9105" cy="5908675"/>
                    </a:xfrm>
                    <a:prstGeom prst="rect">
                      <a:avLst/>
                    </a:prstGeom>
                    <a:noFill/>
                  </pic:spPr>
                </pic:pic>
              </a:graphicData>
            </a:graphic>
          </wp:anchor>
        </w:drawing>
      </w:r>
    </w:p>
    <w:p>
      <w:pPr>
        <w:ind w:left="60"/>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2"/>
          <w:szCs w:val="12"/>
          <w:color w:val="231F20"/>
        </w:rPr>
        <w:t>Segment liabilities allocated to the Corporate segment include financial debts such as bonds and other bank borrowings.</w:t>
      </w:r>
    </w:p>
    <w:p>
      <w:pPr>
        <w:spacing w:after="0" w:line="75" w:lineRule="exact"/>
        <w:rPr>
          <w:sz w:val="20"/>
          <w:szCs w:val="20"/>
          <w:color w:val="auto"/>
        </w:rPr>
      </w:pPr>
    </w:p>
    <w:p>
      <w:pPr>
        <w:ind w:left="60"/>
        <w:spacing w:after="0"/>
        <w:rPr>
          <w:sz w:val="20"/>
          <w:szCs w:val="20"/>
          <w:color w:val="auto"/>
        </w:rPr>
      </w:pPr>
      <w:r>
        <w:rPr>
          <w:rFonts w:ascii="Arial" w:cs="Arial" w:eastAsia="Arial" w:hAnsi="Arial"/>
          <w:sz w:val="9"/>
          <w:szCs w:val="9"/>
          <w:color w:val="231F20"/>
        </w:rPr>
        <w:t xml:space="preserve">(2) </w:t>
      </w:r>
      <w:r>
        <w:rPr>
          <w:rFonts w:ascii="Arial" w:cs="Arial" w:eastAsia="Arial" w:hAnsi="Arial"/>
          <w:sz w:val="12"/>
          <w:szCs w:val="12"/>
          <w:color w:val="231F20"/>
        </w:rPr>
        <w:t>Non allocable liabilities essentially include shareholders’ equity.</w:t>
      </w:r>
    </w:p>
    <w:p>
      <w:pPr>
        <w:ind w:left="60" w:right="120"/>
        <w:spacing w:after="0" w:line="258" w:lineRule="auto"/>
        <w:rPr>
          <w:sz w:val="20"/>
          <w:szCs w:val="20"/>
          <w:color w:val="auto"/>
        </w:rPr>
      </w:pPr>
      <w:r>
        <w:rPr>
          <w:rFonts w:ascii="Arial" w:cs="Arial" w:eastAsia="Arial" w:hAnsi="Arial"/>
          <w:sz w:val="9"/>
          <w:szCs w:val="9"/>
          <w:color w:val="231F20"/>
        </w:rPr>
        <w:t xml:space="preserve">(3) </w:t>
      </w:r>
      <w:r>
        <w:rPr>
          <w:rFonts w:ascii="Arial" w:cs="Arial" w:eastAsia="Arial" w:hAnsi="Arial"/>
          <w:sz w:val="12"/>
          <w:szCs w:val="12"/>
          <w:color w:val="231F20"/>
        </w:rPr>
        <w:t>Corresponds to ongoing contracts to be delivered. The backlog is defined as the difference at a specified date between the aggregate contractual sale price of all contracts in force and the</w:t>
      </w:r>
      <w:r>
        <w:rPr>
          <w:rFonts w:ascii="Arial" w:cs="Arial" w:eastAsia="Arial" w:hAnsi="Arial"/>
          <w:sz w:val="9"/>
          <w:szCs w:val="9"/>
          <w:color w:val="231F20"/>
        </w:rPr>
        <w:t xml:space="preserve"> </w:t>
      </w:r>
      <w:r>
        <w:rPr>
          <w:rFonts w:ascii="Arial" w:cs="Arial" w:eastAsia="Arial" w:hAnsi="Arial"/>
          <w:sz w:val="12"/>
          <w:szCs w:val="12"/>
          <w:color w:val="231F20"/>
        </w:rPr>
        <w:t>cumulative revenues recognized from these contracts as of that date.</w:t>
      </w:r>
    </w:p>
    <w:p>
      <w:pPr>
        <w:ind w:left="60"/>
        <w:spacing w:after="0"/>
        <w:rPr>
          <w:sz w:val="20"/>
          <w:szCs w:val="20"/>
          <w:color w:val="auto"/>
        </w:rPr>
      </w:pPr>
      <w:r>
        <w:rPr>
          <w:rFonts w:ascii="Arial" w:cs="Arial" w:eastAsia="Arial" w:hAnsi="Arial"/>
          <w:sz w:val="9"/>
          <w:szCs w:val="9"/>
          <w:color w:val="231F20"/>
        </w:rPr>
        <w:t xml:space="preserve">(4) </w:t>
      </w:r>
      <w:r>
        <w:rPr>
          <w:rFonts w:ascii="Arial" w:cs="Arial" w:eastAsia="Arial" w:hAnsi="Arial"/>
          <w:sz w:val="12"/>
          <w:szCs w:val="12"/>
          <w:color w:val="231F20"/>
        </w:rPr>
        <w:t>Corresponds to signed contracts which have come into force.</w:t>
      </w:r>
    </w:p>
    <w:p>
      <w:pPr>
        <w:sectPr>
          <w:pgSz w:w="11900" w:h="16838" w:orient="portrait"/>
          <w:cols w:equalWidth="0" w:num="1">
            <w:col w:w="10720"/>
          </w:cols>
          <w:pgMar w:left="600" w:top="930" w:right="579" w:bottom="1440" w:gutter="0" w:footer="0" w:header="0"/>
        </w:sectPr>
      </w:pPr>
    </w:p>
    <w:bookmarkStart w:id="100" w:name="page101"/>
    <w:bookmarkEnd w:id="100"/>
    <w:p>
      <w:pPr>
        <w:spacing w:after="0"/>
        <w:rPr>
          <w:sz w:val="20"/>
          <w:szCs w:val="20"/>
          <w:color w:val="auto"/>
        </w:rPr>
      </w:pPr>
      <w:r>
        <w:rPr>
          <w:rFonts w:ascii="Arial" w:cs="Arial" w:eastAsia="Arial" w:hAnsi="Arial"/>
          <w:sz w:val="25"/>
          <w:szCs w:val="25"/>
          <w:b w:val="1"/>
          <w:bCs w:val="1"/>
          <w:color w:val="231F20"/>
        </w:rPr>
        <w:t>(B) Information by Geographical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7003415</wp:posOffset>
            </wp:positionH>
            <wp:positionV relativeFrom="paragraph">
              <wp:posOffset>111125</wp:posOffset>
            </wp:positionV>
            <wp:extent cx="8890" cy="19812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981200"/>
                    </a:xfrm>
                    <a:prstGeom prst="rect">
                      <a:avLst/>
                    </a:prstGeom>
                    <a:noFill/>
                  </pic:spPr>
                </pic:pic>
              </a:graphicData>
            </a:graphic>
          </wp:anchor>
        </w:drawing>
        <w:drawing>
          <wp:anchor simplePos="0" relativeHeight="251657728" behindDoc="1" locked="0" layoutInCell="0" allowOverlap="1">
            <wp:simplePos x="0" y="0"/>
            <wp:positionH relativeFrom="column">
              <wp:posOffset>160020</wp:posOffset>
            </wp:positionH>
            <wp:positionV relativeFrom="paragraph">
              <wp:posOffset>111125</wp:posOffset>
            </wp:positionV>
            <wp:extent cx="8890" cy="19812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981200"/>
                    </a:xfrm>
                    <a:prstGeom prst="rect">
                      <a:avLst/>
                    </a:prstGeom>
                    <a:noFill/>
                  </pic:spPr>
                </pic:pic>
              </a:graphicData>
            </a:graphic>
          </wp:anchor>
        </w:drawing>
      </w:r>
    </w:p>
    <w:p>
      <w:pPr>
        <w:spacing w:after="0" w:line="135" w:lineRule="exact"/>
        <w:rPr>
          <w:sz w:val="20"/>
          <w:szCs w:val="20"/>
          <w:color w:val="auto"/>
        </w:rPr>
      </w:pPr>
    </w:p>
    <w:tbl>
      <w:tblPr>
        <w:tblLayout w:type="fixed"/>
        <w:tblInd w:w="260" w:type="dxa"/>
        <w:tblCellMar>
          <w:top w:w="0" w:type="dxa"/>
          <w:left w:w="0" w:type="dxa"/>
          <w:bottom w:w="0" w:type="dxa"/>
          <w:right w:w="0" w:type="dxa"/>
        </w:tblCellMar>
      </w:tblPr>
      <w:tr>
        <w:trPr>
          <w:trHeight w:val="224"/>
        </w:trPr>
        <w:tc>
          <w:tcPr>
            <w:tcW w:w="3580" w:type="dxa"/>
            <w:vAlign w:val="bottom"/>
            <w:tcBorders>
              <w:top w:val="single" w:sz="8" w:color="2360A6"/>
              <w:right w:val="single" w:sz="8" w:color="231F20"/>
            </w:tcBorders>
          </w:tcPr>
          <w:p>
            <w:pPr>
              <w:spacing w:after="0"/>
              <w:rPr>
                <w:sz w:val="19"/>
                <w:szCs w:val="19"/>
                <w:color w:val="auto"/>
              </w:rPr>
            </w:pPr>
          </w:p>
        </w:tc>
        <w:tc>
          <w:tcPr>
            <w:tcW w:w="184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76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86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860" w:type="dxa"/>
            <w:vAlign w:val="bottom"/>
            <w:tcBorders>
              <w:top w:val="single" w:sz="8" w:color="2360A6"/>
              <w:bottom w:val="single" w:sz="8" w:color="2360A6"/>
              <w:right w:val="single" w:sz="8" w:color="2360A6"/>
            </w:tcBorders>
            <w:shd w:val="clear" w:color="auto" w:fill="2360A6"/>
          </w:tcPr>
          <w:p>
            <w:pPr>
              <w:jc w:val="right"/>
              <w:ind w:right="496"/>
              <w:spacing w:after="0"/>
              <w:rPr>
                <w:sz w:val="20"/>
                <w:szCs w:val="20"/>
                <w:color w:val="auto"/>
              </w:rPr>
            </w:pPr>
            <w:r>
              <w:rPr>
                <w:rFonts w:ascii="Arial" w:cs="Arial" w:eastAsia="Arial" w:hAnsi="Arial"/>
                <w:sz w:val="14"/>
                <w:szCs w:val="14"/>
                <w:b w:val="1"/>
                <w:bCs w:val="1"/>
                <w:color w:val="FFFFFF"/>
                <w:w w:val="89"/>
              </w:rPr>
              <w:t>2016</w:t>
            </w:r>
          </w:p>
        </w:tc>
        <w:tc>
          <w:tcPr>
            <w:tcW w:w="86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86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1140" w:type="dxa"/>
            <w:vAlign w:val="bottom"/>
            <w:tcBorders>
              <w:top w:val="single" w:sz="8" w:color="2360A6"/>
              <w:bottom w:val="single" w:sz="8" w:color="2360A6"/>
            </w:tcBorders>
            <w:shd w:val="clear" w:color="auto" w:fill="2360A6"/>
          </w:tcPr>
          <w:p>
            <w:pPr>
              <w:spacing w:after="0"/>
              <w:rPr>
                <w:sz w:val="19"/>
                <w:szCs w:val="19"/>
                <w:color w:val="auto"/>
              </w:rPr>
            </w:pPr>
          </w:p>
        </w:tc>
        <w:tc>
          <w:tcPr>
            <w:tcW w:w="20" w:type="dxa"/>
            <w:vAlign w:val="bottom"/>
            <w:tcBorders>
              <w:top w:val="single" w:sz="8" w:color="2360A6"/>
              <w:bottom w:val="single" w:sz="8" w:color="2360A6"/>
            </w:tcBorders>
          </w:tcPr>
          <w:p>
            <w:pPr>
              <w:spacing w:after="0"/>
              <w:rPr>
                <w:sz w:val="19"/>
                <w:szCs w:val="19"/>
                <w:color w:val="auto"/>
              </w:rPr>
            </w:pPr>
          </w:p>
        </w:tc>
      </w:tr>
      <w:tr>
        <w:trPr>
          <w:trHeight w:val="342"/>
        </w:trPr>
        <w:tc>
          <w:tcPr>
            <w:tcW w:w="3580" w:type="dxa"/>
            <w:vAlign w:val="bottom"/>
            <w:tcBorders>
              <w:right w:val="single" w:sz="8" w:color="231F20"/>
            </w:tcBorders>
          </w:tcPr>
          <w:p>
            <w:pPr>
              <w:spacing w:after="0"/>
              <w:rPr>
                <w:sz w:val="24"/>
                <w:szCs w:val="24"/>
                <w:color w:val="auto"/>
              </w:rPr>
            </w:pPr>
          </w:p>
        </w:tc>
        <w:tc>
          <w:tcPr>
            <w:tcW w:w="1840" w:type="dxa"/>
            <w:vAlign w:val="bottom"/>
            <w:tcBorders>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rPr>
              <w:t>Europe, Russia, Central</w:t>
            </w:r>
          </w:p>
        </w:tc>
        <w:tc>
          <w:tcPr>
            <w:tcW w:w="760" w:type="dxa"/>
            <w:vAlign w:val="bottom"/>
            <w:tcBorders>
              <w:right w:val="single" w:sz="8" w:color="231F20"/>
            </w:tcBorders>
            <w:shd w:val="clear" w:color="auto" w:fill="EDEDEE"/>
          </w:tcPr>
          <w:p>
            <w:pPr>
              <w:spacing w:after="0"/>
              <w:rPr>
                <w:sz w:val="24"/>
                <w:szCs w:val="24"/>
                <w:color w:val="auto"/>
              </w:rPr>
            </w:pPr>
          </w:p>
        </w:tc>
        <w:tc>
          <w:tcPr>
            <w:tcW w:w="860" w:type="dxa"/>
            <w:vAlign w:val="bottom"/>
            <w:tcBorders>
              <w:right w:val="single" w:sz="8" w:color="231F20"/>
            </w:tcBorders>
            <w:shd w:val="clear" w:color="auto" w:fill="EDEDEE"/>
          </w:tcPr>
          <w:p>
            <w:pPr>
              <w:spacing w:after="0"/>
              <w:rPr>
                <w:sz w:val="24"/>
                <w:szCs w:val="24"/>
                <w:color w:val="auto"/>
              </w:rPr>
            </w:pPr>
          </w:p>
        </w:tc>
        <w:tc>
          <w:tcPr>
            <w:tcW w:w="860" w:type="dxa"/>
            <w:vAlign w:val="bottom"/>
            <w:tcBorders>
              <w:right w:val="single" w:sz="8" w:color="231F20"/>
            </w:tcBorders>
            <w:shd w:val="clear" w:color="auto" w:fill="EDEDEE"/>
          </w:tcPr>
          <w:p>
            <w:pPr>
              <w:spacing w:after="0"/>
              <w:rPr>
                <w:sz w:val="24"/>
                <w:szCs w:val="24"/>
                <w:color w:val="auto"/>
              </w:rPr>
            </w:pPr>
          </w:p>
        </w:tc>
        <w:tc>
          <w:tcPr>
            <w:tcW w:w="860" w:type="dxa"/>
            <w:vAlign w:val="bottom"/>
            <w:tcBorders>
              <w:right w:val="single" w:sz="8" w:color="231F20"/>
            </w:tcBorders>
            <w:shd w:val="clear" w:color="auto" w:fill="EDEDEE"/>
          </w:tcPr>
          <w:p>
            <w:pPr>
              <w:spacing w:after="0"/>
              <w:rPr>
                <w:sz w:val="24"/>
                <w:szCs w:val="24"/>
                <w:color w:val="auto"/>
              </w:rPr>
            </w:pPr>
          </w:p>
        </w:tc>
        <w:tc>
          <w:tcPr>
            <w:tcW w:w="860" w:type="dxa"/>
            <w:vAlign w:val="bottom"/>
            <w:tcBorders>
              <w:right w:val="single" w:sz="8" w:color="231F20"/>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Non</w:t>
            </w:r>
          </w:p>
        </w:tc>
        <w:tc>
          <w:tcPr>
            <w:tcW w:w="1140" w:type="dxa"/>
            <w:vAlign w:val="bottom"/>
            <w:shd w:val="clear" w:color="auto" w:fill="EDEDEE"/>
          </w:tcPr>
          <w:p>
            <w:pPr>
              <w:jc w:val="right"/>
              <w:ind w:right="37"/>
              <w:spacing w:after="0"/>
              <w:rPr>
                <w:sz w:val="20"/>
                <w:szCs w:val="20"/>
                <w:color w:val="auto"/>
              </w:rPr>
            </w:pPr>
            <w:r>
              <w:rPr>
                <w:rFonts w:ascii="Arial" w:cs="Arial" w:eastAsia="Arial" w:hAnsi="Arial"/>
                <w:sz w:val="13"/>
                <w:szCs w:val="13"/>
                <w:b w:val="1"/>
                <w:bCs w:val="1"/>
                <w:color w:val="2360A6"/>
              </w:rPr>
              <w:t>Total</w:t>
            </w:r>
          </w:p>
        </w:tc>
        <w:tc>
          <w:tcPr>
            <w:tcW w:w="20" w:type="dxa"/>
            <w:vAlign w:val="bottom"/>
          </w:tcPr>
          <w:p>
            <w:pPr>
              <w:spacing w:after="0"/>
              <w:rPr>
                <w:sz w:val="24"/>
                <w:szCs w:val="24"/>
                <w:color w:val="auto"/>
              </w:rPr>
            </w:pPr>
          </w:p>
        </w:tc>
      </w:tr>
      <w:tr>
        <w:trPr>
          <w:trHeight w:val="178"/>
        </w:trPr>
        <w:tc>
          <w:tcPr>
            <w:tcW w:w="358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3"/>
                <w:szCs w:val="13"/>
                <w:i w:val="1"/>
                <w:iCs w:val="1"/>
                <w:color w:val="auto"/>
              </w:rPr>
              <w:t>In millions of Euro</w:t>
            </w:r>
          </w:p>
        </w:tc>
        <w:tc>
          <w:tcPr>
            <w:tcW w:w="1840" w:type="dxa"/>
            <w:vAlign w:val="bottom"/>
            <w:tcBorders>
              <w:bottom w:val="single" w:sz="8" w:color="2360A6"/>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rPr>
              <w:t>Asia</w:t>
            </w:r>
          </w:p>
        </w:tc>
        <w:tc>
          <w:tcPr>
            <w:tcW w:w="760" w:type="dxa"/>
            <w:vAlign w:val="bottom"/>
            <w:tcBorders>
              <w:bottom w:val="single" w:sz="8" w:color="2360A6"/>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rPr>
              <w:t>Africa</w:t>
            </w:r>
          </w:p>
        </w:tc>
        <w:tc>
          <w:tcPr>
            <w:tcW w:w="860" w:type="dxa"/>
            <w:vAlign w:val="bottom"/>
            <w:tcBorders>
              <w:bottom w:val="single" w:sz="8" w:color="2360A6"/>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w w:val="96"/>
              </w:rPr>
              <w:t>Middle East</w:t>
            </w:r>
          </w:p>
        </w:tc>
        <w:tc>
          <w:tcPr>
            <w:tcW w:w="860" w:type="dxa"/>
            <w:vAlign w:val="bottom"/>
            <w:tcBorders>
              <w:bottom w:val="single" w:sz="8" w:color="2360A6"/>
              <w:right w:val="single" w:sz="8" w:color="231F20"/>
            </w:tcBorders>
            <w:shd w:val="clear" w:color="auto" w:fill="EDEDEE"/>
          </w:tcPr>
          <w:p>
            <w:pPr>
              <w:jc w:val="right"/>
              <w:ind w:right="76"/>
              <w:spacing w:after="0"/>
              <w:rPr>
                <w:sz w:val="20"/>
                <w:szCs w:val="20"/>
                <w:color w:val="auto"/>
              </w:rPr>
            </w:pPr>
            <w:r>
              <w:rPr>
                <w:rFonts w:ascii="Arial" w:cs="Arial" w:eastAsia="Arial" w:hAnsi="Arial"/>
                <w:sz w:val="13"/>
                <w:szCs w:val="13"/>
                <w:b w:val="1"/>
                <w:bCs w:val="1"/>
                <w:color w:val="2360A6"/>
                <w:w w:val="95"/>
              </w:rPr>
              <w:t>Asia Pacific</w:t>
            </w:r>
          </w:p>
        </w:tc>
        <w:tc>
          <w:tcPr>
            <w:tcW w:w="860" w:type="dxa"/>
            <w:vAlign w:val="bottom"/>
            <w:tcBorders>
              <w:bottom w:val="single" w:sz="8" w:color="2360A6"/>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b w:val="1"/>
                <w:bCs w:val="1"/>
                <w:color w:val="2360A6"/>
              </w:rPr>
              <w:t>Americas</w:t>
            </w:r>
          </w:p>
        </w:tc>
        <w:tc>
          <w:tcPr>
            <w:tcW w:w="860" w:type="dxa"/>
            <w:vAlign w:val="bottom"/>
            <w:tcBorders>
              <w:bottom w:val="single" w:sz="8" w:color="2360A6"/>
              <w:right w:val="single" w:sz="8" w:color="231F20"/>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Allocable</w:t>
            </w:r>
          </w:p>
        </w:tc>
        <w:tc>
          <w:tcPr>
            <w:tcW w:w="1140" w:type="dxa"/>
            <w:vAlign w:val="bottom"/>
            <w:tcBorders>
              <w:bottom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b w:val="1"/>
                <w:bCs w:val="1"/>
                <w:color w:val="2360A6"/>
              </w:rPr>
              <w:t>Consolidated</w:t>
            </w:r>
          </w:p>
        </w:tc>
        <w:tc>
          <w:tcPr>
            <w:tcW w:w="20" w:type="dxa"/>
            <w:vAlign w:val="bottom"/>
            <w:tcBorders>
              <w:bottom w:val="single" w:sz="8" w:color="2360A6"/>
            </w:tcBorders>
          </w:tcPr>
          <w:p>
            <w:pPr>
              <w:spacing w:after="0"/>
              <w:rPr>
                <w:sz w:val="15"/>
                <w:szCs w:val="15"/>
                <w:color w:val="auto"/>
              </w:rPr>
            </w:pPr>
          </w:p>
        </w:tc>
      </w:tr>
      <w:tr>
        <w:trPr>
          <w:trHeight w:val="210"/>
        </w:trPr>
        <w:tc>
          <w:tcPr>
            <w:tcW w:w="358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3"/>
                <w:szCs w:val="13"/>
                <w:color w:val="231F20"/>
              </w:rPr>
              <w:t xml:space="preserve">Revenues </w:t>
            </w:r>
            <w:r>
              <w:rPr>
                <w:rFonts w:ascii="Arial" w:cs="Arial" w:eastAsia="Arial" w:hAnsi="Arial"/>
                <w:sz w:val="8"/>
                <w:szCs w:val="8"/>
                <w:color w:val="231F20"/>
              </w:rPr>
              <w:t>(1)</w:t>
            </w:r>
          </w:p>
        </w:tc>
        <w:tc>
          <w:tcPr>
            <w:tcW w:w="1840" w:type="dxa"/>
            <w:vAlign w:val="bottom"/>
            <w:tcBorders>
              <w:bottom w:val="single" w:sz="8" w:color="2360A6"/>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2,146.5</w:t>
            </w:r>
          </w:p>
        </w:tc>
        <w:tc>
          <w:tcPr>
            <w:tcW w:w="760" w:type="dxa"/>
            <w:vAlign w:val="bottom"/>
            <w:tcBorders>
              <w:bottom w:val="single" w:sz="8" w:color="2360A6"/>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1,794.6</w:t>
            </w:r>
          </w:p>
        </w:tc>
        <w:tc>
          <w:tcPr>
            <w:tcW w:w="860" w:type="dxa"/>
            <w:vAlign w:val="bottom"/>
            <w:tcBorders>
              <w:bottom w:val="single" w:sz="8" w:color="2360A6"/>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645.0</w:t>
            </w:r>
          </w:p>
        </w:tc>
        <w:tc>
          <w:tcPr>
            <w:tcW w:w="860" w:type="dxa"/>
            <w:vAlign w:val="bottom"/>
            <w:tcBorders>
              <w:bottom w:val="single" w:sz="8" w:color="2360A6"/>
              <w:right w:val="single" w:sz="8" w:color="231F20"/>
            </w:tcBorders>
            <w:shd w:val="clear" w:color="auto" w:fill="EDEDEE"/>
          </w:tcPr>
          <w:p>
            <w:pPr>
              <w:jc w:val="right"/>
              <w:ind w:right="76"/>
              <w:spacing w:after="0"/>
              <w:rPr>
                <w:sz w:val="20"/>
                <w:szCs w:val="20"/>
                <w:color w:val="auto"/>
              </w:rPr>
            </w:pPr>
            <w:r>
              <w:rPr>
                <w:rFonts w:ascii="Arial" w:cs="Arial" w:eastAsia="Arial" w:hAnsi="Arial"/>
                <w:sz w:val="13"/>
                <w:szCs w:val="13"/>
                <w:color w:val="auto"/>
              </w:rPr>
              <w:t>1,602.3</w:t>
            </w:r>
          </w:p>
        </w:tc>
        <w:tc>
          <w:tcPr>
            <w:tcW w:w="860" w:type="dxa"/>
            <w:vAlign w:val="bottom"/>
            <w:tcBorders>
              <w:bottom w:val="single" w:sz="8" w:color="2360A6"/>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2,125.0</w:t>
            </w:r>
          </w:p>
        </w:tc>
        <w:tc>
          <w:tcPr>
            <w:tcW w:w="860" w:type="dxa"/>
            <w:vAlign w:val="bottom"/>
            <w:tcBorders>
              <w:bottom w:val="single" w:sz="8" w:color="2360A6"/>
              <w:right w:val="single" w:sz="8" w:color="231F20"/>
            </w:tcBorders>
            <w:shd w:val="clear" w:color="auto" w:fill="EDEDEE"/>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color w:val="auto"/>
              </w:rPr>
              <w:t>8,313.4</w:t>
            </w:r>
          </w:p>
        </w:tc>
        <w:tc>
          <w:tcPr>
            <w:tcW w:w="20" w:type="dxa"/>
            <w:vAlign w:val="bottom"/>
            <w:tcBorders>
              <w:bottom w:val="single" w:sz="8" w:color="2360A6"/>
            </w:tcBorders>
          </w:tcPr>
          <w:p>
            <w:pPr>
              <w:spacing w:after="0"/>
              <w:rPr>
                <w:sz w:val="18"/>
                <w:szCs w:val="18"/>
                <w:color w:val="auto"/>
              </w:rPr>
            </w:pPr>
          </w:p>
        </w:tc>
      </w:tr>
      <w:tr>
        <w:trPr>
          <w:trHeight w:val="156"/>
        </w:trPr>
        <w:tc>
          <w:tcPr>
            <w:tcW w:w="3580" w:type="dxa"/>
            <w:vAlign w:val="bottom"/>
            <w:tcBorders>
              <w:right w:val="single" w:sz="8" w:color="231F20"/>
            </w:tcBorders>
          </w:tcPr>
          <w:p>
            <w:pPr>
              <w:ind w:left="20"/>
              <w:spacing w:after="0"/>
              <w:rPr>
                <w:sz w:val="20"/>
                <w:szCs w:val="20"/>
                <w:color w:val="auto"/>
              </w:rPr>
            </w:pPr>
            <w:r>
              <w:rPr>
                <w:rFonts w:ascii="Arial" w:cs="Arial" w:eastAsia="Arial" w:hAnsi="Arial"/>
                <w:sz w:val="13"/>
                <w:szCs w:val="13"/>
                <w:color w:val="231F20"/>
              </w:rPr>
              <w:t>Operating Income/(Loss) from Recurring Activities after</w:t>
            </w:r>
          </w:p>
        </w:tc>
        <w:tc>
          <w:tcPr>
            <w:tcW w:w="1840" w:type="dxa"/>
            <w:vAlign w:val="bottom"/>
            <w:tcBorders>
              <w:right w:val="single" w:sz="8" w:color="231F20"/>
            </w:tcBorders>
            <w:shd w:val="clear" w:color="auto" w:fill="EDEDEE"/>
          </w:tcPr>
          <w:p>
            <w:pPr>
              <w:spacing w:after="0"/>
              <w:rPr>
                <w:sz w:val="13"/>
                <w:szCs w:val="13"/>
                <w:color w:val="auto"/>
              </w:rPr>
            </w:pPr>
          </w:p>
        </w:tc>
        <w:tc>
          <w:tcPr>
            <w:tcW w:w="760" w:type="dxa"/>
            <w:vAlign w:val="bottom"/>
            <w:tcBorders>
              <w:right w:val="single" w:sz="8" w:color="231F20"/>
            </w:tcBorders>
            <w:shd w:val="clear" w:color="auto" w:fill="EDEDEE"/>
          </w:tcPr>
          <w:p>
            <w:pPr>
              <w:spacing w:after="0"/>
              <w:rPr>
                <w:sz w:val="13"/>
                <w:szCs w:val="13"/>
                <w:color w:val="auto"/>
              </w:rPr>
            </w:pPr>
          </w:p>
        </w:tc>
        <w:tc>
          <w:tcPr>
            <w:tcW w:w="860" w:type="dxa"/>
            <w:vAlign w:val="bottom"/>
            <w:tcBorders>
              <w:right w:val="single" w:sz="8" w:color="231F20"/>
            </w:tcBorders>
            <w:shd w:val="clear" w:color="auto" w:fill="EDEDEE"/>
          </w:tcPr>
          <w:p>
            <w:pPr>
              <w:spacing w:after="0"/>
              <w:rPr>
                <w:sz w:val="13"/>
                <w:szCs w:val="13"/>
                <w:color w:val="auto"/>
              </w:rPr>
            </w:pPr>
          </w:p>
        </w:tc>
        <w:tc>
          <w:tcPr>
            <w:tcW w:w="860" w:type="dxa"/>
            <w:vAlign w:val="bottom"/>
            <w:tcBorders>
              <w:right w:val="single" w:sz="8" w:color="231F20"/>
            </w:tcBorders>
            <w:shd w:val="clear" w:color="auto" w:fill="EDEDEE"/>
          </w:tcPr>
          <w:p>
            <w:pPr>
              <w:spacing w:after="0"/>
              <w:rPr>
                <w:sz w:val="13"/>
                <w:szCs w:val="13"/>
                <w:color w:val="auto"/>
              </w:rPr>
            </w:pPr>
          </w:p>
        </w:tc>
        <w:tc>
          <w:tcPr>
            <w:tcW w:w="860" w:type="dxa"/>
            <w:vAlign w:val="bottom"/>
            <w:tcBorders>
              <w:right w:val="single" w:sz="8" w:color="231F20"/>
            </w:tcBorders>
            <w:shd w:val="clear" w:color="auto" w:fill="EDEDEE"/>
          </w:tcPr>
          <w:p>
            <w:pPr>
              <w:spacing w:after="0"/>
              <w:rPr>
                <w:sz w:val="13"/>
                <w:szCs w:val="13"/>
                <w:color w:val="auto"/>
              </w:rPr>
            </w:pPr>
          </w:p>
        </w:tc>
        <w:tc>
          <w:tcPr>
            <w:tcW w:w="860" w:type="dxa"/>
            <w:vAlign w:val="bottom"/>
            <w:tcBorders>
              <w:right w:val="single" w:sz="8" w:color="231F20"/>
            </w:tcBorders>
            <w:shd w:val="clear" w:color="auto" w:fill="EDEDEE"/>
          </w:tcPr>
          <w:p>
            <w:pPr>
              <w:spacing w:after="0"/>
              <w:rPr>
                <w:sz w:val="13"/>
                <w:szCs w:val="13"/>
                <w:color w:val="auto"/>
              </w:rPr>
            </w:pPr>
          </w:p>
        </w:tc>
        <w:tc>
          <w:tcPr>
            <w:tcW w:w="1140" w:type="dxa"/>
            <w:vAlign w:val="bottom"/>
            <w:shd w:val="clear" w:color="auto" w:fill="EDEDEE"/>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580" w:type="dxa"/>
            <w:vAlign w:val="bottom"/>
            <w:tcBorders>
              <w:bottom w:val="single" w:sz="8" w:color="2360A6"/>
              <w:right w:val="single" w:sz="8" w:color="231F20"/>
            </w:tcBorders>
          </w:tcPr>
          <w:p>
            <w:pPr>
              <w:ind w:left="20"/>
              <w:spacing w:after="0"/>
              <w:rPr>
                <w:sz w:val="20"/>
                <w:szCs w:val="20"/>
                <w:color w:val="auto"/>
              </w:rPr>
            </w:pPr>
            <w:r>
              <w:rPr>
                <w:rFonts w:ascii="Arial" w:cs="Arial" w:eastAsia="Arial" w:hAnsi="Arial"/>
                <w:sz w:val="13"/>
                <w:szCs w:val="13"/>
                <w:color w:val="231F20"/>
              </w:rPr>
              <w:t>Income/ (Loss) of Equity Affiliates</w:t>
            </w:r>
          </w:p>
        </w:tc>
        <w:tc>
          <w:tcPr>
            <w:tcW w:w="1840" w:type="dxa"/>
            <w:vAlign w:val="bottom"/>
            <w:tcBorders>
              <w:bottom w:val="single" w:sz="8" w:color="2360A6"/>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327.6</w:t>
            </w:r>
          </w:p>
        </w:tc>
        <w:tc>
          <w:tcPr>
            <w:tcW w:w="760" w:type="dxa"/>
            <w:vAlign w:val="bottom"/>
            <w:tcBorders>
              <w:bottom w:val="single" w:sz="8" w:color="2360A6"/>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191.5</w:t>
            </w:r>
          </w:p>
        </w:tc>
        <w:tc>
          <w:tcPr>
            <w:tcW w:w="860" w:type="dxa"/>
            <w:vAlign w:val="bottom"/>
            <w:tcBorders>
              <w:bottom w:val="single" w:sz="8" w:color="2360A6"/>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26.2</w:t>
            </w:r>
          </w:p>
        </w:tc>
        <w:tc>
          <w:tcPr>
            <w:tcW w:w="860" w:type="dxa"/>
            <w:vAlign w:val="bottom"/>
            <w:tcBorders>
              <w:bottom w:val="single" w:sz="8" w:color="2360A6"/>
              <w:right w:val="single" w:sz="8" w:color="231F20"/>
            </w:tcBorders>
            <w:shd w:val="clear" w:color="auto" w:fill="EDEDEE"/>
          </w:tcPr>
          <w:p>
            <w:pPr>
              <w:jc w:val="right"/>
              <w:ind w:right="76"/>
              <w:spacing w:after="0"/>
              <w:rPr>
                <w:sz w:val="20"/>
                <w:szCs w:val="20"/>
                <w:color w:val="auto"/>
              </w:rPr>
            </w:pPr>
            <w:r>
              <w:rPr>
                <w:rFonts w:ascii="Arial" w:cs="Arial" w:eastAsia="Arial" w:hAnsi="Arial"/>
                <w:sz w:val="13"/>
                <w:szCs w:val="13"/>
                <w:color w:val="auto"/>
              </w:rPr>
              <w:t>161.3</w:t>
            </w:r>
          </w:p>
        </w:tc>
        <w:tc>
          <w:tcPr>
            <w:tcW w:w="860" w:type="dxa"/>
            <w:vAlign w:val="bottom"/>
            <w:tcBorders>
              <w:bottom w:val="single" w:sz="8" w:color="2360A6"/>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254.8</w:t>
            </w:r>
          </w:p>
        </w:tc>
        <w:tc>
          <w:tcPr>
            <w:tcW w:w="860" w:type="dxa"/>
            <w:vAlign w:val="bottom"/>
            <w:tcBorders>
              <w:bottom w:val="single" w:sz="8" w:color="2360A6"/>
              <w:right w:val="single" w:sz="8" w:color="231F20"/>
            </w:tcBorders>
            <w:shd w:val="clear" w:color="auto" w:fill="EDEDEE"/>
          </w:tcPr>
          <w:p>
            <w:pPr>
              <w:jc w:val="right"/>
              <w:ind w:right="17"/>
              <w:spacing w:after="0"/>
              <w:rPr>
                <w:sz w:val="20"/>
                <w:szCs w:val="20"/>
                <w:color w:val="auto"/>
              </w:rPr>
            </w:pPr>
            <w:r>
              <w:rPr>
                <w:rFonts w:ascii="Arial" w:cs="Arial" w:eastAsia="Arial" w:hAnsi="Arial"/>
                <w:sz w:val="13"/>
                <w:szCs w:val="13"/>
                <w:color w:val="auto"/>
              </w:rPr>
              <w:t>(68.6)</w:t>
            </w:r>
          </w:p>
        </w:tc>
        <w:tc>
          <w:tcPr>
            <w:tcW w:w="1140" w:type="dxa"/>
            <w:vAlign w:val="bottom"/>
            <w:tcBorders>
              <w:bottom w:val="single" w:sz="8" w:color="2360A6"/>
            </w:tcBorders>
            <w:shd w:val="clear" w:color="auto" w:fill="EDEDEE"/>
          </w:tcPr>
          <w:p>
            <w:pPr>
              <w:jc w:val="right"/>
              <w:ind w:right="37"/>
              <w:spacing w:after="0"/>
              <w:rPr>
                <w:sz w:val="20"/>
                <w:szCs w:val="20"/>
                <w:color w:val="auto"/>
              </w:rPr>
            </w:pPr>
            <w:r>
              <w:rPr>
                <w:rFonts w:ascii="Arial" w:cs="Arial" w:eastAsia="Arial" w:hAnsi="Arial"/>
                <w:sz w:val="13"/>
                <w:szCs w:val="13"/>
                <w:color w:val="auto"/>
              </w:rPr>
              <w:t>892.8</w:t>
            </w:r>
          </w:p>
        </w:tc>
        <w:tc>
          <w:tcPr>
            <w:tcW w:w="20" w:type="dxa"/>
            <w:vAlign w:val="bottom"/>
            <w:tcBorders>
              <w:bottom w:val="single" w:sz="8" w:color="2360A6"/>
            </w:tcBorders>
          </w:tcPr>
          <w:p>
            <w:pPr>
              <w:spacing w:after="0"/>
              <w:rPr>
                <w:sz w:val="14"/>
                <w:szCs w:val="14"/>
                <w:color w:val="auto"/>
              </w:rPr>
            </w:pPr>
          </w:p>
        </w:tc>
      </w:tr>
      <w:tr>
        <w:trPr>
          <w:trHeight w:val="210"/>
        </w:trPr>
        <w:tc>
          <w:tcPr>
            <w:tcW w:w="3580" w:type="dxa"/>
            <w:vAlign w:val="bottom"/>
            <w:tcBorders>
              <w:bottom w:val="single" w:sz="8" w:color="2360A6"/>
              <w:right w:val="single" w:sz="8" w:color="231F20"/>
            </w:tcBorders>
            <w:shd w:val="clear" w:color="auto" w:fill="D2DEEC"/>
          </w:tcPr>
          <w:p>
            <w:pPr>
              <w:ind w:left="20"/>
              <w:spacing w:after="0"/>
              <w:rPr>
                <w:sz w:val="20"/>
                <w:szCs w:val="20"/>
                <w:color w:val="auto"/>
              </w:rPr>
            </w:pPr>
            <w:r>
              <w:rPr>
                <w:rFonts w:ascii="Arial" w:cs="Arial" w:eastAsia="Arial" w:hAnsi="Arial"/>
                <w:sz w:val="13"/>
                <w:szCs w:val="13"/>
                <w:b w:val="1"/>
                <w:bCs w:val="1"/>
                <w:color w:val="2360A6"/>
              </w:rPr>
              <w:t>OPERATING INCOME/(LOSS)</w:t>
            </w:r>
          </w:p>
        </w:tc>
        <w:tc>
          <w:tcPr>
            <w:tcW w:w="184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006EBF"/>
              </w:rPr>
              <w:t>327.6</w:t>
            </w:r>
          </w:p>
        </w:tc>
        <w:tc>
          <w:tcPr>
            <w:tcW w:w="76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006EBF"/>
              </w:rPr>
              <w:t>191.5</w:t>
            </w:r>
          </w:p>
        </w:tc>
        <w:tc>
          <w:tcPr>
            <w:tcW w:w="86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006EBF"/>
              </w:rPr>
              <w:t>26.2</w:t>
            </w:r>
          </w:p>
        </w:tc>
        <w:tc>
          <w:tcPr>
            <w:tcW w:w="860" w:type="dxa"/>
            <w:vAlign w:val="bottom"/>
            <w:tcBorders>
              <w:bottom w:val="single" w:sz="8" w:color="2360A6"/>
              <w:right w:val="single" w:sz="8" w:color="231F20"/>
            </w:tcBorders>
            <w:shd w:val="clear" w:color="auto" w:fill="D2DEEC"/>
          </w:tcPr>
          <w:p>
            <w:pPr>
              <w:jc w:val="right"/>
              <w:ind w:right="76"/>
              <w:spacing w:after="0"/>
              <w:rPr>
                <w:sz w:val="20"/>
                <w:szCs w:val="20"/>
                <w:color w:val="auto"/>
              </w:rPr>
            </w:pPr>
            <w:r>
              <w:rPr>
                <w:rFonts w:ascii="Arial" w:cs="Arial" w:eastAsia="Arial" w:hAnsi="Arial"/>
                <w:sz w:val="13"/>
                <w:szCs w:val="13"/>
                <w:b w:val="1"/>
                <w:bCs w:val="1"/>
                <w:color w:val="006EBF"/>
              </w:rPr>
              <w:t>161.3</w:t>
            </w:r>
          </w:p>
        </w:tc>
        <w:tc>
          <w:tcPr>
            <w:tcW w:w="86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006EBF"/>
              </w:rPr>
              <w:t>254.8</w:t>
            </w:r>
          </w:p>
        </w:tc>
        <w:tc>
          <w:tcPr>
            <w:tcW w:w="860" w:type="dxa"/>
            <w:vAlign w:val="bottom"/>
            <w:tcBorders>
              <w:bottom w:val="single" w:sz="8" w:color="2360A6"/>
              <w:right w:val="single" w:sz="8" w:color="231F20"/>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006EBF"/>
              </w:rPr>
              <w:t>(509.6)</w:t>
            </w:r>
          </w:p>
        </w:tc>
        <w:tc>
          <w:tcPr>
            <w:tcW w:w="1140" w:type="dxa"/>
            <w:vAlign w:val="bottom"/>
            <w:tcBorders>
              <w:bottom w:val="single" w:sz="8" w:color="2360A6"/>
            </w:tcBorders>
            <w:shd w:val="clear" w:color="auto" w:fill="D2DEEC"/>
          </w:tcPr>
          <w:p>
            <w:pPr>
              <w:jc w:val="right"/>
              <w:ind w:right="37"/>
              <w:spacing w:after="0"/>
              <w:rPr>
                <w:sz w:val="20"/>
                <w:szCs w:val="20"/>
                <w:color w:val="auto"/>
              </w:rPr>
            </w:pPr>
            <w:r>
              <w:rPr>
                <w:rFonts w:ascii="Arial" w:cs="Arial" w:eastAsia="Arial" w:hAnsi="Arial"/>
                <w:sz w:val="13"/>
                <w:szCs w:val="13"/>
                <w:b w:val="1"/>
                <w:bCs w:val="1"/>
                <w:color w:val="006EBF"/>
              </w:rPr>
              <w:t>451.8</w:t>
            </w:r>
          </w:p>
        </w:tc>
        <w:tc>
          <w:tcPr>
            <w:tcW w:w="20" w:type="dxa"/>
            <w:vAlign w:val="bottom"/>
            <w:tcBorders>
              <w:bottom w:val="single" w:sz="8" w:color="2360A6"/>
            </w:tcBorders>
          </w:tcPr>
          <w:p>
            <w:pPr>
              <w:spacing w:after="0"/>
              <w:rPr>
                <w:sz w:val="18"/>
                <w:szCs w:val="18"/>
                <w:color w:val="auto"/>
              </w:rPr>
            </w:pPr>
          </w:p>
        </w:tc>
      </w:tr>
      <w:tr>
        <w:trPr>
          <w:trHeight w:val="216"/>
        </w:trPr>
        <w:tc>
          <w:tcPr>
            <w:tcW w:w="3580" w:type="dxa"/>
            <w:vAlign w:val="bottom"/>
            <w:tcBorders>
              <w:right w:val="single" w:sz="8" w:color="231F20"/>
            </w:tcBorders>
          </w:tcPr>
          <w:p>
            <w:pPr>
              <w:ind w:left="20"/>
              <w:spacing w:after="0"/>
              <w:rPr>
                <w:sz w:val="20"/>
                <w:szCs w:val="20"/>
                <w:color w:val="auto"/>
              </w:rPr>
            </w:pPr>
            <w:r>
              <w:rPr>
                <w:rFonts w:ascii="Arial" w:cs="Arial" w:eastAsia="Arial" w:hAnsi="Arial"/>
                <w:sz w:val="13"/>
                <w:szCs w:val="13"/>
                <w:color w:val="231F20"/>
              </w:rPr>
              <w:t xml:space="preserve">Intangible Assets (excluding Goodwill) </w:t>
            </w:r>
            <w:r>
              <w:rPr>
                <w:rFonts w:ascii="Arial" w:cs="Arial" w:eastAsia="Arial" w:hAnsi="Arial"/>
                <w:sz w:val="8"/>
                <w:szCs w:val="8"/>
                <w:color w:val="231F20"/>
              </w:rPr>
              <w:t>(2)</w:t>
            </w:r>
          </w:p>
        </w:tc>
        <w:tc>
          <w:tcPr>
            <w:tcW w:w="1840" w:type="dxa"/>
            <w:vAlign w:val="bottom"/>
            <w:tcBorders>
              <w:bottom w:val="single" w:sz="8" w:color="EDEDEE"/>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193.5</w:t>
            </w:r>
          </w:p>
        </w:tc>
        <w:tc>
          <w:tcPr>
            <w:tcW w:w="760" w:type="dxa"/>
            <w:vAlign w:val="bottom"/>
            <w:tcBorders>
              <w:bottom w:val="single" w:sz="8" w:color="EDEDEE"/>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0.5</w:t>
            </w:r>
          </w:p>
        </w:tc>
        <w:tc>
          <w:tcPr>
            <w:tcW w:w="860" w:type="dxa"/>
            <w:vAlign w:val="bottom"/>
            <w:tcBorders>
              <w:bottom w:val="single" w:sz="8" w:color="EDEDEE"/>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DEDEE"/>
              <w:right w:val="single" w:sz="8" w:color="231F20"/>
            </w:tcBorders>
            <w:shd w:val="clear" w:color="auto" w:fill="EDEDEE"/>
          </w:tcPr>
          <w:p>
            <w:pPr>
              <w:jc w:val="right"/>
              <w:ind w:right="76"/>
              <w:spacing w:after="0"/>
              <w:rPr>
                <w:sz w:val="20"/>
                <w:szCs w:val="20"/>
                <w:color w:val="auto"/>
              </w:rPr>
            </w:pPr>
            <w:r>
              <w:rPr>
                <w:rFonts w:ascii="Arial" w:cs="Arial" w:eastAsia="Arial" w:hAnsi="Arial"/>
                <w:sz w:val="13"/>
                <w:szCs w:val="13"/>
                <w:color w:val="auto"/>
              </w:rPr>
              <w:t>0.7</w:t>
            </w:r>
          </w:p>
        </w:tc>
        <w:tc>
          <w:tcPr>
            <w:tcW w:w="860" w:type="dxa"/>
            <w:vAlign w:val="bottom"/>
            <w:tcBorders>
              <w:bottom w:val="single" w:sz="8" w:color="EDEDEE"/>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47.6</w:t>
            </w:r>
          </w:p>
        </w:tc>
        <w:tc>
          <w:tcPr>
            <w:tcW w:w="860" w:type="dxa"/>
            <w:vAlign w:val="bottom"/>
            <w:tcBorders>
              <w:bottom w:val="single" w:sz="8" w:color="EDEDEE"/>
              <w:right w:val="single" w:sz="8" w:color="231F20"/>
            </w:tcBorders>
            <w:shd w:val="clear" w:color="auto" w:fill="EDEDEE"/>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auto"/>
              </w:rPr>
              <w:t>242.3</w:t>
            </w:r>
          </w:p>
        </w:tc>
        <w:tc>
          <w:tcPr>
            <w:tcW w:w="20" w:type="dxa"/>
            <w:vAlign w:val="bottom"/>
          </w:tcPr>
          <w:p>
            <w:pPr>
              <w:spacing w:after="0"/>
              <w:rPr>
                <w:sz w:val="18"/>
                <w:szCs w:val="18"/>
                <w:color w:val="auto"/>
              </w:rPr>
            </w:pPr>
          </w:p>
        </w:tc>
      </w:tr>
      <w:tr>
        <w:trPr>
          <w:trHeight w:val="210"/>
        </w:trPr>
        <w:tc>
          <w:tcPr>
            <w:tcW w:w="3580" w:type="dxa"/>
            <w:vAlign w:val="bottom"/>
            <w:tcBorders>
              <w:top w:val="single" w:sz="8" w:color="2360A6"/>
              <w:right w:val="single" w:sz="8" w:color="231F20"/>
            </w:tcBorders>
          </w:tcPr>
          <w:p>
            <w:pPr>
              <w:ind w:left="20"/>
              <w:spacing w:after="0"/>
              <w:rPr>
                <w:sz w:val="20"/>
                <w:szCs w:val="20"/>
                <w:color w:val="auto"/>
              </w:rPr>
            </w:pPr>
            <w:r>
              <w:rPr>
                <w:rFonts w:ascii="Arial" w:cs="Arial" w:eastAsia="Arial" w:hAnsi="Arial"/>
                <w:sz w:val="13"/>
                <w:szCs w:val="13"/>
                <w:color w:val="231F20"/>
              </w:rPr>
              <w:t xml:space="preserve">Property, Plant and Equipment </w:t>
            </w:r>
            <w:r>
              <w:rPr>
                <w:rFonts w:ascii="Arial" w:cs="Arial" w:eastAsia="Arial" w:hAnsi="Arial"/>
                <w:sz w:val="8"/>
                <w:szCs w:val="8"/>
                <w:color w:val="231F20"/>
              </w:rPr>
              <w:t>(3)</w:t>
            </w:r>
          </w:p>
        </w:tc>
        <w:tc>
          <w:tcPr>
            <w:tcW w:w="1840" w:type="dxa"/>
            <w:vAlign w:val="bottom"/>
            <w:tcBorders>
              <w:top w:val="single" w:sz="8" w:color="2360A6"/>
              <w:bottom w:val="single" w:sz="8" w:color="EDEDEE"/>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422.9</w:t>
            </w:r>
          </w:p>
        </w:tc>
        <w:tc>
          <w:tcPr>
            <w:tcW w:w="760" w:type="dxa"/>
            <w:vAlign w:val="bottom"/>
            <w:tcBorders>
              <w:top w:val="single" w:sz="8" w:color="2360A6"/>
              <w:bottom w:val="single" w:sz="8" w:color="EDEDEE"/>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54.0</w:t>
            </w:r>
          </w:p>
        </w:tc>
        <w:tc>
          <w:tcPr>
            <w:tcW w:w="860" w:type="dxa"/>
            <w:vAlign w:val="bottom"/>
            <w:tcBorders>
              <w:top w:val="single" w:sz="8" w:color="2360A6"/>
              <w:bottom w:val="single" w:sz="8" w:color="EDEDEE"/>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0.5</w:t>
            </w:r>
          </w:p>
        </w:tc>
        <w:tc>
          <w:tcPr>
            <w:tcW w:w="860" w:type="dxa"/>
            <w:vAlign w:val="bottom"/>
            <w:tcBorders>
              <w:top w:val="single" w:sz="8" w:color="2360A6"/>
              <w:bottom w:val="single" w:sz="8" w:color="EDEDEE"/>
              <w:right w:val="single" w:sz="8" w:color="231F20"/>
            </w:tcBorders>
            <w:shd w:val="clear" w:color="auto" w:fill="EDEDEE"/>
          </w:tcPr>
          <w:p>
            <w:pPr>
              <w:jc w:val="right"/>
              <w:ind w:right="76"/>
              <w:spacing w:after="0"/>
              <w:rPr>
                <w:sz w:val="20"/>
                <w:szCs w:val="20"/>
                <w:color w:val="auto"/>
              </w:rPr>
            </w:pPr>
            <w:r>
              <w:rPr>
                <w:rFonts w:ascii="Arial" w:cs="Arial" w:eastAsia="Arial" w:hAnsi="Arial"/>
                <w:sz w:val="13"/>
                <w:szCs w:val="13"/>
                <w:color w:val="auto"/>
              </w:rPr>
              <w:t>181.7</w:t>
            </w:r>
          </w:p>
        </w:tc>
        <w:tc>
          <w:tcPr>
            <w:tcW w:w="860" w:type="dxa"/>
            <w:vAlign w:val="bottom"/>
            <w:tcBorders>
              <w:top w:val="single" w:sz="8" w:color="2360A6"/>
              <w:bottom w:val="single" w:sz="8" w:color="EDEDEE"/>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254.5</w:t>
            </w:r>
          </w:p>
        </w:tc>
        <w:tc>
          <w:tcPr>
            <w:tcW w:w="860" w:type="dxa"/>
            <w:vAlign w:val="bottom"/>
            <w:tcBorders>
              <w:top w:val="single" w:sz="8" w:color="2360A6"/>
              <w:bottom w:val="single" w:sz="8" w:color="EDEDEE"/>
              <w:right w:val="single" w:sz="8" w:color="231F20"/>
            </w:tcBorders>
            <w:shd w:val="clear" w:color="auto" w:fill="EDEDEE"/>
          </w:tcPr>
          <w:p>
            <w:pPr>
              <w:jc w:val="right"/>
              <w:ind w:right="57"/>
              <w:spacing w:after="0"/>
              <w:rPr>
                <w:sz w:val="20"/>
                <w:szCs w:val="20"/>
                <w:color w:val="auto"/>
              </w:rPr>
            </w:pPr>
            <w:r>
              <w:rPr>
                <w:rFonts w:ascii="Arial" w:cs="Arial" w:eastAsia="Arial" w:hAnsi="Arial"/>
                <w:sz w:val="13"/>
                <w:szCs w:val="13"/>
                <w:color w:val="auto"/>
              </w:rPr>
              <w:t>1,572.0</w:t>
            </w:r>
          </w:p>
        </w:tc>
        <w:tc>
          <w:tcPr>
            <w:tcW w:w="1140" w:type="dxa"/>
            <w:vAlign w:val="bottom"/>
            <w:tcBorders>
              <w:top w:val="single" w:sz="8" w:color="2360A6"/>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auto"/>
              </w:rPr>
              <w:t>2,485.6</w:t>
            </w:r>
          </w:p>
        </w:tc>
        <w:tc>
          <w:tcPr>
            <w:tcW w:w="20" w:type="dxa"/>
            <w:vAlign w:val="bottom"/>
            <w:tcBorders>
              <w:top w:val="single" w:sz="8" w:color="2360A6"/>
            </w:tcBorders>
          </w:tcPr>
          <w:p>
            <w:pPr>
              <w:spacing w:after="0"/>
              <w:rPr>
                <w:sz w:val="18"/>
                <w:szCs w:val="18"/>
                <w:color w:val="auto"/>
              </w:rPr>
            </w:pPr>
          </w:p>
        </w:tc>
      </w:tr>
      <w:tr>
        <w:trPr>
          <w:trHeight w:val="190"/>
        </w:trPr>
        <w:tc>
          <w:tcPr>
            <w:tcW w:w="3580" w:type="dxa"/>
            <w:vAlign w:val="bottom"/>
            <w:tcBorders>
              <w:top w:val="single" w:sz="8" w:color="2360A6"/>
              <w:right w:val="single" w:sz="8" w:color="231F20"/>
            </w:tcBorders>
          </w:tcPr>
          <w:p>
            <w:pPr>
              <w:ind w:left="20"/>
              <w:spacing w:after="0"/>
              <w:rPr>
                <w:sz w:val="20"/>
                <w:szCs w:val="20"/>
                <w:color w:val="auto"/>
              </w:rPr>
            </w:pPr>
            <w:r>
              <w:rPr>
                <w:rFonts w:ascii="Arial" w:cs="Arial" w:eastAsia="Arial" w:hAnsi="Arial"/>
                <w:sz w:val="13"/>
                <w:szCs w:val="13"/>
                <w:color w:val="231F20"/>
              </w:rPr>
              <w:t xml:space="preserve">Financial Assets </w:t>
            </w:r>
            <w:r>
              <w:rPr>
                <w:rFonts w:ascii="Arial" w:cs="Arial" w:eastAsia="Arial" w:hAnsi="Arial"/>
                <w:sz w:val="8"/>
                <w:szCs w:val="8"/>
                <w:color w:val="231F20"/>
              </w:rPr>
              <w:t>(4)</w:t>
            </w:r>
          </w:p>
        </w:tc>
        <w:tc>
          <w:tcPr>
            <w:tcW w:w="1840" w:type="dxa"/>
            <w:vAlign w:val="bottom"/>
            <w:tcBorders>
              <w:top w:val="single" w:sz="8" w:color="2360A6"/>
              <w:bottom w:val="single" w:sz="8" w:color="EDEDEE"/>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327.8</w:t>
            </w:r>
          </w:p>
        </w:tc>
        <w:tc>
          <w:tcPr>
            <w:tcW w:w="760" w:type="dxa"/>
            <w:vAlign w:val="bottom"/>
            <w:tcBorders>
              <w:top w:val="single" w:sz="8" w:color="2360A6"/>
              <w:bottom w:val="single" w:sz="8" w:color="EDEDEE"/>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6.9</w:t>
            </w:r>
          </w:p>
        </w:tc>
        <w:tc>
          <w:tcPr>
            <w:tcW w:w="860" w:type="dxa"/>
            <w:vAlign w:val="bottom"/>
            <w:tcBorders>
              <w:top w:val="single" w:sz="8" w:color="2360A6"/>
              <w:bottom w:val="single" w:sz="8" w:color="EDEDEE"/>
              <w:right w:val="single" w:sz="8" w:color="231F20"/>
            </w:tcBorders>
            <w:shd w:val="clear" w:color="auto" w:fill="EDEDEE"/>
          </w:tcPr>
          <w:p>
            <w:pPr>
              <w:jc w:val="right"/>
              <w:ind w:right="37"/>
              <w:spacing w:after="0"/>
              <w:rPr>
                <w:sz w:val="20"/>
                <w:szCs w:val="20"/>
                <w:color w:val="auto"/>
              </w:rPr>
            </w:pPr>
            <w:r>
              <w:rPr>
                <w:rFonts w:ascii="Arial" w:cs="Arial" w:eastAsia="Arial" w:hAnsi="Arial"/>
                <w:sz w:val="13"/>
                <w:szCs w:val="13"/>
                <w:color w:val="auto"/>
              </w:rPr>
              <w:t>(21.2)</w:t>
            </w:r>
          </w:p>
        </w:tc>
        <w:tc>
          <w:tcPr>
            <w:tcW w:w="860" w:type="dxa"/>
            <w:vAlign w:val="bottom"/>
            <w:tcBorders>
              <w:top w:val="single" w:sz="8" w:color="2360A6"/>
              <w:bottom w:val="single" w:sz="8" w:color="EDEDEE"/>
              <w:right w:val="single" w:sz="8" w:color="231F20"/>
            </w:tcBorders>
            <w:shd w:val="clear" w:color="auto" w:fill="EDEDEE"/>
          </w:tcPr>
          <w:p>
            <w:pPr>
              <w:jc w:val="right"/>
              <w:ind w:right="76"/>
              <w:spacing w:after="0"/>
              <w:rPr>
                <w:sz w:val="20"/>
                <w:szCs w:val="20"/>
                <w:color w:val="auto"/>
              </w:rPr>
            </w:pPr>
            <w:r>
              <w:rPr>
                <w:rFonts w:ascii="Arial" w:cs="Arial" w:eastAsia="Arial" w:hAnsi="Arial"/>
                <w:sz w:val="13"/>
                <w:szCs w:val="13"/>
                <w:color w:val="auto"/>
              </w:rPr>
              <w:t>22.1</w:t>
            </w:r>
          </w:p>
        </w:tc>
        <w:tc>
          <w:tcPr>
            <w:tcW w:w="860" w:type="dxa"/>
            <w:vAlign w:val="bottom"/>
            <w:tcBorders>
              <w:top w:val="single" w:sz="8" w:color="2360A6"/>
              <w:bottom w:val="single" w:sz="8" w:color="EDEDEE"/>
              <w:right w:val="single" w:sz="8" w:color="231F20"/>
            </w:tcBorders>
            <w:shd w:val="clear" w:color="auto" w:fill="EDEDEE"/>
          </w:tcPr>
          <w:p>
            <w:pPr>
              <w:jc w:val="right"/>
              <w:ind w:right="77"/>
              <w:spacing w:after="0"/>
              <w:rPr>
                <w:sz w:val="20"/>
                <w:szCs w:val="20"/>
                <w:color w:val="auto"/>
              </w:rPr>
            </w:pPr>
            <w:r>
              <w:rPr>
                <w:rFonts w:ascii="Arial" w:cs="Arial" w:eastAsia="Arial" w:hAnsi="Arial"/>
                <w:sz w:val="13"/>
                <w:szCs w:val="13"/>
                <w:color w:val="auto"/>
              </w:rPr>
              <w:t>70.4</w:t>
            </w:r>
          </w:p>
        </w:tc>
        <w:tc>
          <w:tcPr>
            <w:tcW w:w="860" w:type="dxa"/>
            <w:vAlign w:val="bottom"/>
            <w:tcBorders>
              <w:top w:val="single" w:sz="8" w:color="2360A6"/>
              <w:bottom w:val="single" w:sz="8" w:color="EDEDEE"/>
              <w:right w:val="single" w:sz="8" w:color="231F20"/>
            </w:tcBorders>
            <w:shd w:val="clear" w:color="auto" w:fill="EDEDEE"/>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2360A6"/>
              <w:bottom w:val="single" w:sz="8" w:color="EDEDEE"/>
            </w:tcBorders>
            <w:shd w:val="clear" w:color="auto" w:fill="EDEDEE"/>
          </w:tcPr>
          <w:p>
            <w:pPr>
              <w:jc w:val="right"/>
              <w:ind w:right="37"/>
              <w:spacing w:after="0"/>
              <w:rPr>
                <w:sz w:val="20"/>
                <w:szCs w:val="20"/>
                <w:color w:val="auto"/>
              </w:rPr>
            </w:pPr>
            <w:r>
              <w:rPr>
                <w:rFonts w:ascii="Arial" w:cs="Arial" w:eastAsia="Arial" w:hAnsi="Arial"/>
                <w:sz w:val="13"/>
                <w:szCs w:val="13"/>
                <w:color w:val="auto"/>
              </w:rPr>
              <w:t>406.0</w:t>
            </w:r>
          </w:p>
        </w:tc>
        <w:tc>
          <w:tcPr>
            <w:tcW w:w="20" w:type="dxa"/>
            <w:vAlign w:val="bottom"/>
            <w:tcBorders>
              <w:top w:val="single" w:sz="8" w:color="2360A6"/>
            </w:tcBorders>
          </w:tcPr>
          <w:p>
            <w:pPr>
              <w:spacing w:after="0"/>
              <w:rPr>
                <w:sz w:val="16"/>
                <w:szCs w:val="16"/>
                <w:color w:val="auto"/>
              </w:rPr>
            </w:pPr>
          </w:p>
        </w:tc>
      </w:tr>
      <w:tr>
        <w:trPr>
          <w:trHeight w:val="20"/>
        </w:trPr>
        <w:tc>
          <w:tcPr>
            <w:tcW w:w="3580" w:type="dxa"/>
            <w:vAlign w:val="bottom"/>
            <w:tcBorders>
              <w:right w:val="single" w:sz="8" w:color="231F20"/>
            </w:tcBorders>
            <w:shd w:val="clear" w:color="auto" w:fill="2360A6"/>
          </w:tcPr>
          <w:p>
            <w:pPr>
              <w:spacing w:after="0" w:line="20" w:lineRule="exact"/>
              <w:rPr>
                <w:sz w:val="1"/>
                <w:szCs w:val="1"/>
                <w:color w:val="auto"/>
              </w:rPr>
            </w:pPr>
          </w:p>
        </w:tc>
        <w:tc>
          <w:tcPr>
            <w:tcW w:w="1840" w:type="dxa"/>
            <w:vAlign w:val="bottom"/>
            <w:tcBorders>
              <w:right w:val="single" w:sz="8" w:color="231F20"/>
            </w:tcBorders>
            <w:shd w:val="clear" w:color="auto" w:fill="2360A6"/>
          </w:tcPr>
          <w:p>
            <w:pPr>
              <w:spacing w:after="0" w:line="20" w:lineRule="exact"/>
              <w:rPr>
                <w:sz w:val="1"/>
                <w:szCs w:val="1"/>
                <w:color w:val="auto"/>
              </w:rPr>
            </w:pPr>
          </w:p>
        </w:tc>
        <w:tc>
          <w:tcPr>
            <w:tcW w:w="760" w:type="dxa"/>
            <w:vAlign w:val="bottom"/>
            <w:tcBorders>
              <w:right w:val="single" w:sz="8" w:color="231F20"/>
            </w:tcBorders>
            <w:shd w:val="clear" w:color="auto" w:fill="2360A6"/>
          </w:tcPr>
          <w:p>
            <w:pPr>
              <w:spacing w:after="0" w:line="20" w:lineRule="exact"/>
              <w:rPr>
                <w:sz w:val="1"/>
                <w:szCs w:val="1"/>
                <w:color w:val="auto"/>
              </w:rPr>
            </w:pPr>
          </w:p>
        </w:tc>
        <w:tc>
          <w:tcPr>
            <w:tcW w:w="860" w:type="dxa"/>
            <w:vAlign w:val="bottom"/>
            <w:tcBorders>
              <w:right w:val="single" w:sz="8" w:color="231F20"/>
            </w:tcBorders>
            <w:shd w:val="clear" w:color="auto" w:fill="2360A6"/>
          </w:tcPr>
          <w:p>
            <w:pPr>
              <w:spacing w:after="0" w:line="20" w:lineRule="exact"/>
              <w:rPr>
                <w:sz w:val="1"/>
                <w:szCs w:val="1"/>
                <w:color w:val="auto"/>
              </w:rPr>
            </w:pPr>
          </w:p>
        </w:tc>
        <w:tc>
          <w:tcPr>
            <w:tcW w:w="860" w:type="dxa"/>
            <w:vAlign w:val="bottom"/>
            <w:tcBorders>
              <w:right w:val="single" w:sz="8" w:color="231F20"/>
            </w:tcBorders>
            <w:shd w:val="clear" w:color="auto" w:fill="2360A6"/>
          </w:tcPr>
          <w:p>
            <w:pPr>
              <w:spacing w:after="0" w:line="20" w:lineRule="exact"/>
              <w:rPr>
                <w:sz w:val="1"/>
                <w:szCs w:val="1"/>
                <w:color w:val="auto"/>
              </w:rPr>
            </w:pPr>
          </w:p>
        </w:tc>
        <w:tc>
          <w:tcPr>
            <w:tcW w:w="860" w:type="dxa"/>
            <w:vAlign w:val="bottom"/>
            <w:tcBorders>
              <w:right w:val="single" w:sz="8" w:color="231F20"/>
            </w:tcBorders>
            <w:shd w:val="clear" w:color="auto" w:fill="2360A6"/>
          </w:tcPr>
          <w:p>
            <w:pPr>
              <w:spacing w:after="0" w:line="20" w:lineRule="exact"/>
              <w:rPr>
                <w:sz w:val="1"/>
                <w:szCs w:val="1"/>
                <w:color w:val="auto"/>
              </w:rPr>
            </w:pPr>
          </w:p>
        </w:tc>
        <w:tc>
          <w:tcPr>
            <w:tcW w:w="860" w:type="dxa"/>
            <w:vAlign w:val="bottom"/>
            <w:tcBorders>
              <w:right w:val="single" w:sz="8" w:color="231F20"/>
            </w:tcBorders>
            <w:shd w:val="clear" w:color="auto" w:fill="2360A6"/>
          </w:tcPr>
          <w:p>
            <w:pPr>
              <w:spacing w:after="0" w:line="20" w:lineRule="exact"/>
              <w:rPr>
                <w:sz w:val="1"/>
                <w:szCs w:val="1"/>
                <w:color w:val="auto"/>
              </w:rPr>
            </w:pPr>
          </w:p>
        </w:tc>
        <w:tc>
          <w:tcPr>
            <w:tcW w:w="1140" w:type="dxa"/>
            <w:vAlign w:val="bottom"/>
            <w:shd w:val="clear" w:color="auto" w:fill="2360A6"/>
          </w:tcPr>
          <w:p>
            <w:pPr>
              <w:spacing w:after="0" w:line="20" w:lineRule="exact"/>
              <w:rPr>
                <w:sz w:val="1"/>
                <w:szCs w:val="1"/>
                <w:color w:val="auto"/>
              </w:rPr>
            </w:pPr>
          </w:p>
        </w:tc>
        <w:tc>
          <w:tcPr>
            <w:tcW w:w="20" w:type="dxa"/>
            <w:vAlign w:val="bottom"/>
            <w:shd w:val="clear" w:color="auto" w:fill="2360A6"/>
          </w:tcPr>
          <w:p>
            <w:pPr>
              <w:spacing w:after="0" w:line="20" w:lineRule="exact"/>
              <w:rPr>
                <w:sz w:val="1"/>
                <w:szCs w:val="1"/>
                <w:color w:val="auto"/>
              </w:rPr>
            </w:pPr>
          </w:p>
        </w:tc>
      </w:tr>
    </w:tbl>
    <w:p>
      <w:pPr>
        <w:spacing w:after="0" w:line="21" w:lineRule="exact"/>
        <w:rPr>
          <w:sz w:val="20"/>
          <w:szCs w:val="20"/>
          <w:color w:val="auto"/>
        </w:rPr>
      </w:pPr>
    </w:p>
    <w:tbl>
      <w:tblPr>
        <w:tblLayout w:type="fixed"/>
        <w:tblInd w:w="270" w:type="dxa"/>
        <w:tblCellMar>
          <w:top w:w="0" w:type="dxa"/>
          <w:left w:w="0" w:type="dxa"/>
          <w:bottom w:w="0" w:type="dxa"/>
          <w:right w:w="0" w:type="dxa"/>
        </w:tblCellMar>
      </w:tblPr>
      <w:tr>
        <w:trPr>
          <w:trHeight w:val="152"/>
        </w:trPr>
        <w:tc>
          <w:tcPr>
            <w:tcW w:w="4680" w:type="dxa"/>
            <w:vAlign w:val="bottom"/>
            <w:gridSpan w:val="3"/>
          </w:tcPr>
          <w:p>
            <w:pPr>
              <w:ind w:left="20"/>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2"/>
                <w:szCs w:val="12"/>
                <w:color w:val="231F20"/>
              </w:rPr>
              <w:t>Includes revenues earned in France: €105.5 million.</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0" w:type="dxa"/>
            <w:vAlign w:val="bottom"/>
          </w:tcPr>
          <w:p>
            <w:pPr>
              <w:ind w:left="40"/>
              <w:spacing w:after="0"/>
              <w:rPr>
                <w:sz w:val="20"/>
                <w:szCs w:val="20"/>
                <w:color w:val="auto"/>
              </w:rPr>
            </w:pPr>
            <w:r>
              <w:rPr>
                <w:rFonts w:ascii="Arial" w:cs="Arial" w:eastAsia="Arial" w:hAnsi="Arial"/>
                <w:sz w:val="9"/>
                <w:szCs w:val="9"/>
                <w:color w:val="231F20"/>
                <w:w w:val="90"/>
              </w:rPr>
              <w:t>(2)</w:t>
            </w:r>
          </w:p>
        </w:tc>
        <w:tc>
          <w:tcPr>
            <w:tcW w:w="4520" w:type="dxa"/>
            <w:vAlign w:val="bottom"/>
            <w:gridSpan w:val="2"/>
          </w:tcPr>
          <w:p>
            <w:pPr>
              <w:ind w:left="20"/>
              <w:spacing w:after="0"/>
              <w:rPr>
                <w:sz w:val="20"/>
                <w:szCs w:val="20"/>
                <w:color w:val="auto"/>
              </w:rPr>
            </w:pPr>
            <w:r>
              <w:rPr>
                <w:rFonts w:ascii="Arial" w:cs="Arial" w:eastAsia="Arial" w:hAnsi="Arial"/>
                <w:sz w:val="13"/>
                <w:szCs w:val="13"/>
                <w:color w:val="231F20"/>
              </w:rPr>
              <w:t>Includes intangible assets in France: €190.6 million and in Brazil: €5.9 million.</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60" w:type="dxa"/>
            <w:vAlign w:val="bottom"/>
          </w:tcPr>
          <w:p>
            <w:pPr>
              <w:ind w:left="40"/>
              <w:spacing w:after="0"/>
              <w:rPr>
                <w:sz w:val="20"/>
                <w:szCs w:val="20"/>
                <w:color w:val="auto"/>
              </w:rPr>
            </w:pPr>
            <w:r>
              <w:rPr>
                <w:rFonts w:ascii="Arial" w:cs="Arial" w:eastAsia="Arial" w:hAnsi="Arial"/>
                <w:sz w:val="9"/>
                <w:szCs w:val="9"/>
                <w:color w:val="231F20"/>
                <w:w w:val="90"/>
              </w:rPr>
              <w:t>(3)</w:t>
            </w:r>
          </w:p>
        </w:tc>
        <w:tc>
          <w:tcPr>
            <w:tcW w:w="10620" w:type="dxa"/>
            <w:vAlign w:val="bottom"/>
            <w:gridSpan w:val="11"/>
          </w:tcPr>
          <w:p>
            <w:pPr>
              <w:ind w:left="20"/>
              <w:spacing w:after="0"/>
              <w:rPr>
                <w:sz w:val="20"/>
                <w:szCs w:val="20"/>
                <w:color w:val="auto"/>
              </w:rPr>
            </w:pPr>
            <w:r>
              <w:rPr>
                <w:rFonts w:ascii="Arial" w:cs="Arial" w:eastAsia="Arial" w:hAnsi="Arial"/>
                <w:sz w:val="13"/>
                <w:szCs w:val="13"/>
                <w:color w:val="231F20"/>
                <w:w w:val="97"/>
              </w:rPr>
              <w:t>Includes tangible assets in France: €166.2 million. The fleet of vessels (including vessels under construction) that operate in different geographical areas and therefore cannot be allocated to</w:t>
            </w:r>
          </w:p>
        </w:tc>
        <w:tc>
          <w:tcPr>
            <w:tcW w:w="0" w:type="dxa"/>
            <w:vAlign w:val="bottom"/>
          </w:tcPr>
          <w:p>
            <w:pPr>
              <w:spacing w:after="0"/>
              <w:rPr>
                <w:sz w:val="1"/>
                <w:szCs w:val="1"/>
                <w:color w:val="auto"/>
              </w:rPr>
            </w:pPr>
          </w:p>
        </w:tc>
      </w:tr>
      <w:tr>
        <w:trPr>
          <w:trHeight w:val="152"/>
        </w:trPr>
        <w:tc>
          <w:tcPr>
            <w:tcW w:w="4680" w:type="dxa"/>
            <w:vAlign w:val="bottom"/>
            <w:gridSpan w:val="3"/>
          </w:tcPr>
          <w:p>
            <w:pPr>
              <w:ind w:left="40"/>
              <w:spacing w:after="0"/>
              <w:rPr>
                <w:sz w:val="20"/>
                <w:szCs w:val="20"/>
                <w:color w:val="auto"/>
              </w:rPr>
            </w:pPr>
            <w:r>
              <w:rPr>
                <w:rFonts w:ascii="Arial" w:cs="Arial" w:eastAsia="Arial" w:hAnsi="Arial"/>
                <w:sz w:val="13"/>
                <w:szCs w:val="13"/>
                <w:color w:val="231F20"/>
              </w:rPr>
              <w:t>a specific area is reported under “Non allocable”.</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0" w:type="dxa"/>
            <w:vAlign w:val="bottom"/>
            <w:tcBorders>
              <w:bottom w:val="single" w:sz="8" w:color="2360A6"/>
            </w:tcBorders>
          </w:tcPr>
          <w:p>
            <w:pPr>
              <w:ind w:left="40"/>
              <w:spacing w:after="0"/>
              <w:rPr>
                <w:sz w:val="20"/>
                <w:szCs w:val="20"/>
                <w:color w:val="auto"/>
              </w:rPr>
            </w:pPr>
            <w:r>
              <w:rPr>
                <w:rFonts w:ascii="Arial" w:cs="Arial" w:eastAsia="Arial" w:hAnsi="Arial"/>
                <w:sz w:val="9"/>
                <w:szCs w:val="9"/>
                <w:color w:val="231F20"/>
                <w:w w:val="90"/>
              </w:rPr>
              <w:t>(4)</w:t>
            </w:r>
          </w:p>
        </w:tc>
        <w:tc>
          <w:tcPr>
            <w:tcW w:w="5440" w:type="dxa"/>
            <w:vAlign w:val="bottom"/>
            <w:tcBorders>
              <w:bottom w:val="single" w:sz="8" w:color="2360A6"/>
            </w:tcBorders>
            <w:gridSpan w:val="4"/>
          </w:tcPr>
          <w:p>
            <w:pPr>
              <w:ind w:left="20"/>
              <w:spacing w:after="0"/>
              <w:rPr>
                <w:sz w:val="20"/>
                <w:szCs w:val="20"/>
                <w:color w:val="auto"/>
              </w:rPr>
            </w:pPr>
            <w:r>
              <w:rPr>
                <w:rFonts w:ascii="Arial" w:cs="Arial" w:eastAsia="Arial" w:hAnsi="Arial"/>
                <w:sz w:val="13"/>
                <w:szCs w:val="13"/>
                <w:color w:val="231F20"/>
                <w:w w:val="99"/>
              </w:rPr>
              <w:t>Includes financial assets in France: €67.4 million and in United States of America: €6.7 million.</w:t>
            </w:r>
          </w:p>
        </w:tc>
        <w:tc>
          <w:tcPr>
            <w:tcW w:w="580" w:type="dxa"/>
            <w:vAlign w:val="bottom"/>
            <w:tcBorders>
              <w:bottom w:val="single" w:sz="8" w:color="2360A6"/>
            </w:tcBorders>
          </w:tcPr>
          <w:p>
            <w:pPr>
              <w:spacing w:after="0"/>
              <w:rPr>
                <w:sz w:val="14"/>
                <w:szCs w:val="14"/>
                <w:color w:val="auto"/>
              </w:rPr>
            </w:pPr>
          </w:p>
        </w:tc>
        <w:tc>
          <w:tcPr>
            <w:tcW w:w="860" w:type="dxa"/>
            <w:vAlign w:val="bottom"/>
            <w:tcBorders>
              <w:bottom w:val="single" w:sz="8" w:color="2360A6"/>
            </w:tcBorders>
          </w:tcPr>
          <w:p>
            <w:pPr>
              <w:spacing w:after="0"/>
              <w:rPr>
                <w:sz w:val="14"/>
                <w:szCs w:val="14"/>
                <w:color w:val="auto"/>
              </w:rPr>
            </w:pPr>
          </w:p>
        </w:tc>
        <w:tc>
          <w:tcPr>
            <w:tcW w:w="860" w:type="dxa"/>
            <w:vAlign w:val="bottom"/>
            <w:tcBorders>
              <w:bottom w:val="single" w:sz="8" w:color="2360A6"/>
            </w:tcBorders>
          </w:tcPr>
          <w:p>
            <w:pPr>
              <w:spacing w:after="0"/>
              <w:rPr>
                <w:sz w:val="14"/>
                <w:szCs w:val="14"/>
                <w:color w:val="auto"/>
              </w:rPr>
            </w:pPr>
          </w:p>
        </w:tc>
        <w:tc>
          <w:tcPr>
            <w:tcW w:w="860" w:type="dxa"/>
            <w:vAlign w:val="bottom"/>
            <w:tcBorders>
              <w:bottom w:val="single" w:sz="8" w:color="2360A6"/>
            </w:tcBorders>
          </w:tcPr>
          <w:p>
            <w:pPr>
              <w:spacing w:after="0"/>
              <w:rPr>
                <w:sz w:val="14"/>
                <w:szCs w:val="14"/>
                <w:color w:val="auto"/>
              </w:rPr>
            </w:pPr>
          </w:p>
        </w:tc>
        <w:tc>
          <w:tcPr>
            <w:tcW w:w="860" w:type="dxa"/>
            <w:vAlign w:val="bottom"/>
            <w:tcBorders>
              <w:bottom w:val="single" w:sz="8" w:color="2360A6"/>
            </w:tcBorders>
          </w:tcPr>
          <w:p>
            <w:pPr>
              <w:spacing w:after="0"/>
              <w:rPr>
                <w:sz w:val="14"/>
                <w:szCs w:val="14"/>
                <w:color w:val="auto"/>
              </w:rPr>
            </w:pPr>
          </w:p>
        </w:tc>
        <w:tc>
          <w:tcPr>
            <w:tcW w:w="1140" w:type="dxa"/>
            <w:vAlign w:val="bottom"/>
            <w:tcBorders>
              <w:bottom w:val="single" w:sz="8" w:color="2360A6"/>
            </w:tcBorders>
          </w:tcPr>
          <w:p>
            <w:pPr>
              <w:spacing w:after="0"/>
              <w:rPr>
                <w:sz w:val="14"/>
                <w:szCs w:val="14"/>
                <w:color w:val="auto"/>
              </w:rPr>
            </w:pP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0" w:type="dxa"/>
            <w:vAlign w:val="bottom"/>
            <w:tcBorders>
              <w:bottom w:val="single" w:sz="8" w:color="2360A6"/>
            </w:tcBorders>
          </w:tcPr>
          <w:p>
            <w:pPr>
              <w:spacing w:after="0"/>
              <w:rPr>
                <w:sz w:val="11"/>
                <w:szCs w:val="11"/>
                <w:color w:val="auto"/>
              </w:rPr>
            </w:pPr>
          </w:p>
        </w:tc>
        <w:tc>
          <w:tcPr>
            <w:tcW w:w="3420" w:type="dxa"/>
            <w:vAlign w:val="bottom"/>
            <w:tcBorders>
              <w:bottom w:val="single" w:sz="8" w:color="2360A6"/>
            </w:tcBorders>
          </w:tcPr>
          <w:p>
            <w:pPr>
              <w:spacing w:after="0"/>
              <w:rPr>
                <w:sz w:val="11"/>
                <w:szCs w:val="11"/>
                <w:color w:val="auto"/>
              </w:rPr>
            </w:pPr>
          </w:p>
        </w:tc>
        <w:tc>
          <w:tcPr>
            <w:tcW w:w="1100" w:type="dxa"/>
            <w:vAlign w:val="bottom"/>
            <w:tcBorders>
              <w:bottom w:val="single" w:sz="8" w:color="2360A6"/>
            </w:tcBorders>
          </w:tcPr>
          <w:p>
            <w:pPr>
              <w:spacing w:after="0"/>
              <w:rPr>
                <w:sz w:val="11"/>
                <w:szCs w:val="11"/>
                <w:color w:val="auto"/>
              </w:rPr>
            </w:pPr>
          </w:p>
        </w:tc>
        <w:tc>
          <w:tcPr>
            <w:tcW w:w="740" w:type="dxa"/>
            <w:vAlign w:val="bottom"/>
            <w:tcBorders>
              <w:bottom w:val="single" w:sz="8" w:color="2360A6"/>
            </w:tcBorders>
          </w:tcPr>
          <w:p>
            <w:pPr>
              <w:spacing w:after="0"/>
              <w:rPr>
                <w:sz w:val="11"/>
                <w:szCs w:val="11"/>
                <w:color w:val="auto"/>
              </w:rPr>
            </w:pPr>
          </w:p>
        </w:tc>
        <w:tc>
          <w:tcPr>
            <w:tcW w:w="180" w:type="dxa"/>
            <w:vAlign w:val="bottom"/>
            <w:tcBorders>
              <w:bottom w:val="single" w:sz="8" w:color="2360A6"/>
            </w:tcBorders>
          </w:tcPr>
          <w:p>
            <w:pPr>
              <w:spacing w:after="0"/>
              <w:rPr>
                <w:sz w:val="11"/>
                <w:szCs w:val="11"/>
                <w:color w:val="auto"/>
              </w:rPr>
            </w:pPr>
          </w:p>
        </w:tc>
        <w:tc>
          <w:tcPr>
            <w:tcW w:w="580" w:type="dxa"/>
            <w:vAlign w:val="bottom"/>
            <w:tcBorders>
              <w:bottom w:val="single" w:sz="8" w:color="2360A6"/>
            </w:tcBorders>
          </w:tcPr>
          <w:p>
            <w:pPr>
              <w:spacing w:after="0"/>
              <w:rPr>
                <w:sz w:val="11"/>
                <w:szCs w:val="11"/>
                <w:color w:val="auto"/>
              </w:rPr>
            </w:pPr>
          </w:p>
        </w:tc>
        <w:tc>
          <w:tcPr>
            <w:tcW w:w="860" w:type="dxa"/>
            <w:vAlign w:val="bottom"/>
            <w:tcBorders>
              <w:bottom w:val="single" w:sz="8" w:color="2360A6"/>
            </w:tcBorders>
          </w:tcPr>
          <w:p>
            <w:pPr>
              <w:spacing w:after="0"/>
              <w:rPr>
                <w:sz w:val="11"/>
                <w:szCs w:val="11"/>
                <w:color w:val="auto"/>
              </w:rPr>
            </w:pPr>
          </w:p>
        </w:tc>
        <w:tc>
          <w:tcPr>
            <w:tcW w:w="860" w:type="dxa"/>
            <w:vAlign w:val="bottom"/>
            <w:tcBorders>
              <w:bottom w:val="single" w:sz="8" w:color="2360A6"/>
            </w:tcBorders>
          </w:tcPr>
          <w:p>
            <w:pPr>
              <w:spacing w:after="0"/>
              <w:rPr>
                <w:sz w:val="11"/>
                <w:szCs w:val="11"/>
                <w:color w:val="auto"/>
              </w:rPr>
            </w:pPr>
          </w:p>
        </w:tc>
        <w:tc>
          <w:tcPr>
            <w:tcW w:w="860" w:type="dxa"/>
            <w:vAlign w:val="bottom"/>
            <w:tcBorders>
              <w:bottom w:val="single" w:sz="8" w:color="2360A6"/>
            </w:tcBorders>
          </w:tcPr>
          <w:p>
            <w:pPr>
              <w:spacing w:after="0"/>
              <w:rPr>
                <w:sz w:val="11"/>
                <w:szCs w:val="11"/>
                <w:color w:val="auto"/>
              </w:rPr>
            </w:pPr>
          </w:p>
        </w:tc>
        <w:tc>
          <w:tcPr>
            <w:tcW w:w="860" w:type="dxa"/>
            <w:vAlign w:val="bottom"/>
            <w:tcBorders>
              <w:bottom w:val="single" w:sz="8" w:color="2360A6"/>
            </w:tcBorders>
          </w:tcPr>
          <w:p>
            <w:pPr>
              <w:spacing w:after="0"/>
              <w:rPr>
                <w:sz w:val="11"/>
                <w:szCs w:val="11"/>
                <w:color w:val="auto"/>
              </w:rPr>
            </w:pPr>
          </w:p>
        </w:tc>
        <w:tc>
          <w:tcPr>
            <w:tcW w:w="1140" w:type="dxa"/>
            <w:vAlign w:val="bottom"/>
            <w:tcBorders>
              <w:bottom w:val="single" w:sz="8" w:color="2360A6"/>
            </w:tcBorders>
          </w:tcPr>
          <w:p>
            <w:pPr>
              <w:spacing w:after="0"/>
              <w:rPr>
                <w:sz w:val="11"/>
                <w:szCs w:val="11"/>
                <w:color w:val="auto"/>
              </w:rPr>
            </w:pPr>
          </w:p>
        </w:tc>
        <w:tc>
          <w:tcPr>
            <w:tcW w:w="20" w:type="dxa"/>
            <w:vAlign w:val="bottom"/>
            <w:tcBorders>
              <w:bottom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231F20"/>
            </w:tcBorders>
          </w:tcPr>
          <w:p>
            <w:pPr>
              <w:spacing w:after="0"/>
              <w:rPr>
                <w:sz w:val="15"/>
                <w:szCs w:val="15"/>
                <w:color w:val="auto"/>
              </w:rPr>
            </w:pPr>
          </w:p>
        </w:tc>
        <w:tc>
          <w:tcPr>
            <w:tcW w:w="3420" w:type="dxa"/>
            <w:vAlign w:val="bottom"/>
            <w:tcBorders>
              <w:right w:val="single" w:sz="8" w:color="231F20"/>
            </w:tcBorders>
          </w:tcPr>
          <w:p>
            <w:pPr>
              <w:spacing w:after="0"/>
              <w:rPr>
                <w:sz w:val="15"/>
                <w:szCs w:val="15"/>
                <w:color w:val="auto"/>
              </w:rPr>
            </w:pPr>
          </w:p>
        </w:tc>
        <w:tc>
          <w:tcPr>
            <w:tcW w:w="1100" w:type="dxa"/>
            <w:vAlign w:val="bottom"/>
            <w:tcBorders>
              <w:bottom w:val="single" w:sz="8" w:color="2360A6"/>
            </w:tcBorders>
          </w:tcPr>
          <w:p>
            <w:pPr>
              <w:spacing w:after="0"/>
              <w:rPr>
                <w:sz w:val="15"/>
                <w:szCs w:val="15"/>
                <w:color w:val="auto"/>
              </w:rPr>
            </w:pPr>
          </w:p>
        </w:tc>
        <w:tc>
          <w:tcPr>
            <w:tcW w:w="740" w:type="dxa"/>
            <w:vAlign w:val="bottom"/>
            <w:tcBorders>
              <w:bottom w:val="single" w:sz="8" w:color="2360A6"/>
            </w:tcBorders>
          </w:tcPr>
          <w:p>
            <w:pPr>
              <w:spacing w:after="0"/>
              <w:rPr>
                <w:sz w:val="15"/>
                <w:szCs w:val="15"/>
                <w:color w:val="auto"/>
              </w:rPr>
            </w:pPr>
          </w:p>
        </w:tc>
        <w:tc>
          <w:tcPr>
            <w:tcW w:w="180" w:type="dxa"/>
            <w:vAlign w:val="bottom"/>
            <w:tcBorders>
              <w:bottom w:val="single" w:sz="8" w:color="2360A6"/>
            </w:tcBorders>
          </w:tcPr>
          <w:p>
            <w:pPr>
              <w:spacing w:after="0"/>
              <w:rPr>
                <w:sz w:val="15"/>
                <w:szCs w:val="15"/>
                <w:color w:val="auto"/>
              </w:rPr>
            </w:pPr>
          </w:p>
        </w:tc>
        <w:tc>
          <w:tcPr>
            <w:tcW w:w="580" w:type="dxa"/>
            <w:vAlign w:val="bottom"/>
            <w:tcBorders>
              <w:bottom w:val="single" w:sz="8" w:color="2360A6"/>
            </w:tcBorders>
          </w:tcPr>
          <w:p>
            <w:pPr>
              <w:spacing w:after="0"/>
              <w:rPr>
                <w:sz w:val="15"/>
                <w:szCs w:val="15"/>
                <w:color w:val="auto"/>
              </w:rPr>
            </w:pPr>
          </w:p>
        </w:tc>
        <w:tc>
          <w:tcPr>
            <w:tcW w:w="860" w:type="dxa"/>
            <w:vAlign w:val="bottom"/>
            <w:tcBorders>
              <w:bottom w:val="single" w:sz="8" w:color="2360A6"/>
            </w:tcBorders>
          </w:tcPr>
          <w:p>
            <w:pPr>
              <w:spacing w:after="0"/>
              <w:rPr>
                <w:sz w:val="15"/>
                <w:szCs w:val="15"/>
                <w:color w:val="auto"/>
              </w:rPr>
            </w:pPr>
          </w:p>
        </w:tc>
        <w:tc>
          <w:tcPr>
            <w:tcW w:w="860" w:type="dxa"/>
            <w:vAlign w:val="bottom"/>
            <w:tcBorders>
              <w:bottom w:val="single" w:sz="8" w:color="2360A6"/>
            </w:tcBorders>
          </w:tcPr>
          <w:p>
            <w:pPr>
              <w:jc w:val="right"/>
              <w:ind w:right="517"/>
              <w:spacing w:after="0"/>
              <w:rPr>
                <w:sz w:val="20"/>
                <w:szCs w:val="20"/>
                <w:color w:val="auto"/>
              </w:rPr>
            </w:pPr>
            <w:r>
              <w:rPr>
                <w:rFonts w:ascii="Arial" w:cs="Arial" w:eastAsia="Arial" w:hAnsi="Arial"/>
                <w:sz w:val="13"/>
                <w:szCs w:val="13"/>
                <w:b w:val="1"/>
                <w:bCs w:val="1"/>
                <w:color w:val="2360A6"/>
                <w:w w:val="89"/>
              </w:rPr>
              <w:t>2015</w:t>
            </w:r>
          </w:p>
        </w:tc>
        <w:tc>
          <w:tcPr>
            <w:tcW w:w="860" w:type="dxa"/>
            <w:vAlign w:val="bottom"/>
            <w:tcBorders>
              <w:bottom w:val="single" w:sz="8" w:color="2360A6"/>
            </w:tcBorders>
          </w:tcPr>
          <w:p>
            <w:pPr>
              <w:spacing w:after="0"/>
              <w:rPr>
                <w:sz w:val="15"/>
                <w:szCs w:val="15"/>
                <w:color w:val="auto"/>
              </w:rPr>
            </w:pPr>
          </w:p>
        </w:tc>
        <w:tc>
          <w:tcPr>
            <w:tcW w:w="860" w:type="dxa"/>
            <w:vAlign w:val="bottom"/>
            <w:tcBorders>
              <w:bottom w:val="single" w:sz="8" w:color="2360A6"/>
            </w:tcBorders>
          </w:tcPr>
          <w:p>
            <w:pPr>
              <w:spacing w:after="0"/>
              <w:rPr>
                <w:sz w:val="15"/>
                <w:szCs w:val="15"/>
                <w:color w:val="auto"/>
              </w:rPr>
            </w:pPr>
          </w:p>
        </w:tc>
        <w:tc>
          <w:tcPr>
            <w:tcW w:w="1140" w:type="dxa"/>
            <w:vAlign w:val="bottom"/>
            <w:tcBorders>
              <w:bottom w:val="single" w:sz="8" w:color="2360A6"/>
            </w:tcBorders>
          </w:tcPr>
          <w:p>
            <w:pPr>
              <w:spacing w:after="0"/>
              <w:rPr>
                <w:sz w:val="15"/>
                <w:szCs w:val="15"/>
                <w:color w:val="auto"/>
              </w:rPr>
            </w:pPr>
          </w:p>
        </w:tc>
        <w:tc>
          <w:tcPr>
            <w:tcW w:w="20" w:type="dxa"/>
            <w:vAlign w:val="bottom"/>
            <w:tcBorders>
              <w:bottom w:val="single" w:sz="8" w:color="231F20"/>
            </w:tcBorders>
            <w:shd w:val="clear" w:color="auto" w:fill="231F20"/>
          </w:tcPr>
          <w:p>
            <w:pPr>
              <w:spacing w:after="0"/>
              <w:rPr>
                <w:sz w:val="15"/>
                <w:szCs w:val="15"/>
                <w:color w:val="auto"/>
              </w:rPr>
            </w:pPr>
          </w:p>
        </w:tc>
        <w:tc>
          <w:tcPr>
            <w:tcW w:w="0" w:type="dxa"/>
            <w:vAlign w:val="bottom"/>
          </w:tcPr>
          <w:p>
            <w:pPr>
              <w:spacing w:after="0"/>
              <w:rPr>
                <w:sz w:val="1"/>
                <w:szCs w:val="1"/>
                <w:color w:val="auto"/>
              </w:rPr>
            </w:pPr>
          </w:p>
        </w:tc>
      </w:tr>
      <w:tr>
        <w:trPr>
          <w:trHeight w:val="343"/>
        </w:trPr>
        <w:tc>
          <w:tcPr>
            <w:tcW w:w="160" w:type="dxa"/>
            <w:vAlign w:val="bottom"/>
            <w:tcBorders>
              <w:left w:val="single" w:sz="8" w:color="231F20"/>
            </w:tcBorders>
          </w:tcPr>
          <w:p>
            <w:pPr>
              <w:spacing w:after="0"/>
              <w:rPr>
                <w:sz w:val="24"/>
                <w:szCs w:val="24"/>
                <w:color w:val="auto"/>
              </w:rPr>
            </w:pPr>
          </w:p>
        </w:tc>
        <w:tc>
          <w:tcPr>
            <w:tcW w:w="3420" w:type="dxa"/>
            <w:vAlign w:val="bottom"/>
            <w:tcBorders>
              <w:right w:val="single" w:sz="8" w:color="231F20"/>
            </w:tcBorders>
          </w:tcPr>
          <w:p>
            <w:pPr>
              <w:spacing w:after="0"/>
              <w:rPr>
                <w:sz w:val="24"/>
                <w:szCs w:val="24"/>
                <w:color w:val="auto"/>
              </w:rPr>
            </w:pPr>
          </w:p>
        </w:tc>
        <w:tc>
          <w:tcPr>
            <w:tcW w:w="1840" w:type="dxa"/>
            <w:vAlign w:val="bottom"/>
            <w:tcBorders>
              <w:right w:val="single" w:sz="8" w:color="231F20"/>
            </w:tcBorders>
            <w:gridSpan w:val="2"/>
          </w:tcPr>
          <w:p>
            <w:pPr>
              <w:jc w:val="right"/>
              <w:ind w:right="77"/>
              <w:spacing w:after="0"/>
              <w:rPr>
                <w:sz w:val="20"/>
                <w:szCs w:val="20"/>
                <w:color w:val="auto"/>
              </w:rPr>
            </w:pPr>
            <w:r>
              <w:rPr>
                <w:rFonts w:ascii="Arial" w:cs="Arial" w:eastAsia="Arial" w:hAnsi="Arial"/>
                <w:sz w:val="13"/>
                <w:szCs w:val="13"/>
                <w:b w:val="1"/>
                <w:bCs w:val="1"/>
                <w:color w:val="2360A6"/>
              </w:rPr>
              <w:t>Europe, Russia, Central</w:t>
            </w:r>
          </w:p>
        </w:tc>
        <w:tc>
          <w:tcPr>
            <w:tcW w:w="180" w:type="dxa"/>
            <w:vAlign w:val="bottom"/>
          </w:tcPr>
          <w:p>
            <w:pPr>
              <w:spacing w:after="0"/>
              <w:rPr>
                <w:sz w:val="24"/>
                <w:szCs w:val="24"/>
                <w:color w:val="auto"/>
              </w:rPr>
            </w:pPr>
          </w:p>
        </w:tc>
        <w:tc>
          <w:tcPr>
            <w:tcW w:w="580" w:type="dxa"/>
            <w:vAlign w:val="bottom"/>
            <w:tcBorders>
              <w:right w:val="single" w:sz="8" w:color="231F20"/>
            </w:tcBorders>
          </w:tcPr>
          <w:p>
            <w:pPr>
              <w:spacing w:after="0"/>
              <w:rPr>
                <w:sz w:val="24"/>
                <w:szCs w:val="24"/>
                <w:color w:val="auto"/>
              </w:rPr>
            </w:pPr>
          </w:p>
        </w:tc>
        <w:tc>
          <w:tcPr>
            <w:tcW w:w="860" w:type="dxa"/>
            <w:vAlign w:val="bottom"/>
            <w:tcBorders>
              <w:right w:val="single" w:sz="8" w:color="231F20"/>
            </w:tcBorders>
          </w:tcPr>
          <w:p>
            <w:pPr>
              <w:spacing w:after="0"/>
              <w:rPr>
                <w:sz w:val="24"/>
                <w:szCs w:val="24"/>
                <w:color w:val="auto"/>
              </w:rPr>
            </w:pPr>
          </w:p>
        </w:tc>
        <w:tc>
          <w:tcPr>
            <w:tcW w:w="860" w:type="dxa"/>
            <w:vAlign w:val="bottom"/>
            <w:tcBorders>
              <w:right w:val="single" w:sz="8" w:color="231F20"/>
            </w:tcBorders>
          </w:tcPr>
          <w:p>
            <w:pPr>
              <w:spacing w:after="0"/>
              <w:rPr>
                <w:sz w:val="24"/>
                <w:szCs w:val="24"/>
                <w:color w:val="auto"/>
              </w:rPr>
            </w:pPr>
          </w:p>
        </w:tc>
        <w:tc>
          <w:tcPr>
            <w:tcW w:w="860" w:type="dxa"/>
            <w:vAlign w:val="bottom"/>
            <w:tcBorders>
              <w:right w:val="single" w:sz="8" w:color="231F20"/>
            </w:tcBorders>
          </w:tcPr>
          <w:p>
            <w:pPr>
              <w:spacing w:after="0"/>
              <w:rPr>
                <w:sz w:val="24"/>
                <w:szCs w:val="24"/>
                <w:color w:val="auto"/>
              </w:rPr>
            </w:pPr>
          </w:p>
        </w:tc>
        <w:tc>
          <w:tcPr>
            <w:tcW w:w="860" w:type="dxa"/>
            <w:vAlign w:val="bottom"/>
            <w:tcBorders>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Non</w:t>
            </w: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2360A6"/>
              </w:rPr>
              <w:t>Total</w:t>
            </w:r>
          </w:p>
        </w:tc>
        <w:tc>
          <w:tcPr>
            <w:tcW w:w="20" w:type="dxa"/>
            <w:vAlign w:val="bottom"/>
            <w:shd w:val="clear" w:color="auto" w:fill="231F20"/>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580" w:type="dxa"/>
            <w:vAlign w:val="bottom"/>
            <w:tcBorders>
              <w:left w:val="single" w:sz="8" w:color="231F20"/>
              <w:bottom w:val="single" w:sz="8" w:color="2360A6"/>
              <w:right w:val="single" w:sz="8" w:color="231F20"/>
            </w:tcBorders>
            <w:gridSpan w:val="2"/>
          </w:tcPr>
          <w:p>
            <w:pPr>
              <w:ind w:left="20"/>
              <w:spacing w:after="0"/>
              <w:rPr>
                <w:sz w:val="20"/>
                <w:szCs w:val="20"/>
                <w:color w:val="auto"/>
              </w:rPr>
            </w:pPr>
            <w:r>
              <w:rPr>
                <w:rFonts w:ascii="Arial" w:cs="Arial" w:eastAsia="Arial" w:hAnsi="Arial"/>
                <w:sz w:val="13"/>
                <w:szCs w:val="13"/>
                <w:i w:val="1"/>
                <w:iCs w:val="1"/>
                <w:color w:val="auto"/>
              </w:rPr>
              <w:t>In millions of Euro</w:t>
            </w:r>
          </w:p>
        </w:tc>
        <w:tc>
          <w:tcPr>
            <w:tcW w:w="1100" w:type="dxa"/>
            <w:vAlign w:val="bottom"/>
            <w:tcBorders>
              <w:bottom w:val="single" w:sz="8" w:color="2360A6"/>
            </w:tcBorders>
          </w:tcPr>
          <w:p>
            <w:pPr>
              <w:spacing w:after="0"/>
              <w:rPr>
                <w:sz w:val="15"/>
                <w:szCs w:val="15"/>
                <w:color w:val="auto"/>
              </w:rPr>
            </w:pPr>
          </w:p>
        </w:tc>
        <w:tc>
          <w:tcPr>
            <w:tcW w:w="74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Asia</w:t>
            </w:r>
          </w:p>
        </w:tc>
        <w:tc>
          <w:tcPr>
            <w:tcW w:w="180" w:type="dxa"/>
            <w:vAlign w:val="bottom"/>
            <w:tcBorders>
              <w:bottom w:val="single" w:sz="8" w:color="2360A6"/>
            </w:tcBorders>
          </w:tcPr>
          <w:p>
            <w:pPr>
              <w:spacing w:after="0"/>
              <w:rPr>
                <w:sz w:val="15"/>
                <w:szCs w:val="15"/>
                <w:color w:val="auto"/>
              </w:rPr>
            </w:pPr>
          </w:p>
        </w:tc>
        <w:tc>
          <w:tcPr>
            <w:tcW w:w="5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Africa</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w w:val="96"/>
              </w:rPr>
              <w:t>Middle East</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w w:val="95"/>
              </w:rPr>
              <w:t>Asia Pacific</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Americas</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Allocable</w:t>
            </w:r>
          </w:p>
        </w:tc>
        <w:tc>
          <w:tcPr>
            <w:tcW w:w="11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Consolidated</w:t>
            </w:r>
          </w:p>
        </w:tc>
        <w:tc>
          <w:tcPr>
            <w:tcW w:w="20" w:type="dxa"/>
            <w:vAlign w:val="bottom"/>
            <w:tcBorders>
              <w:bottom w:val="single" w:sz="8" w:color="2360A6"/>
            </w:tcBorders>
            <w:shd w:val="clear" w:color="auto" w:fill="231F20"/>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231F20"/>
              <w:bottom w:val="single" w:sz="8" w:color="2360A6"/>
              <w:right w:val="single" w:sz="8" w:color="231F20"/>
            </w:tcBorders>
            <w:gridSpan w:val="2"/>
          </w:tcPr>
          <w:p>
            <w:pPr>
              <w:ind w:left="20"/>
              <w:spacing w:after="0"/>
              <w:rPr>
                <w:sz w:val="20"/>
                <w:szCs w:val="20"/>
                <w:color w:val="auto"/>
              </w:rPr>
            </w:pPr>
            <w:r>
              <w:rPr>
                <w:rFonts w:ascii="Arial" w:cs="Arial" w:eastAsia="Arial" w:hAnsi="Arial"/>
                <w:sz w:val="13"/>
                <w:szCs w:val="13"/>
                <w:color w:val="231F20"/>
              </w:rPr>
              <w:t xml:space="preserve">Revenues </w:t>
            </w:r>
            <w:r>
              <w:rPr>
                <w:rFonts w:ascii="Arial" w:cs="Arial" w:eastAsia="Arial" w:hAnsi="Arial"/>
                <w:sz w:val="8"/>
                <w:szCs w:val="8"/>
                <w:color w:val="231F20"/>
              </w:rPr>
              <w:t>(1)</w:t>
            </w:r>
          </w:p>
        </w:tc>
        <w:tc>
          <w:tcPr>
            <w:tcW w:w="1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2,898.5</w:t>
            </w:r>
          </w:p>
        </w:tc>
        <w:tc>
          <w:tcPr>
            <w:tcW w:w="180" w:type="dxa"/>
            <w:vAlign w:val="bottom"/>
            <w:tcBorders>
              <w:bottom w:val="single" w:sz="8" w:color="2360A6"/>
            </w:tcBorders>
          </w:tcPr>
          <w:p>
            <w:pPr>
              <w:spacing w:after="0"/>
              <w:rPr>
                <w:sz w:val="18"/>
                <w:szCs w:val="18"/>
                <w:color w:val="auto"/>
              </w:rPr>
            </w:pPr>
          </w:p>
        </w:tc>
        <w:tc>
          <w:tcPr>
            <w:tcW w:w="5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w w:val="96"/>
              </w:rPr>
              <w:t>1,852.4</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958.0</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2,036.9</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2,592.1</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10,337.9</w:t>
            </w:r>
          </w:p>
        </w:tc>
        <w:tc>
          <w:tcPr>
            <w:tcW w:w="20" w:type="dxa"/>
            <w:vAlign w:val="bottom"/>
            <w:tcBorders>
              <w:bottom w:val="single" w:sz="8" w:color="231F20"/>
            </w:tcBorders>
            <w:shd w:val="clear" w:color="auto" w:fill="231F20"/>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80" w:type="dxa"/>
            <w:vAlign w:val="bottom"/>
            <w:tcBorders>
              <w:left w:val="single" w:sz="8" w:color="231F20"/>
              <w:right w:val="single" w:sz="8" w:color="231F20"/>
            </w:tcBorders>
            <w:gridSpan w:val="2"/>
          </w:tcPr>
          <w:p>
            <w:pPr>
              <w:ind w:left="20"/>
              <w:spacing w:after="0"/>
              <w:rPr>
                <w:sz w:val="20"/>
                <w:szCs w:val="20"/>
                <w:color w:val="auto"/>
              </w:rPr>
            </w:pPr>
            <w:r>
              <w:rPr>
                <w:rFonts w:ascii="Arial" w:cs="Arial" w:eastAsia="Arial" w:hAnsi="Arial"/>
                <w:sz w:val="13"/>
                <w:szCs w:val="13"/>
                <w:color w:val="231F20"/>
              </w:rPr>
              <w:t>Operating Income/(Loss) from Recurring Activities after</w:t>
            </w:r>
          </w:p>
        </w:tc>
        <w:tc>
          <w:tcPr>
            <w:tcW w:w="1100" w:type="dxa"/>
            <w:vAlign w:val="bottom"/>
          </w:tcPr>
          <w:p>
            <w:pPr>
              <w:spacing w:after="0"/>
              <w:rPr>
                <w:sz w:val="13"/>
                <w:szCs w:val="13"/>
                <w:color w:val="auto"/>
              </w:rPr>
            </w:pPr>
          </w:p>
        </w:tc>
        <w:tc>
          <w:tcPr>
            <w:tcW w:w="740" w:type="dxa"/>
            <w:vAlign w:val="bottom"/>
            <w:tcBorders>
              <w:right w:val="single" w:sz="8" w:color="231F20"/>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shd w:val="clear" w:color="auto" w:fill="231F20"/>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Borders>
              <w:left w:val="single" w:sz="8" w:color="231F20"/>
              <w:bottom w:val="single" w:sz="8" w:color="2360A6"/>
              <w:right w:val="single" w:sz="8" w:color="231F20"/>
            </w:tcBorders>
            <w:gridSpan w:val="2"/>
          </w:tcPr>
          <w:p>
            <w:pPr>
              <w:ind w:left="20"/>
              <w:spacing w:after="0"/>
              <w:rPr>
                <w:sz w:val="20"/>
                <w:szCs w:val="20"/>
                <w:color w:val="auto"/>
              </w:rPr>
            </w:pPr>
            <w:r>
              <w:rPr>
                <w:rFonts w:ascii="Arial" w:cs="Arial" w:eastAsia="Arial" w:hAnsi="Arial"/>
                <w:sz w:val="13"/>
                <w:szCs w:val="13"/>
                <w:color w:val="231F20"/>
              </w:rPr>
              <w:t>Income/ (Loss) of Equity Affiliates</w:t>
            </w:r>
          </w:p>
        </w:tc>
        <w:tc>
          <w:tcPr>
            <w:tcW w:w="1100" w:type="dxa"/>
            <w:vAlign w:val="bottom"/>
            <w:tcBorders>
              <w:bottom w:val="single" w:sz="8" w:color="2360A6"/>
            </w:tcBorders>
          </w:tcPr>
          <w:p>
            <w:pPr>
              <w:spacing w:after="0"/>
              <w:rPr>
                <w:sz w:val="14"/>
                <w:szCs w:val="14"/>
                <w:color w:val="auto"/>
              </w:rPr>
            </w:pPr>
          </w:p>
        </w:tc>
        <w:tc>
          <w:tcPr>
            <w:tcW w:w="74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253.9</w:t>
            </w:r>
          </w:p>
        </w:tc>
        <w:tc>
          <w:tcPr>
            <w:tcW w:w="180" w:type="dxa"/>
            <w:vAlign w:val="bottom"/>
            <w:tcBorders>
              <w:bottom w:val="single" w:sz="8" w:color="2360A6"/>
            </w:tcBorders>
          </w:tcPr>
          <w:p>
            <w:pPr>
              <w:spacing w:after="0"/>
              <w:rPr>
                <w:sz w:val="14"/>
                <w:szCs w:val="14"/>
                <w:color w:val="auto"/>
              </w:rPr>
            </w:pPr>
          </w:p>
        </w:tc>
        <w:tc>
          <w:tcPr>
            <w:tcW w:w="5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149.4</w:t>
            </w:r>
          </w:p>
        </w:tc>
        <w:tc>
          <w:tcPr>
            <w:tcW w:w="86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color w:val="231F20"/>
              </w:rPr>
              <w:t>(89.6)</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225.0</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344.5</w:t>
            </w:r>
          </w:p>
        </w:tc>
        <w:tc>
          <w:tcPr>
            <w:tcW w:w="86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(82.6)</w:t>
            </w:r>
          </w:p>
        </w:tc>
        <w:tc>
          <w:tcPr>
            <w:tcW w:w="11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800.6</w:t>
            </w:r>
          </w:p>
        </w:tc>
        <w:tc>
          <w:tcPr>
            <w:tcW w:w="20" w:type="dxa"/>
            <w:vAlign w:val="bottom"/>
            <w:tcBorders>
              <w:bottom w:val="single" w:sz="8" w:color="231F20"/>
            </w:tcBorders>
            <w:shd w:val="clear" w:color="auto" w:fill="231F20"/>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231F20"/>
              <w:bottom w:val="single" w:sz="8" w:color="2360A6"/>
              <w:right w:val="single" w:sz="8" w:color="231F20"/>
            </w:tcBorders>
            <w:gridSpan w:val="2"/>
            <w:shd w:val="clear" w:color="auto" w:fill="D2DEEC"/>
          </w:tcPr>
          <w:p>
            <w:pPr>
              <w:ind w:left="20"/>
              <w:spacing w:after="0"/>
              <w:rPr>
                <w:sz w:val="20"/>
                <w:szCs w:val="20"/>
                <w:color w:val="auto"/>
              </w:rPr>
            </w:pPr>
            <w:r>
              <w:rPr>
                <w:rFonts w:ascii="Arial" w:cs="Arial" w:eastAsia="Arial" w:hAnsi="Arial"/>
                <w:sz w:val="13"/>
                <w:szCs w:val="13"/>
                <w:b w:val="1"/>
                <w:bCs w:val="1"/>
                <w:color w:val="2360A6"/>
              </w:rPr>
              <w:t>OPERATING INCOME/(LOSS)</w:t>
            </w:r>
          </w:p>
        </w:tc>
        <w:tc>
          <w:tcPr>
            <w:tcW w:w="1100" w:type="dxa"/>
            <w:vAlign w:val="bottom"/>
            <w:tcBorders>
              <w:bottom w:val="single" w:sz="8" w:color="2360A6"/>
            </w:tcBorders>
            <w:shd w:val="clear" w:color="auto" w:fill="D2DEEC"/>
          </w:tcPr>
          <w:p>
            <w:pPr>
              <w:spacing w:after="0"/>
              <w:rPr>
                <w:sz w:val="18"/>
                <w:szCs w:val="18"/>
                <w:color w:val="auto"/>
              </w:rPr>
            </w:pPr>
          </w:p>
        </w:tc>
        <w:tc>
          <w:tcPr>
            <w:tcW w:w="74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253.9</w:t>
            </w:r>
          </w:p>
        </w:tc>
        <w:tc>
          <w:tcPr>
            <w:tcW w:w="180" w:type="dxa"/>
            <w:vAlign w:val="bottom"/>
            <w:tcBorders>
              <w:bottom w:val="single" w:sz="8" w:color="2360A6"/>
            </w:tcBorders>
            <w:shd w:val="clear" w:color="auto" w:fill="D2DEEC"/>
          </w:tcPr>
          <w:p>
            <w:pPr>
              <w:spacing w:after="0"/>
              <w:rPr>
                <w:sz w:val="18"/>
                <w:szCs w:val="18"/>
                <w:color w:val="auto"/>
              </w:rPr>
            </w:pPr>
          </w:p>
        </w:tc>
        <w:tc>
          <w:tcPr>
            <w:tcW w:w="58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149.4</w:t>
            </w:r>
          </w:p>
        </w:tc>
        <w:tc>
          <w:tcPr>
            <w:tcW w:w="860" w:type="dxa"/>
            <w:vAlign w:val="bottom"/>
            <w:tcBorders>
              <w:bottom w:val="single" w:sz="8" w:color="2360A6"/>
              <w:right w:val="single" w:sz="8" w:color="231F20"/>
            </w:tcBorders>
            <w:shd w:val="clear" w:color="auto" w:fill="D2DEEC"/>
          </w:tcPr>
          <w:p>
            <w:pPr>
              <w:jc w:val="right"/>
              <w:ind w:right="37"/>
              <w:spacing w:after="0"/>
              <w:rPr>
                <w:sz w:val="20"/>
                <w:szCs w:val="20"/>
                <w:color w:val="auto"/>
              </w:rPr>
            </w:pPr>
            <w:r>
              <w:rPr>
                <w:rFonts w:ascii="Arial" w:cs="Arial" w:eastAsia="Arial" w:hAnsi="Arial"/>
                <w:sz w:val="13"/>
                <w:szCs w:val="13"/>
                <w:b w:val="1"/>
                <w:bCs w:val="1"/>
                <w:color w:val="2360A6"/>
              </w:rPr>
              <w:t>(89.6)</w:t>
            </w:r>
          </w:p>
        </w:tc>
        <w:tc>
          <w:tcPr>
            <w:tcW w:w="86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225.0</w:t>
            </w:r>
          </w:p>
        </w:tc>
        <w:tc>
          <w:tcPr>
            <w:tcW w:w="86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344.5</w:t>
            </w:r>
          </w:p>
        </w:tc>
        <w:tc>
          <w:tcPr>
            <w:tcW w:w="860" w:type="dxa"/>
            <w:vAlign w:val="bottom"/>
            <w:tcBorders>
              <w:bottom w:val="single" w:sz="8" w:color="2360A6"/>
              <w:right w:val="single" w:sz="8" w:color="231F20"/>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(552.4)</w:t>
            </w:r>
          </w:p>
        </w:tc>
        <w:tc>
          <w:tcPr>
            <w:tcW w:w="1140" w:type="dxa"/>
            <w:vAlign w:val="bottom"/>
            <w:tcBorders>
              <w:bottom w:val="single" w:sz="8" w:color="2360A6"/>
            </w:tcBorders>
            <w:shd w:val="clear" w:color="auto" w:fill="D2DEEC"/>
          </w:tcPr>
          <w:p>
            <w:pPr>
              <w:jc w:val="right"/>
              <w:ind w:right="37"/>
              <w:spacing w:after="0"/>
              <w:rPr>
                <w:sz w:val="20"/>
                <w:szCs w:val="20"/>
                <w:color w:val="auto"/>
              </w:rPr>
            </w:pPr>
            <w:r>
              <w:rPr>
                <w:rFonts w:ascii="Arial" w:cs="Arial" w:eastAsia="Arial" w:hAnsi="Arial"/>
                <w:sz w:val="13"/>
                <w:szCs w:val="13"/>
                <w:b w:val="1"/>
                <w:bCs w:val="1"/>
                <w:color w:val="2360A6"/>
              </w:rPr>
              <w:t>330.8</w:t>
            </w:r>
          </w:p>
        </w:tc>
        <w:tc>
          <w:tcPr>
            <w:tcW w:w="20" w:type="dxa"/>
            <w:vAlign w:val="bottom"/>
            <w:tcBorders>
              <w:bottom w:val="single" w:sz="8" w:color="231F20"/>
            </w:tcBorders>
            <w:shd w:val="clear" w:color="auto" w:fill="231F2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231F20"/>
              <w:bottom w:val="single" w:sz="8" w:color="2360A6"/>
              <w:right w:val="single" w:sz="8" w:color="231F20"/>
            </w:tcBorders>
            <w:gridSpan w:val="2"/>
          </w:tcPr>
          <w:p>
            <w:pPr>
              <w:ind w:left="20"/>
              <w:spacing w:after="0"/>
              <w:rPr>
                <w:sz w:val="20"/>
                <w:szCs w:val="20"/>
                <w:color w:val="auto"/>
              </w:rPr>
            </w:pPr>
            <w:r>
              <w:rPr>
                <w:rFonts w:ascii="Arial" w:cs="Arial" w:eastAsia="Arial" w:hAnsi="Arial"/>
                <w:sz w:val="13"/>
                <w:szCs w:val="13"/>
                <w:color w:val="231F20"/>
              </w:rPr>
              <w:t xml:space="preserve">Intangible Assets (excluding Goodwill) </w:t>
            </w:r>
            <w:r>
              <w:rPr>
                <w:rFonts w:ascii="Arial" w:cs="Arial" w:eastAsia="Arial" w:hAnsi="Arial"/>
                <w:sz w:val="8"/>
                <w:szCs w:val="8"/>
                <w:color w:val="231F20"/>
              </w:rPr>
              <w:t>(2)</w:t>
            </w:r>
          </w:p>
        </w:tc>
        <w:tc>
          <w:tcPr>
            <w:tcW w:w="1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55.9</w:t>
            </w:r>
          </w:p>
        </w:tc>
        <w:tc>
          <w:tcPr>
            <w:tcW w:w="180" w:type="dxa"/>
            <w:vAlign w:val="bottom"/>
            <w:tcBorders>
              <w:bottom w:val="single" w:sz="8" w:color="2360A6"/>
            </w:tcBorders>
          </w:tcPr>
          <w:p>
            <w:pPr>
              <w:spacing w:after="0"/>
              <w:rPr>
                <w:sz w:val="18"/>
                <w:szCs w:val="18"/>
                <w:color w:val="auto"/>
              </w:rPr>
            </w:pPr>
          </w:p>
        </w:tc>
        <w:tc>
          <w:tcPr>
            <w:tcW w:w="5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0.5</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0.4</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47.7</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104.5</w:t>
            </w:r>
          </w:p>
        </w:tc>
        <w:tc>
          <w:tcPr>
            <w:tcW w:w="20" w:type="dxa"/>
            <w:vAlign w:val="bottom"/>
            <w:tcBorders>
              <w:bottom w:val="single" w:sz="8" w:color="231F20"/>
            </w:tcBorders>
            <w:shd w:val="clear" w:color="auto" w:fill="231F2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231F20"/>
              <w:bottom w:val="single" w:sz="8" w:color="2360A6"/>
              <w:right w:val="single" w:sz="8" w:color="231F20"/>
            </w:tcBorders>
            <w:gridSpan w:val="2"/>
          </w:tcPr>
          <w:p>
            <w:pPr>
              <w:ind w:left="20"/>
              <w:spacing w:after="0"/>
              <w:rPr>
                <w:sz w:val="20"/>
                <w:szCs w:val="20"/>
                <w:color w:val="auto"/>
              </w:rPr>
            </w:pPr>
            <w:r>
              <w:rPr>
                <w:rFonts w:ascii="Arial" w:cs="Arial" w:eastAsia="Arial" w:hAnsi="Arial"/>
                <w:sz w:val="13"/>
                <w:szCs w:val="13"/>
                <w:color w:val="231F20"/>
              </w:rPr>
              <w:t xml:space="preserve">Property, Plant and Equipment </w:t>
            </w:r>
            <w:r>
              <w:rPr>
                <w:rFonts w:ascii="Arial" w:cs="Arial" w:eastAsia="Arial" w:hAnsi="Arial"/>
                <w:sz w:val="8"/>
                <w:szCs w:val="8"/>
                <w:color w:val="231F20"/>
              </w:rPr>
              <w:t>(3)</w:t>
            </w:r>
          </w:p>
        </w:tc>
        <w:tc>
          <w:tcPr>
            <w:tcW w:w="1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526.4</w:t>
            </w:r>
          </w:p>
        </w:tc>
        <w:tc>
          <w:tcPr>
            <w:tcW w:w="180" w:type="dxa"/>
            <w:vAlign w:val="bottom"/>
            <w:tcBorders>
              <w:bottom w:val="single" w:sz="8" w:color="2360A6"/>
            </w:tcBorders>
          </w:tcPr>
          <w:p>
            <w:pPr>
              <w:spacing w:after="0"/>
              <w:rPr>
                <w:sz w:val="18"/>
                <w:szCs w:val="18"/>
                <w:color w:val="auto"/>
              </w:rPr>
            </w:pPr>
          </w:p>
        </w:tc>
        <w:tc>
          <w:tcPr>
            <w:tcW w:w="5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54.2</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0.7</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204.7</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217.1</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1,571.8</w:t>
            </w:r>
          </w:p>
        </w:tc>
        <w:tc>
          <w:tcPr>
            <w:tcW w:w="11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2,574.9</w:t>
            </w:r>
          </w:p>
        </w:tc>
        <w:tc>
          <w:tcPr>
            <w:tcW w:w="20" w:type="dxa"/>
            <w:vAlign w:val="bottom"/>
            <w:tcBorders>
              <w:bottom w:val="single" w:sz="8" w:color="231F20"/>
            </w:tcBorders>
            <w:shd w:val="clear" w:color="auto" w:fill="231F2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231F20"/>
              <w:bottom w:val="single" w:sz="8" w:color="2360A6"/>
              <w:right w:val="single" w:sz="8" w:color="231F20"/>
            </w:tcBorders>
            <w:gridSpan w:val="2"/>
          </w:tcPr>
          <w:p>
            <w:pPr>
              <w:ind w:left="20"/>
              <w:spacing w:after="0"/>
              <w:rPr>
                <w:sz w:val="20"/>
                <w:szCs w:val="20"/>
                <w:color w:val="auto"/>
              </w:rPr>
            </w:pPr>
            <w:r>
              <w:rPr>
                <w:rFonts w:ascii="Arial" w:cs="Arial" w:eastAsia="Arial" w:hAnsi="Arial"/>
                <w:sz w:val="13"/>
                <w:szCs w:val="13"/>
                <w:color w:val="231F20"/>
              </w:rPr>
              <w:t xml:space="preserve">Financial Assets </w:t>
            </w:r>
            <w:r>
              <w:rPr>
                <w:rFonts w:ascii="Arial" w:cs="Arial" w:eastAsia="Arial" w:hAnsi="Arial"/>
                <w:sz w:val="8"/>
                <w:szCs w:val="8"/>
                <w:color w:val="231F20"/>
              </w:rPr>
              <w:t>(4)</w:t>
            </w:r>
          </w:p>
        </w:tc>
        <w:tc>
          <w:tcPr>
            <w:tcW w:w="1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339.1</w:t>
            </w:r>
          </w:p>
        </w:tc>
        <w:tc>
          <w:tcPr>
            <w:tcW w:w="180" w:type="dxa"/>
            <w:vAlign w:val="bottom"/>
            <w:tcBorders>
              <w:bottom w:val="single" w:sz="8" w:color="2360A6"/>
            </w:tcBorders>
          </w:tcPr>
          <w:p>
            <w:pPr>
              <w:spacing w:after="0"/>
              <w:rPr>
                <w:sz w:val="18"/>
                <w:szCs w:val="18"/>
                <w:color w:val="auto"/>
              </w:rPr>
            </w:pPr>
          </w:p>
        </w:tc>
        <w:tc>
          <w:tcPr>
            <w:tcW w:w="5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6.4</w:t>
            </w:r>
          </w:p>
        </w:tc>
        <w:tc>
          <w:tcPr>
            <w:tcW w:w="86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color w:val="231F20"/>
              </w:rPr>
              <w:t>(17.7)</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25.6</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28.2</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381.6</w:t>
            </w:r>
          </w:p>
        </w:tc>
        <w:tc>
          <w:tcPr>
            <w:tcW w:w="20" w:type="dxa"/>
            <w:vAlign w:val="bottom"/>
            <w:tcBorders>
              <w:bottom w:val="single" w:sz="8" w:color="231F20"/>
            </w:tcBorders>
            <w:shd w:val="clear" w:color="auto" w:fill="231F20"/>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680" w:type="dxa"/>
            <w:vAlign w:val="bottom"/>
            <w:tcBorders>
              <w:left w:val="single" w:sz="8" w:color="231F20"/>
            </w:tcBorders>
            <w:gridSpan w:val="3"/>
          </w:tcPr>
          <w:p>
            <w:pPr>
              <w:ind w:left="20"/>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2"/>
                <w:szCs w:val="12"/>
                <w:color w:val="231F20"/>
              </w:rPr>
              <w:t>Includes revenues earned in France: €87.7 million.</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shd w:val="clear" w:color="auto" w:fill="231F20"/>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Borders>
              <w:left w:val="single" w:sz="8" w:color="231F20"/>
            </w:tcBorders>
          </w:tcPr>
          <w:p>
            <w:pPr>
              <w:ind w:left="40"/>
              <w:spacing w:after="0"/>
              <w:rPr>
                <w:sz w:val="20"/>
                <w:szCs w:val="20"/>
                <w:color w:val="auto"/>
              </w:rPr>
            </w:pPr>
            <w:r>
              <w:rPr>
                <w:rFonts w:ascii="Arial" w:cs="Arial" w:eastAsia="Arial" w:hAnsi="Arial"/>
                <w:sz w:val="9"/>
                <w:szCs w:val="9"/>
                <w:color w:val="231F20"/>
                <w:w w:val="90"/>
              </w:rPr>
              <w:t>(2)</w:t>
            </w:r>
          </w:p>
        </w:tc>
        <w:tc>
          <w:tcPr>
            <w:tcW w:w="4520" w:type="dxa"/>
            <w:vAlign w:val="bottom"/>
            <w:gridSpan w:val="2"/>
          </w:tcPr>
          <w:p>
            <w:pPr>
              <w:ind w:left="20"/>
              <w:spacing w:after="0"/>
              <w:rPr>
                <w:sz w:val="20"/>
                <w:szCs w:val="20"/>
                <w:color w:val="auto"/>
              </w:rPr>
            </w:pPr>
            <w:r>
              <w:rPr>
                <w:rFonts w:ascii="Arial" w:cs="Arial" w:eastAsia="Arial" w:hAnsi="Arial"/>
                <w:sz w:val="13"/>
                <w:szCs w:val="13"/>
                <w:color w:val="231F20"/>
              </w:rPr>
              <w:t>Includes intangible assets in France: €52.7 million and in Brazil: €5.1 million.</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shd w:val="clear" w:color="auto" w:fill="231F20"/>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60" w:type="dxa"/>
            <w:vAlign w:val="bottom"/>
            <w:tcBorders>
              <w:left w:val="single" w:sz="8" w:color="231F20"/>
            </w:tcBorders>
          </w:tcPr>
          <w:p>
            <w:pPr>
              <w:ind w:left="40"/>
              <w:spacing w:after="0"/>
              <w:rPr>
                <w:sz w:val="20"/>
                <w:szCs w:val="20"/>
                <w:color w:val="auto"/>
              </w:rPr>
            </w:pPr>
            <w:r>
              <w:rPr>
                <w:rFonts w:ascii="Arial" w:cs="Arial" w:eastAsia="Arial" w:hAnsi="Arial"/>
                <w:sz w:val="9"/>
                <w:szCs w:val="9"/>
                <w:color w:val="231F20"/>
                <w:w w:val="90"/>
              </w:rPr>
              <w:t>(3)</w:t>
            </w:r>
          </w:p>
        </w:tc>
        <w:tc>
          <w:tcPr>
            <w:tcW w:w="10600" w:type="dxa"/>
            <w:vAlign w:val="bottom"/>
            <w:gridSpan w:val="10"/>
          </w:tcPr>
          <w:p>
            <w:pPr>
              <w:ind w:left="20"/>
              <w:spacing w:after="0"/>
              <w:rPr>
                <w:sz w:val="20"/>
                <w:szCs w:val="20"/>
                <w:color w:val="auto"/>
              </w:rPr>
            </w:pPr>
            <w:r>
              <w:rPr>
                <w:rFonts w:ascii="Arial" w:cs="Arial" w:eastAsia="Arial" w:hAnsi="Arial"/>
                <w:sz w:val="13"/>
                <w:szCs w:val="13"/>
                <w:color w:val="231F20"/>
                <w:w w:val="97"/>
              </w:rPr>
              <w:t>Includes tangible assets in France: €164.2 million. The fleet of vessels (including vessels under construction) that operate in different geographical areas and therefore cannot be allocated to</w:t>
            </w:r>
          </w:p>
        </w:tc>
        <w:tc>
          <w:tcPr>
            <w:tcW w:w="20" w:type="dxa"/>
            <w:vAlign w:val="bottom"/>
            <w:shd w:val="clear" w:color="auto" w:fill="231F20"/>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680" w:type="dxa"/>
            <w:vAlign w:val="bottom"/>
            <w:tcBorders>
              <w:left w:val="single" w:sz="8" w:color="231F20"/>
            </w:tcBorders>
            <w:gridSpan w:val="3"/>
          </w:tcPr>
          <w:p>
            <w:pPr>
              <w:ind w:left="40"/>
              <w:spacing w:after="0"/>
              <w:rPr>
                <w:sz w:val="20"/>
                <w:szCs w:val="20"/>
                <w:color w:val="auto"/>
              </w:rPr>
            </w:pPr>
            <w:r>
              <w:rPr>
                <w:rFonts w:ascii="Arial" w:cs="Arial" w:eastAsia="Arial" w:hAnsi="Arial"/>
                <w:sz w:val="13"/>
                <w:szCs w:val="13"/>
                <w:color w:val="231F20"/>
              </w:rPr>
              <w:t>a specific area is reported under “Non allocable”.</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shd w:val="clear" w:color="auto" w:fill="231F20"/>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60" w:type="dxa"/>
            <w:vAlign w:val="bottom"/>
            <w:tcBorders>
              <w:left w:val="single" w:sz="8" w:color="231F20"/>
              <w:bottom w:val="single" w:sz="8" w:color="2360A6"/>
            </w:tcBorders>
          </w:tcPr>
          <w:p>
            <w:pPr>
              <w:ind w:left="40"/>
              <w:spacing w:after="0"/>
              <w:rPr>
                <w:sz w:val="20"/>
                <w:szCs w:val="20"/>
                <w:color w:val="auto"/>
              </w:rPr>
            </w:pPr>
            <w:r>
              <w:rPr>
                <w:rFonts w:ascii="Arial" w:cs="Arial" w:eastAsia="Arial" w:hAnsi="Arial"/>
                <w:sz w:val="9"/>
                <w:szCs w:val="9"/>
                <w:color w:val="231F20"/>
                <w:w w:val="90"/>
              </w:rPr>
              <w:t>(4)</w:t>
            </w:r>
          </w:p>
        </w:tc>
        <w:tc>
          <w:tcPr>
            <w:tcW w:w="5440" w:type="dxa"/>
            <w:vAlign w:val="bottom"/>
            <w:tcBorders>
              <w:bottom w:val="single" w:sz="8" w:color="2360A6"/>
            </w:tcBorders>
            <w:gridSpan w:val="4"/>
          </w:tcPr>
          <w:p>
            <w:pPr>
              <w:ind w:left="20"/>
              <w:spacing w:after="0"/>
              <w:rPr>
                <w:sz w:val="20"/>
                <w:szCs w:val="20"/>
                <w:color w:val="auto"/>
              </w:rPr>
            </w:pPr>
            <w:r>
              <w:rPr>
                <w:rFonts w:ascii="Arial" w:cs="Arial" w:eastAsia="Arial" w:hAnsi="Arial"/>
                <w:sz w:val="13"/>
                <w:szCs w:val="13"/>
                <w:color w:val="231F20"/>
                <w:w w:val="97"/>
              </w:rPr>
              <w:t>Includes financial assets in France: €134.7 million and in United States of America: €11.7 million.</w:t>
            </w:r>
          </w:p>
        </w:tc>
        <w:tc>
          <w:tcPr>
            <w:tcW w:w="580" w:type="dxa"/>
            <w:vAlign w:val="bottom"/>
            <w:tcBorders>
              <w:bottom w:val="single" w:sz="8" w:color="2360A6"/>
            </w:tcBorders>
          </w:tcPr>
          <w:p>
            <w:pPr>
              <w:spacing w:after="0"/>
              <w:rPr>
                <w:sz w:val="14"/>
                <w:szCs w:val="14"/>
                <w:color w:val="auto"/>
              </w:rPr>
            </w:pPr>
          </w:p>
        </w:tc>
        <w:tc>
          <w:tcPr>
            <w:tcW w:w="860" w:type="dxa"/>
            <w:vAlign w:val="bottom"/>
            <w:tcBorders>
              <w:bottom w:val="single" w:sz="8" w:color="2360A6"/>
            </w:tcBorders>
          </w:tcPr>
          <w:p>
            <w:pPr>
              <w:spacing w:after="0"/>
              <w:rPr>
                <w:sz w:val="14"/>
                <w:szCs w:val="14"/>
                <w:color w:val="auto"/>
              </w:rPr>
            </w:pPr>
          </w:p>
        </w:tc>
        <w:tc>
          <w:tcPr>
            <w:tcW w:w="860" w:type="dxa"/>
            <w:vAlign w:val="bottom"/>
            <w:tcBorders>
              <w:bottom w:val="single" w:sz="8" w:color="2360A6"/>
            </w:tcBorders>
          </w:tcPr>
          <w:p>
            <w:pPr>
              <w:spacing w:after="0"/>
              <w:rPr>
                <w:sz w:val="14"/>
                <w:szCs w:val="14"/>
                <w:color w:val="auto"/>
              </w:rPr>
            </w:pPr>
          </w:p>
        </w:tc>
        <w:tc>
          <w:tcPr>
            <w:tcW w:w="860" w:type="dxa"/>
            <w:vAlign w:val="bottom"/>
            <w:tcBorders>
              <w:bottom w:val="single" w:sz="8" w:color="2360A6"/>
            </w:tcBorders>
          </w:tcPr>
          <w:p>
            <w:pPr>
              <w:spacing w:after="0"/>
              <w:rPr>
                <w:sz w:val="14"/>
                <w:szCs w:val="14"/>
                <w:color w:val="auto"/>
              </w:rPr>
            </w:pPr>
          </w:p>
        </w:tc>
        <w:tc>
          <w:tcPr>
            <w:tcW w:w="860" w:type="dxa"/>
            <w:vAlign w:val="bottom"/>
            <w:tcBorders>
              <w:bottom w:val="single" w:sz="8" w:color="2360A6"/>
            </w:tcBorders>
          </w:tcPr>
          <w:p>
            <w:pPr>
              <w:spacing w:after="0"/>
              <w:rPr>
                <w:sz w:val="14"/>
                <w:szCs w:val="14"/>
                <w:color w:val="auto"/>
              </w:rPr>
            </w:pPr>
          </w:p>
        </w:tc>
        <w:tc>
          <w:tcPr>
            <w:tcW w:w="1140" w:type="dxa"/>
            <w:vAlign w:val="bottom"/>
            <w:tcBorders>
              <w:bottom w:val="single" w:sz="8" w:color="2360A6"/>
            </w:tcBorders>
          </w:tcPr>
          <w:p>
            <w:pPr>
              <w:spacing w:after="0"/>
              <w:rPr>
                <w:sz w:val="14"/>
                <w:szCs w:val="14"/>
                <w:color w:val="auto"/>
              </w:rPr>
            </w:pPr>
          </w:p>
        </w:tc>
        <w:tc>
          <w:tcPr>
            <w:tcW w:w="20" w:type="dxa"/>
            <w:vAlign w:val="bottom"/>
            <w:tcBorders>
              <w:bottom w:val="single" w:sz="8" w:color="231F20"/>
            </w:tcBorders>
            <w:shd w:val="clear" w:color="auto" w:fill="231F20"/>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0" w:type="dxa"/>
            <w:vAlign w:val="bottom"/>
            <w:tcBorders>
              <w:bottom w:val="single" w:sz="8" w:color="2360A6"/>
            </w:tcBorders>
          </w:tcPr>
          <w:p>
            <w:pPr>
              <w:spacing w:after="0"/>
              <w:rPr>
                <w:sz w:val="11"/>
                <w:szCs w:val="11"/>
                <w:color w:val="auto"/>
              </w:rPr>
            </w:pPr>
          </w:p>
        </w:tc>
        <w:tc>
          <w:tcPr>
            <w:tcW w:w="3420" w:type="dxa"/>
            <w:vAlign w:val="bottom"/>
            <w:tcBorders>
              <w:bottom w:val="single" w:sz="8" w:color="2360A6"/>
            </w:tcBorders>
          </w:tcPr>
          <w:p>
            <w:pPr>
              <w:spacing w:after="0"/>
              <w:rPr>
                <w:sz w:val="11"/>
                <w:szCs w:val="11"/>
                <w:color w:val="auto"/>
              </w:rPr>
            </w:pPr>
          </w:p>
        </w:tc>
        <w:tc>
          <w:tcPr>
            <w:tcW w:w="1100" w:type="dxa"/>
            <w:vAlign w:val="bottom"/>
            <w:tcBorders>
              <w:bottom w:val="single" w:sz="8" w:color="2360A6"/>
            </w:tcBorders>
          </w:tcPr>
          <w:p>
            <w:pPr>
              <w:spacing w:after="0"/>
              <w:rPr>
                <w:sz w:val="11"/>
                <w:szCs w:val="11"/>
                <w:color w:val="auto"/>
              </w:rPr>
            </w:pPr>
          </w:p>
        </w:tc>
        <w:tc>
          <w:tcPr>
            <w:tcW w:w="740" w:type="dxa"/>
            <w:vAlign w:val="bottom"/>
            <w:tcBorders>
              <w:bottom w:val="single" w:sz="8" w:color="2360A6"/>
            </w:tcBorders>
          </w:tcPr>
          <w:p>
            <w:pPr>
              <w:spacing w:after="0"/>
              <w:rPr>
                <w:sz w:val="11"/>
                <w:szCs w:val="11"/>
                <w:color w:val="auto"/>
              </w:rPr>
            </w:pPr>
          </w:p>
        </w:tc>
        <w:tc>
          <w:tcPr>
            <w:tcW w:w="180" w:type="dxa"/>
            <w:vAlign w:val="bottom"/>
            <w:tcBorders>
              <w:bottom w:val="single" w:sz="8" w:color="2360A6"/>
            </w:tcBorders>
          </w:tcPr>
          <w:p>
            <w:pPr>
              <w:spacing w:after="0"/>
              <w:rPr>
                <w:sz w:val="11"/>
                <w:szCs w:val="11"/>
                <w:color w:val="auto"/>
              </w:rPr>
            </w:pPr>
          </w:p>
        </w:tc>
        <w:tc>
          <w:tcPr>
            <w:tcW w:w="580" w:type="dxa"/>
            <w:vAlign w:val="bottom"/>
            <w:tcBorders>
              <w:bottom w:val="single" w:sz="8" w:color="2360A6"/>
            </w:tcBorders>
          </w:tcPr>
          <w:p>
            <w:pPr>
              <w:spacing w:after="0"/>
              <w:rPr>
                <w:sz w:val="11"/>
                <w:szCs w:val="11"/>
                <w:color w:val="auto"/>
              </w:rPr>
            </w:pPr>
          </w:p>
        </w:tc>
        <w:tc>
          <w:tcPr>
            <w:tcW w:w="860" w:type="dxa"/>
            <w:vAlign w:val="bottom"/>
            <w:tcBorders>
              <w:bottom w:val="single" w:sz="8" w:color="2360A6"/>
            </w:tcBorders>
          </w:tcPr>
          <w:p>
            <w:pPr>
              <w:spacing w:after="0"/>
              <w:rPr>
                <w:sz w:val="11"/>
                <w:szCs w:val="11"/>
                <w:color w:val="auto"/>
              </w:rPr>
            </w:pPr>
          </w:p>
        </w:tc>
        <w:tc>
          <w:tcPr>
            <w:tcW w:w="860" w:type="dxa"/>
            <w:vAlign w:val="bottom"/>
            <w:tcBorders>
              <w:bottom w:val="single" w:sz="8" w:color="2360A6"/>
            </w:tcBorders>
          </w:tcPr>
          <w:p>
            <w:pPr>
              <w:spacing w:after="0"/>
              <w:rPr>
                <w:sz w:val="11"/>
                <w:szCs w:val="11"/>
                <w:color w:val="auto"/>
              </w:rPr>
            </w:pPr>
          </w:p>
        </w:tc>
        <w:tc>
          <w:tcPr>
            <w:tcW w:w="860" w:type="dxa"/>
            <w:vAlign w:val="bottom"/>
            <w:tcBorders>
              <w:bottom w:val="single" w:sz="8" w:color="2360A6"/>
            </w:tcBorders>
          </w:tcPr>
          <w:p>
            <w:pPr>
              <w:spacing w:after="0"/>
              <w:rPr>
                <w:sz w:val="11"/>
                <w:szCs w:val="11"/>
                <w:color w:val="auto"/>
              </w:rPr>
            </w:pPr>
          </w:p>
        </w:tc>
        <w:tc>
          <w:tcPr>
            <w:tcW w:w="860" w:type="dxa"/>
            <w:vAlign w:val="bottom"/>
            <w:tcBorders>
              <w:bottom w:val="single" w:sz="8" w:color="2360A6"/>
            </w:tcBorders>
          </w:tcPr>
          <w:p>
            <w:pPr>
              <w:spacing w:after="0"/>
              <w:rPr>
                <w:sz w:val="11"/>
                <w:szCs w:val="11"/>
                <w:color w:val="auto"/>
              </w:rPr>
            </w:pPr>
          </w:p>
        </w:tc>
        <w:tc>
          <w:tcPr>
            <w:tcW w:w="1140" w:type="dxa"/>
            <w:vAlign w:val="bottom"/>
            <w:tcBorders>
              <w:bottom w:val="single" w:sz="8" w:color="2360A6"/>
            </w:tcBorders>
          </w:tcPr>
          <w:p>
            <w:pPr>
              <w:spacing w:after="0"/>
              <w:rPr>
                <w:sz w:val="11"/>
                <w:szCs w:val="11"/>
                <w:color w:val="auto"/>
              </w:rPr>
            </w:pPr>
          </w:p>
        </w:tc>
        <w:tc>
          <w:tcPr>
            <w:tcW w:w="20" w:type="dxa"/>
            <w:vAlign w:val="bottom"/>
            <w:tcBorders>
              <w:bottom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420" w:type="dxa"/>
            <w:vAlign w:val="bottom"/>
            <w:tcBorders>
              <w:right w:val="single" w:sz="8" w:color="231F20"/>
            </w:tcBorders>
          </w:tcPr>
          <w:p>
            <w:pPr>
              <w:spacing w:after="0"/>
              <w:rPr>
                <w:sz w:val="15"/>
                <w:szCs w:val="15"/>
                <w:color w:val="auto"/>
              </w:rPr>
            </w:pPr>
          </w:p>
        </w:tc>
        <w:tc>
          <w:tcPr>
            <w:tcW w:w="1100" w:type="dxa"/>
            <w:vAlign w:val="bottom"/>
            <w:tcBorders>
              <w:bottom w:val="single" w:sz="8" w:color="2360A6"/>
            </w:tcBorders>
          </w:tcPr>
          <w:p>
            <w:pPr>
              <w:spacing w:after="0"/>
              <w:rPr>
                <w:sz w:val="15"/>
                <w:szCs w:val="15"/>
                <w:color w:val="auto"/>
              </w:rPr>
            </w:pPr>
          </w:p>
        </w:tc>
        <w:tc>
          <w:tcPr>
            <w:tcW w:w="740" w:type="dxa"/>
            <w:vAlign w:val="bottom"/>
            <w:tcBorders>
              <w:bottom w:val="single" w:sz="8" w:color="2360A6"/>
            </w:tcBorders>
          </w:tcPr>
          <w:p>
            <w:pPr>
              <w:spacing w:after="0"/>
              <w:rPr>
                <w:sz w:val="15"/>
                <w:szCs w:val="15"/>
                <w:color w:val="auto"/>
              </w:rPr>
            </w:pPr>
          </w:p>
        </w:tc>
        <w:tc>
          <w:tcPr>
            <w:tcW w:w="180" w:type="dxa"/>
            <w:vAlign w:val="bottom"/>
            <w:tcBorders>
              <w:bottom w:val="single" w:sz="8" w:color="2360A6"/>
            </w:tcBorders>
          </w:tcPr>
          <w:p>
            <w:pPr>
              <w:spacing w:after="0"/>
              <w:rPr>
                <w:sz w:val="15"/>
                <w:szCs w:val="15"/>
                <w:color w:val="auto"/>
              </w:rPr>
            </w:pPr>
          </w:p>
        </w:tc>
        <w:tc>
          <w:tcPr>
            <w:tcW w:w="580" w:type="dxa"/>
            <w:vAlign w:val="bottom"/>
            <w:tcBorders>
              <w:bottom w:val="single" w:sz="8" w:color="2360A6"/>
            </w:tcBorders>
          </w:tcPr>
          <w:p>
            <w:pPr>
              <w:spacing w:after="0"/>
              <w:rPr>
                <w:sz w:val="15"/>
                <w:szCs w:val="15"/>
                <w:color w:val="auto"/>
              </w:rPr>
            </w:pPr>
          </w:p>
        </w:tc>
        <w:tc>
          <w:tcPr>
            <w:tcW w:w="860" w:type="dxa"/>
            <w:vAlign w:val="bottom"/>
            <w:tcBorders>
              <w:bottom w:val="single" w:sz="8" w:color="2360A6"/>
            </w:tcBorders>
          </w:tcPr>
          <w:p>
            <w:pPr>
              <w:spacing w:after="0"/>
              <w:rPr>
                <w:sz w:val="15"/>
                <w:szCs w:val="15"/>
                <w:color w:val="auto"/>
              </w:rPr>
            </w:pPr>
          </w:p>
        </w:tc>
        <w:tc>
          <w:tcPr>
            <w:tcW w:w="860" w:type="dxa"/>
            <w:vAlign w:val="bottom"/>
            <w:tcBorders>
              <w:bottom w:val="single" w:sz="8" w:color="2360A6"/>
            </w:tcBorders>
          </w:tcPr>
          <w:p>
            <w:pPr>
              <w:jc w:val="right"/>
              <w:ind w:right="517"/>
              <w:spacing w:after="0"/>
              <w:rPr>
                <w:sz w:val="20"/>
                <w:szCs w:val="20"/>
                <w:color w:val="auto"/>
              </w:rPr>
            </w:pPr>
            <w:r>
              <w:rPr>
                <w:rFonts w:ascii="Arial" w:cs="Arial" w:eastAsia="Arial" w:hAnsi="Arial"/>
                <w:sz w:val="13"/>
                <w:szCs w:val="13"/>
                <w:b w:val="1"/>
                <w:bCs w:val="1"/>
                <w:color w:val="2360A6"/>
                <w:w w:val="89"/>
              </w:rPr>
              <w:t>2014</w:t>
            </w:r>
          </w:p>
        </w:tc>
        <w:tc>
          <w:tcPr>
            <w:tcW w:w="860" w:type="dxa"/>
            <w:vAlign w:val="bottom"/>
            <w:tcBorders>
              <w:bottom w:val="single" w:sz="8" w:color="2360A6"/>
            </w:tcBorders>
          </w:tcPr>
          <w:p>
            <w:pPr>
              <w:spacing w:after="0"/>
              <w:rPr>
                <w:sz w:val="15"/>
                <w:szCs w:val="15"/>
                <w:color w:val="auto"/>
              </w:rPr>
            </w:pPr>
          </w:p>
        </w:tc>
        <w:tc>
          <w:tcPr>
            <w:tcW w:w="860" w:type="dxa"/>
            <w:vAlign w:val="bottom"/>
            <w:tcBorders>
              <w:bottom w:val="single" w:sz="8" w:color="2360A6"/>
            </w:tcBorders>
          </w:tcPr>
          <w:p>
            <w:pPr>
              <w:spacing w:after="0"/>
              <w:rPr>
                <w:sz w:val="15"/>
                <w:szCs w:val="15"/>
                <w:color w:val="auto"/>
              </w:rPr>
            </w:pPr>
          </w:p>
        </w:tc>
        <w:tc>
          <w:tcPr>
            <w:tcW w:w="1140" w:type="dxa"/>
            <w:vAlign w:val="bottom"/>
            <w:tcBorders>
              <w:bottom w:val="single" w:sz="8" w:color="2360A6"/>
            </w:tcBorders>
          </w:tcPr>
          <w:p>
            <w:pPr>
              <w:spacing w:after="0"/>
              <w:rPr>
                <w:sz w:val="15"/>
                <w:szCs w:val="15"/>
                <w:color w:val="auto"/>
              </w:rPr>
            </w:pP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80" w:type="dxa"/>
            <w:vAlign w:val="bottom"/>
            <w:tcBorders>
              <w:right w:val="single" w:sz="8" w:color="231F20"/>
            </w:tcBorders>
            <w:gridSpan w:val="2"/>
          </w:tcPr>
          <w:p>
            <w:pPr>
              <w:ind w:left="20"/>
              <w:spacing w:after="0"/>
              <w:rPr>
                <w:sz w:val="20"/>
                <w:szCs w:val="20"/>
                <w:color w:val="auto"/>
              </w:rPr>
            </w:pPr>
            <w:r>
              <w:rPr>
                <w:rFonts w:ascii="Arial" w:cs="Arial" w:eastAsia="Arial" w:hAnsi="Arial"/>
                <w:sz w:val="13"/>
                <w:szCs w:val="13"/>
                <w:i w:val="1"/>
                <w:iCs w:val="1"/>
                <w:color w:val="auto"/>
              </w:rPr>
              <w:t>In millions of Euro</w:t>
            </w:r>
          </w:p>
        </w:tc>
        <w:tc>
          <w:tcPr>
            <w:tcW w:w="1840" w:type="dxa"/>
            <w:vAlign w:val="bottom"/>
            <w:tcBorders>
              <w:right w:val="single" w:sz="8" w:color="231F20"/>
            </w:tcBorders>
            <w:gridSpan w:val="2"/>
            <w:vMerge w:val="restart"/>
          </w:tcPr>
          <w:p>
            <w:pPr>
              <w:jc w:val="right"/>
              <w:ind w:right="77"/>
              <w:spacing w:after="0"/>
              <w:rPr>
                <w:sz w:val="20"/>
                <w:szCs w:val="20"/>
                <w:color w:val="auto"/>
              </w:rPr>
            </w:pPr>
            <w:r>
              <w:rPr>
                <w:rFonts w:ascii="Arial" w:cs="Arial" w:eastAsia="Arial" w:hAnsi="Arial"/>
                <w:sz w:val="13"/>
                <w:szCs w:val="13"/>
                <w:b w:val="1"/>
                <w:bCs w:val="1"/>
                <w:color w:val="2360A6"/>
              </w:rPr>
              <w:t>Europe, Russia, Central</w:t>
            </w:r>
          </w:p>
        </w:tc>
        <w:tc>
          <w:tcPr>
            <w:tcW w:w="180" w:type="dxa"/>
            <w:vAlign w:val="bottom"/>
          </w:tcPr>
          <w:p>
            <w:pPr>
              <w:spacing w:after="0"/>
              <w:rPr>
                <w:sz w:val="20"/>
                <w:szCs w:val="20"/>
                <w:color w:val="auto"/>
              </w:rPr>
            </w:pPr>
          </w:p>
        </w:tc>
        <w:tc>
          <w:tcPr>
            <w:tcW w:w="580" w:type="dxa"/>
            <w:vAlign w:val="bottom"/>
            <w:tcBorders>
              <w:right w:val="single" w:sz="8" w:color="231F20"/>
            </w:tcBorders>
          </w:tcPr>
          <w:p>
            <w:pPr>
              <w:spacing w:after="0"/>
              <w:rPr>
                <w:sz w:val="20"/>
                <w:szCs w:val="20"/>
                <w:color w:val="auto"/>
              </w:rPr>
            </w:pPr>
          </w:p>
        </w:tc>
        <w:tc>
          <w:tcPr>
            <w:tcW w:w="860" w:type="dxa"/>
            <w:vAlign w:val="bottom"/>
            <w:tcBorders>
              <w:right w:val="single" w:sz="8" w:color="231F20"/>
            </w:tcBorders>
          </w:tcPr>
          <w:p>
            <w:pPr>
              <w:spacing w:after="0"/>
              <w:rPr>
                <w:sz w:val="20"/>
                <w:szCs w:val="20"/>
                <w:color w:val="auto"/>
              </w:rPr>
            </w:pPr>
          </w:p>
        </w:tc>
        <w:tc>
          <w:tcPr>
            <w:tcW w:w="860" w:type="dxa"/>
            <w:vAlign w:val="bottom"/>
            <w:tcBorders>
              <w:right w:val="single" w:sz="8" w:color="231F20"/>
            </w:tcBorders>
          </w:tcPr>
          <w:p>
            <w:pPr>
              <w:spacing w:after="0"/>
              <w:rPr>
                <w:sz w:val="20"/>
                <w:szCs w:val="20"/>
                <w:color w:val="auto"/>
              </w:rPr>
            </w:pPr>
          </w:p>
        </w:tc>
        <w:tc>
          <w:tcPr>
            <w:tcW w:w="860" w:type="dxa"/>
            <w:vAlign w:val="bottom"/>
            <w:tcBorders>
              <w:right w:val="single" w:sz="8" w:color="231F20"/>
            </w:tcBorders>
          </w:tcPr>
          <w:p>
            <w:pPr>
              <w:spacing w:after="0"/>
              <w:rPr>
                <w:sz w:val="20"/>
                <w:szCs w:val="20"/>
                <w:color w:val="auto"/>
              </w:rPr>
            </w:pPr>
          </w:p>
        </w:tc>
        <w:tc>
          <w:tcPr>
            <w:tcW w:w="860" w:type="dxa"/>
            <w:vAlign w:val="bottom"/>
            <w:tcBorders>
              <w:right w:val="single" w:sz="8" w:color="231F20"/>
            </w:tcBorders>
            <w:vMerge w:val="restart"/>
          </w:tcPr>
          <w:p>
            <w:pPr>
              <w:jc w:val="right"/>
              <w:ind w:right="57"/>
              <w:spacing w:after="0"/>
              <w:rPr>
                <w:sz w:val="20"/>
                <w:szCs w:val="20"/>
                <w:color w:val="auto"/>
              </w:rPr>
            </w:pPr>
            <w:r>
              <w:rPr>
                <w:rFonts w:ascii="Arial" w:cs="Arial" w:eastAsia="Arial" w:hAnsi="Arial"/>
                <w:sz w:val="13"/>
                <w:szCs w:val="13"/>
                <w:b w:val="1"/>
                <w:bCs w:val="1"/>
                <w:color w:val="2360A6"/>
              </w:rPr>
              <w:t>Non</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2360A6"/>
              </w:rPr>
              <w:t>Total</w:t>
            </w: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3420" w:type="dxa"/>
            <w:vAlign w:val="bottom"/>
            <w:tcBorders>
              <w:right w:val="single" w:sz="8" w:color="231F20"/>
            </w:tcBorders>
          </w:tcPr>
          <w:p>
            <w:pPr>
              <w:spacing w:after="0"/>
              <w:rPr>
                <w:sz w:val="8"/>
                <w:szCs w:val="8"/>
                <w:color w:val="auto"/>
              </w:rPr>
            </w:pPr>
          </w:p>
        </w:tc>
        <w:tc>
          <w:tcPr>
            <w:tcW w:w="1840" w:type="dxa"/>
            <w:vAlign w:val="bottom"/>
            <w:tcBorders>
              <w:right w:val="single" w:sz="8" w:color="231F20"/>
            </w:tcBorders>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right w:val="single" w:sz="8" w:color="231F20"/>
            </w:tcBorders>
          </w:tcPr>
          <w:p>
            <w:pPr>
              <w:spacing w:after="0"/>
              <w:rPr>
                <w:sz w:val="8"/>
                <w:szCs w:val="8"/>
                <w:color w:val="auto"/>
              </w:rPr>
            </w:pPr>
          </w:p>
        </w:tc>
        <w:tc>
          <w:tcPr>
            <w:tcW w:w="860" w:type="dxa"/>
            <w:vAlign w:val="bottom"/>
            <w:tcBorders>
              <w:right w:val="single" w:sz="8" w:color="231F20"/>
            </w:tcBorders>
          </w:tcPr>
          <w:p>
            <w:pPr>
              <w:spacing w:after="0"/>
              <w:rPr>
                <w:sz w:val="8"/>
                <w:szCs w:val="8"/>
                <w:color w:val="auto"/>
              </w:rPr>
            </w:pPr>
          </w:p>
        </w:tc>
        <w:tc>
          <w:tcPr>
            <w:tcW w:w="860" w:type="dxa"/>
            <w:vAlign w:val="bottom"/>
            <w:tcBorders>
              <w:right w:val="single" w:sz="8" w:color="231F20"/>
            </w:tcBorders>
          </w:tcPr>
          <w:p>
            <w:pPr>
              <w:spacing w:after="0"/>
              <w:rPr>
                <w:sz w:val="8"/>
                <w:szCs w:val="8"/>
                <w:color w:val="auto"/>
              </w:rPr>
            </w:pPr>
          </w:p>
        </w:tc>
        <w:tc>
          <w:tcPr>
            <w:tcW w:w="860" w:type="dxa"/>
            <w:vAlign w:val="bottom"/>
            <w:tcBorders>
              <w:right w:val="single" w:sz="8" w:color="231F20"/>
            </w:tcBorders>
          </w:tcPr>
          <w:p>
            <w:pPr>
              <w:spacing w:after="0"/>
              <w:rPr>
                <w:sz w:val="8"/>
                <w:szCs w:val="8"/>
                <w:color w:val="auto"/>
              </w:rPr>
            </w:pPr>
          </w:p>
        </w:tc>
        <w:tc>
          <w:tcPr>
            <w:tcW w:w="860" w:type="dxa"/>
            <w:vAlign w:val="bottom"/>
            <w:tcBorders>
              <w:right w:val="single" w:sz="8" w:color="231F20"/>
            </w:tcBorders>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0" w:type="dxa"/>
            <w:vAlign w:val="bottom"/>
            <w:tcBorders>
              <w:bottom w:val="single" w:sz="8" w:color="2360A6"/>
            </w:tcBorders>
          </w:tcPr>
          <w:p>
            <w:pPr>
              <w:spacing w:after="0"/>
              <w:rPr>
                <w:sz w:val="15"/>
                <w:szCs w:val="15"/>
                <w:color w:val="auto"/>
              </w:rPr>
            </w:pPr>
          </w:p>
        </w:tc>
        <w:tc>
          <w:tcPr>
            <w:tcW w:w="3420" w:type="dxa"/>
            <w:vAlign w:val="bottom"/>
            <w:tcBorders>
              <w:bottom w:val="single" w:sz="8" w:color="2360A6"/>
              <w:right w:val="single" w:sz="8" w:color="231F20"/>
            </w:tcBorders>
          </w:tcPr>
          <w:p>
            <w:pPr>
              <w:spacing w:after="0"/>
              <w:rPr>
                <w:sz w:val="15"/>
                <w:szCs w:val="15"/>
                <w:color w:val="auto"/>
              </w:rPr>
            </w:pPr>
          </w:p>
        </w:tc>
        <w:tc>
          <w:tcPr>
            <w:tcW w:w="1100" w:type="dxa"/>
            <w:vAlign w:val="bottom"/>
            <w:tcBorders>
              <w:bottom w:val="single" w:sz="8" w:color="2360A6"/>
            </w:tcBorders>
          </w:tcPr>
          <w:p>
            <w:pPr>
              <w:spacing w:after="0"/>
              <w:rPr>
                <w:sz w:val="15"/>
                <w:szCs w:val="15"/>
                <w:color w:val="auto"/>
              </w:rPr>
            </w:pPr>
          </w:p>
        </w:tc>
        <w:tc>
          <w:tcPr>
            <w:tcW w:w="74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Asia</w:t>
            </w:r>
          </w:p>
        </w:tc>
        <w:tc>
          <w:tcPr>
            <w:tcW w:w="180" w:type="dxa"/>
            <w:vAlign w:val="bottom"/>
            <w:tcBorders>
              <w:bottom w:val="single" w:sz="8" w:color="2360A6"/>
            </w:tcBorders>
          </w:tcPr>
          <w:p>
            <w:pPr>
              <w:spacing w:after="0"/>
              <w:rPr>
                <w:sz w:val="15"/>
                <w:szCs w:val="15"/>
                <w:color w:val="auto"/>
              </w:rPr>
            </w:pPr>
          </w:p>
        </w:tc>
        <w:tc>
          <w:tcPr>
            <w:tcW w:w="5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Africa</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w w:val="96"/>
              </w:rPr>
              <w:t>Middle East</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w w:val="95"/>
              </w:rPr>
              <w:t>Asia Pacific</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b w:val="1"/>
                <w:bCs w:val="1"/>
                <w:color w:val="2360A6"/>
              </w:rPr>
              <w:t>Americas</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b w:val="1"/>
                <w:bCs w:val="1"/>
                <w:color w:val="2360A6"/>
              </w:rPr>
              <w:t>Allocable</w:t>
            </w:r>
          </w:p>
        </w:tc>
        <w:tc>
          <w:tcPr>
            <w:tcW w:w="1160" w:type="dxa"/>
            <w:vAlign w:val="bottom"/>
            <w:tcBorders>
              <w:bottom w:val="single" w:sz="8" w:color="2360A6"/>
            </w:tcBorders>
            <w:gridSpan w:val="2"/>
          </w:tcPr>
          <w:p>
            <w:pPr>
              <w:jc w:val="right"/>
              <w:ind w:right="120"/>
              <w:spacing w:after="0"/>
              <w:rPr>
                <w:sz w:val="20"/>
                <w:szCs w:val="20"/>
                <w:color w:val="auto"/>
              </w:rPr>
            </w:pPr>
            <w:r>
              <w:rPr>
                <w:rFonts w:ascii="Arial" w:cs="Arial" w:eastAsia="Arial" w:hAnsi="Arial"/>
                <w:sz w:val="13"/>
                <w:szCs w:val="13"/>
                <w:b w:val="1"/>
                <w:bCs w:val="1"/>
                <w:color w:val="2360A6"/>
              </w:rPr>
              <w:t>Consolidated</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2360A6"/>
              <w:right w:val="single" w:sz="8" w:color="231F20"/>
            </w:tcBorders>
            <w:gridSpan w:val="2"/>
          </w:tcPr>
          <w:p>
            <w:pPr>
              <w:ind w:left="20"/>
              <w:spacing w:after="0"/>
              <w:rPr>
                <w:sz w:val="20"/>
                <w:szCs w:val="20"/>
                <w:color w:val="auto"/>
              </w:rPr>
            </w:pPr>
            <w:r>
              <w:rPr>
                <w:rFonts w:ascii="Arial" w:cs="Arial" w:eastAsia="Arial" w:hAnsi="Arial"/>
                <w:sz w:val="13"/>
                <w:szCs w:val="13"/>
                <w:color w:val="231F20"/>
              </w:rPr>
              <w:t xml:space="preserve">Revenues </w:t>
            </w:r>
            <w:r>
              <w:rPr>
                <w:rFonts w:ascii="Arial" w:cs="Arial" w:eastAsia="Arial" w:hAnsi="Arial"/>
                <w:sz w:val="8"/>
                <w:szCs w:val="8"/>
                <w:color w:val="231F20"/>
              </w:rPr>
              <w:t>(1)</w:t>
            </w:r>
          </w:p>
        </w:tc>
        <w:tc>
          <w:tcPr>
            <w:tcW w:w="1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3,091.9</w:t>
            </w:r>
          </w:p>
        </w:tc>
        <w:tc>
          <w:tcPr>
            <w:tcW w:w="180" w:type="dxa"/>
            <w:vAlign w:val="bottom"/>
            <w:tcBorders>
              <w:bottom w:val="single" w:sz="8" w:color="2360A6"/>
            </w:tcBorders>
          </w:tcPr>
          <w:p>
            <w:pPr>
              <w:spacing w:after="0"/>
              <w:rPr>
                <w:sz w:val="18"/>
                <w:szCs w:val="18"/>
                <w:color w:val="auto"/>
              </w:rPr>
            </w:pPr>
          </w:p>
        </w:tc>
        <w:tc>
          <w:tcPr>
            <w:tcW w:w="5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w w:val="96"/>
              </w:rPr>
              <w:t>1,219.4</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1,199.9</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1,962.5</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2,600.2</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10,073.9</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80" w:type="dxa"/>
            <w:vAlign w:val="bottom"/>
            <w:tcBorders>
              <w:right w:val="single" w:sz="8" w:color="231F20"/>
            </w:tcBorders>
            <w:gridSpan w:val="2"/>
          </w:tcPr>
          <w:p>
            <w:pPr>
              <w:ind w:left="20"/>
              <w:spacing w:after="0"/>
              <w:rPr>
                <w:sz w:val="20"/>
                <w:szCs w:val="20"/>
                <w:color w:val="auto"/>
              </w:rPr>
            </w:pPr>
            <w:r>
              <w:rPr>
                <w:rFonts w:ascii="Arial" w:cs="Arial" w:eastAsia="Arial" w:hAnsi="Arial"/>
                <w:sz w:val="13"/>
                <w:szCs w:val="13"/>
                <w:color w:val="231F20"/>
              </w:rPr>
              <w:t>Operating Income/(Loss) from Recurring Activities after</w:t>
            </w:r>
          </w:p>
        </w:tc>
        <w:tc>
          <w:tcPr>
            <w:tcW w:w="1100" w:type="dxa"/>
            <w:vAlign w:val="bottom"/>
          </w:tcPr>
          <w:p>
            <w:pPr>
              <w:spacing w:after="0"/>
              <w:rPr>
                <w:sz w:val="13"/>
                <w:szCs w:val="13"/>
                <w:color w:val="auto"/>
              </w:rPr>
            </w:pPr>
          </w:p>
        </w:tc>
        <w:tc>
          <w:tcPr>
            <w:tcW w:w="740" w:type="dxa"/>
            <w:vAlign w:val="bottom"/>
            <w:tcBorders>
              <w:right w:val="single" w:sz="8" w:color="231F20"/>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860" w:type="dxa"/>
            <w:vAlign w:val="bottom"/>
            <w:tcBorders>
              <w:right w:val="single" w:sz="8" w:color="231F20"/>
            </w:tcBorders>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Borders>
              <w:bottom w:val="single" w:sz="8" w:color="2360A6"/>
              <w:right w:val="single" w:sz="8" w:color="231F20"/>
            </w:tcBorders>
            <w:gridSpan w:val="2"/>
          </w:tcPr>
          <w:p>
            <w:pPr>
              <w:ind w:left="20"/>
              <w:spacing w:after="0"/>
              <w:rPr>
                <w:sz w:val="20"/>
                <w:szCs w:val="20"/>
                <w:color w:val="auto"/>
              </w:rPr>
            </w:pPr>
            <w:r>
              <w:rPr>
                <w:rFonts w:ascii="Arial" w:cs="Arial" w:eastAsia="Arial" w:hAnsi="Arial"/>
                <w:sz w:val="13"/>
                <w:szCs w:val="13"/>
                <w:color w:val="231F20"/>
              </w:rPr>
              <w:t>Income/ (Loss) of Equity Affiliates</w:t>
            </w:r>
          </w:p>
        </w:tc>
        <w:tc>
          <w:tcPr>
            <w:tcW w:w="1100" w:type="dxa"/>
            <w:vAlign w:val="bottom"/>
            <w:tcBorders>
              <w:bottom w:val="single" w:sz="8" w:color="2360A6"/>
            </w:tcBorders>
          </w:tcPr>
          <w:p>
            <w:pPr>
              <w:spacing w:after="0"/>
              <w:rPr>
                <w:sz w:val="14"/>
                <w:szCs w:val="14"/>
                <w:color w:val="auto"/>
              </w:rPr>
            </w:pPr>
          </w:p>
        </w:tc>
        <w:tc>
          <w:tcPr>
            <w:tcW w:w="74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345.1</w:t>
            </w:r>
          </w:p>
        </w:tc>
        <w:tc>
          <w:tcPr>
            <w:tcW w:w="180" w:type="dxa"/>
            <w:vAlign w:val="bottom"/>
            <w:tcBorders>
              <w:bottom w:val="single" w:sz="8" w:color="2360A6"/>
            </w:tcBorders>
          </w:tcPr>
          <w:p>
            <w:pPr>
              <w:spacing w:after="0"/>
              <w:rPr>
                <w:sz w:val="14"/>
                <w:szCs w:val="14"/>
                <w:color w:val="auto"/>
              </w:rPr>
            </w:pPr>
          </w:p>
        </w:tc>
        <w:tc>
          <w:tcPr>
            <w:tcW w:w="5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5.2</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72.7</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168.8</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295.1</w:t>
            </w:r>
          </w:p>
        </w:tc>
        <w:tc>
          <w:tcPr>
            <w:tcW w:w="860" w:type="dxa"/>
            <w:vAlign w:val="bottom"/>
            <w:tcBorders>
              <w:bottom w:val="single" w:sz="8" w:color="2360A6"/>
              <w:right w:val="single" w:sz="8" w:color="231F20"/>
            </w:tcBorders>
          </w:tcPr>
          <w:p>
            <w:pPr>
              <w:jc w:val="right"/>
              <w:ind w:right="17"/>
              <w:spacing w:after="0"/>
              <w:rPr>
                <w:sz w:val="20"/>
                <w:szCs w:val="20"/>
                <w:color w:val="auto"/>
              </w:rPr>
            </w:pPr>
            <w:r>
              <w:rPr>
                <w:rFonts w:ascii="Arial" w:cs="Arial" w:eastAsia="Arial" w:hAnsi="Arial"/>
                <w:sz w:val="13"/>
                <w:szCs w:val="13"/>
                <w:color w:val="231F20"/>
              </w:rPr>
              <w:t>(86.7)</w:t>
            </w:r>
          </w:p>
        </w:tc>
        <w:tc>
          <w:tcPr>
            <w:tcW w:w="11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800.2</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tcBorders>
              <w:left w:val="single" w:sz="8" w:color="D2DEEC"/>
              <w:bottom w:val="single" w:sz="8" w:color="2360A6"/>
              <w:right w:val="single" w:sz="8" w:color="231F20"/>
            </w:tcBorders>
            <w:gridSpan w:val="2"/>
            <w:shd w:val="clear" w:color="auto" w:fill="D2DEEC"/>
          </w:tcPr>
          <w:p>
            <w:pPr>
              <w:ind w:left="20"/>
              <w:spacing w:after="0"/>
              <w:rPr>
                <w:sz w:val="20"/>
                <w:szCs w:val="20"/>
                <w:color w:val="auto"/>
              </w:rPr>
            </w:pPr>
            <w:r>
              <w:rPr>
                <w:rFonts w:ascii="Arial" w:cs="Arial" w:eastAsia="Arial" w:hAnsi="Arial"/>
                <w:sz w:val="13"/>
                <w:szCs w:val="13"/>
                <w:b w:val="1"/>
                <w:bCs w:val="1"/>
                <w:color w:val="2360A6"/>
              </w:rPr>
              <w:t>OPERATING INCOME/(LOSS)</w:t>
            </w:r>
          </w:p>
        </w:tc>
        <w:tc>
          <w:tcPr>
            <w:tcW w:w="1100" w:type="dxa"/>
            <w:vAlign w:val="bottom"/>
            <w:tcBorders>
              <w:bottom w:val="single" w:sz="8" w:color="2360A6"/>
            </w:tcBorders>
            <w:shd w:val="clear" w:color="auto" w:fill="D2DEEC"/>
          </w:tcPr>
          <w:p>
            <w:pPr>
              <w:spacing w:after="0"/>
              <w:rPr>
                <w:sz w:val="18"/>
                <w:szCs w:val="18"/>
                <w:color w:val="auto"/>
              </w:rPr>
            </w:pPr>
          </w:p>
        </w:tc>
        <w:tc>
          <w:tcPr>
            <w:tcW w:w="74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345.1</w:t>
            </w:r>
          </w:p>
        </w:tc>
        <w:tc>
          <w:tcPr>
            <w:tcW w:w="180" w:type="dxa"/>
            <w:vAlign w:val="bottom"/>
            <w:tcBorders>
              <w:bottom w:val="single" w:sz="8" w:color="2360A6"/>
            </w:tcBorders>
            <w:shd w:val="clear" w:color="auto" w:fill="D2DEEC"/>
          </w:tcPr>
          <w:p>
            <w:pPr>
              <w:spacing w:after="0"/>
              <w:rPr>
                <w:sz w:val="18"/>
                <w:szCs w:val="18"/>
                <w:color w:val="auto"/>
              </w:rPr>
            </w:pPr>
          </w:p>
        </w:tc>
        <w:tc>
          <w:tcPr>
            <w:tcW w:w="58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5.2</w:t>
            </w:r>
          </w:p>
        </w:tc>
        <w:tc>
          <w:tcPr>
            <w:tcW w:w="86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72.7</w:t>
            </w:r>
          </w:p>
        </w:tc>
        <w:tc>
          <w:tcPr>
            <w:tcW w:w="86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168.8</w:t>
            </w:r>
          </w:p>
        </w:tc>
        <w:tc>
          <w:tcPr>
            <w:tcW w:w="860" w:type="dxa"/>
            <w:vAlign w:val="bottom"/>
            <w:tcBorders>
              <w:bottom w:val="single" w:sz="8" w:color="2360A6"/>
              <w:right w:val="single" w:sz="8" w:color="231F20"/>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295.1</w:t>
            </w:r>
          </w:p>
        </w:tc>
        <w:tc>
          <w:tcPr>
            <w:tcW w:w="860" w:type="dxa"/>
            <w:vAlign w:val="bottom"/>
            <w:tcBorders>
              <w:bottom w:val="single" w:sz="8" w:color="2360A6"/>
              <w:right w:val="single" w:sz="8" w:color="231F20"/>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(160.3)</w:t>
            </w:r>
          </w:p>
        </w:tc>
        <w:tc>
          <w:tcPr>
            <w:tcW w:w="1140" w:type="dxa"/>
            <w:vAlign w:val="bottom"/>
            <w:tcBorders>
              <w:bottom w:val="single" w:sz="8" w:color="2360A6"/>
            </w:tcBorders>
            <w:shd w:val="clear" w:color="auto" w:fill="D2DEEC"/>
          </w:tcPr>
          <w:p>
            <w:pPr>
              <w:jc w:val="right"/>
              <w:ind w:right="37"/>
              <w:spacing w:after="0"/>
              <w:rPr>
                <w:sz w:val="20"/>
                <w:szCs w:val="20"/>
                <w:color w:val="auto"/>
              </w:rPr>
            </w:pPr>
            <w:r>
              <w:rPr>
                <w:rFonts w:ascii="Arial" w:cs="Arial" w:eastAsia="Arial" w:hAnsi="Arial"/>
                <w:sz w:val="13"/>
                <w:szCs w:val="13"/>
                <w:b w:val="1"/>
                <w:bCs w:val="1"/>
                <w:color w:val="2360A6"/>
              </w:rPr>
              <w:t>726.6</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80" w:type="dxa"/>
            <w:vAlign w:val="bottom"/>
            <w:tcBorders>
              <w:right w:val="single" w:sz="8" w:color="231F20"/>
            </w:tcBorders>
            <w:gridSpan w:val="2"/>
          </w:tcPr>
          <w:p>
            <w:pPr>
              <w:ind w:left="40"/>
              <w:spacing w:after="0"/>
              <w:rPr>
                <w:sz w:val="20"/>
                <w:szCs w:val="20"/>
                <w:color w:val="auto"/>
              </w:rPr>
            </w:pPr>
            <w:r>
              <w:rPr>
                <w:rFonts w:ascii="Arial" w:cs="Arial" w:eastAsia="Arial" w:hAnsi="Arial"/>
                <w:sz w:val="13"/>
                <w:szCs w:val="13"/>
                <w:color w:val="231F20"/>
              </w:rPr>
              <w:t>Intangible Assets (excluding</w:t>
            </w:r>
          </w:p>
        </w:tc>
        <w:tc>
          <w:tcPr>
            <w:tcW w:w="1100" w:type="dxa"/>
            <w:vAlign w:val="bottom"/>
          </w:tcPr>
          <w:p>
            <w:pPr>
              <w:spacing w:after="0"/>
              <w:rPr>
                <w:sz w:val="17"/>
                <w:szCs w:val="17"/>
                <w:color w:val="auto"/>
              </w:rPr>
            </w:pPr>
          </w:p>
        </w:tc>
        <w:tc>
          <w:tcPr>
            <w:tcW w:w="740" w:type="dxa"/>
            <w:vAlign w:val="bottom"/>
            <w:tcBorders>
              <w:right w:val="single" w:sz="8" w:color="231F20"/>
            </w:tcBorders>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Borders>
              <w:right w:val="single" w:sz="8" w:color="231F20"/>
            </w:tcBorders>
          </w:tcPr>
          <w:p>
            <w:pPr>
              <w:spacing w:after="0"/>
              <w:rPr>
                <w:sz w:val="17"/>
                <w:szCs w:val="17"/>
                <w:color w:val="auto"/>
              </w:rPr>
            </w:pPr>
          </w:p>
        </w:tc>
        <w:tc>
          <w:tcPr>
            <w:tcW w:w="860" w:type="dxa"/>
            <w:vAlign w:val="bottom"/>
            <w:tcBorders>
              <w:right w:val="single" w:sz="8" w:color="231F20"/>
            </w:tcBorders>
          </w:tcPr>
          <w:p>
            <w:pPr>
              <w:spacing w:after="0"/>
              <w:rPr>
                <w:sz w:val="17"/>
                <w:szCs w:val="17"/>
                <w:color w:val="auto"/>
              </w:rPr>
            </w:pPr>
          </w:p>
        </w:tc>
        <w:tc>
          <w:tcPr>
            <w:tcW w:w="860" w:type="dxa"/>
            <w:vAlign w:val="bottom"/>
            <w:tcBorders>
              <w:right w:val="single" w:sz="8" w:color="231F20"/>
            </w:tcBorders>
          </w:tcPr>
          <w:p>
            <w:pPr>
              <w:spacing w:after="0"/>
              <w:rPr>
                <w:sz w:val="17"/>
                <w:szCs w:val="17"/>
                <w:color w:val="auto"/>
              </w:rPr>
            </w:pPr>
          </w:p>
        </w:tc>
        <w:tc>
          <w:tcPr>
            <w:tcW w:w="860" w:type="dxa"/>
            <w:vAlign w:val="bottom"/>
            <w:tcBorders>
              <w:right w:val="single" w:sz="8" w:color="231F20"/>
            </w:tcBorders>
          </w:tcPr>
          <w:p>
            <w:pPr>
              <w:spacing w:after="0"/>
              <w:rPr>
                <w:sz w:val="17"/>
                <w:szCs w:val="17"/>
                <w:color w:val="auto"/>
              </w:rPr>
            </w:pPr>
          </w:p>
        </w:tc>
        <w:tc>
          <w:tcPr>
            <w:tcW w:w="860" w:type="dxa"/>
            <w:vAlign w:val="bottom"/>
            <w:tcBorders>
              <w:right w:val="single" w:sz="8" w:color="231F20"/>
            </w:tcBorders>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80" w:type="dxa"/>
            <w:vAlign w:val="bottom"/>
            <w:tcBorders>
              <w:bottom w:val="single" w:sz="8" w:color="2360A6"/>
              <w:right w:val="single" w:sz="8" w:color="231F20"/>
            </w:tcBorders>
            <w:gridSpan w:val="2"/>
          </w:tcPr>
          <w:p>
            <w:pPr>
              <w:ind w:left="40"/>
              <w:spacing w:after="0"/>
              <w:rPr>
                <w:sz w:val="20"/>
                <w:szCs w:val="20"/>
                <w:color w:val="auto"/>
              </w:rPr>
            </w:pPr>
            <w:r>
              <w:rPr>
                <w:rFonts w:ascii="Arial" w:cs="Arial" w:eastAsia="Arial" w:hAnsi="Arial"/>
                <w:sz w:val="13"/>
                <w:szCs w:val="13"/>
                <w:color w:val="231F20"/>
              </w:rPr>
              <w:t xml:space="preserve">Goodwill) </w:t>
            </w:r>
            <w:r>
              <w:rPr>
                <w:rFonts w:ascii="Arial" w:cs="Arial" w:eastAsia="Arial" w:hAnsi="Arial"/>
                <w:sz w:val="8"/>
                <w:szCs w:val="8"/>
                <w:color w:val="231F20"/>
              </w:rPr>
              <w:t>(2)</w:t>
            </w:r>
          </w:p>
        </w:tc>
        <w:tc>
          <w:tcPr>
            <w:tcW w:w="1100" w:type="dxa"/>
            <w:vAlign w:val="bottom"/>
            <w:tcBorders>
              <w:bottom w:val="single" w:sz="8" w:color="2360A6"/>
            </w:tcBorders>
          </w:tcPr>
          <w:p>
            <w:pPr>
              <w:spacing w:after="0"/>
              <w:rPr>
                <w:sz w:val="14"/>
                <w:szCs w:val="14"/>
                <w:color w:val="auto"/>
              </w:rPr>
            </w:pPr>
          </w:p>
        </w:tc>
        <w:tc>
          <w:tcPr>
            <w:tcW w:w="74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59.5</w:t>
            </w:r>
          </w:p>
        </w:tc>
        <w:tc>
          <w:tcPr>
            <w:tcW w:w="180" w:type="dxa"/>
            <w:vAlign w:val="bottom"/>
            <w:tcBorders>
              <w:bottom w:val="single" w:sz="8" w:color="2360A6"/>
            </w:tcBorders>
          </w:tcPr>
          <w:p>
            <w:pPr>
              <w:spacing w:after="0"/>
              <w:rPr>
                <w:sz w:val="14"/>
                <w:szCs w:val="14"/>
                <w:color w:val="auto"/>
              </w:rPr>
            </w:pPr>
          </w:p>
        </w:tc>
        <w:tc>
          <w:tcPr>
            <w:tcW w:w="5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0.6</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1.0</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46.7</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107.8</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tcBorders>
              <w:bottom w:val="single" w:sz="8" w:color="2360A6"/>
              <w:right w:val="single" w:sz="8" w:color="231F20"/>
            </w:tcBorders>
            <w:gridSpan w:val="2"/>
          </w:tcPr>
          <w:p>
            <w:pPr>
              <w:ind w:left="20"/>
              <w:spacing w:after="0"/>
              <w:rPr>
                <w:sz w:val="20"/>
                <w:szCs w:val="20"/>
                <w:color w:val="auto"/>
              </w:rPr>
            </w:pPr>
            <w:r>
              <w:rPr>
                <w:rFonts w:ascii="Arial" w:cs="Arial" w:eastAsia="Arial" w:hAnsi="Arial"/>
                <w:sz w:val="13"/>
                <w:szCs w:val="13"/>
                <w:color w:val="231F20"/>
              </w:rPr>
              <w:t xml:space="preserve">Property, Plant and Equipment </w:t>
            </w:r>
            <w:r>
              <w:rPr>
                <w:rFonts w:ascii="Arial" w:cs="Arial" w:eastAsia="Arial" w:hAnsi="Arial"/>
                <w:sz w:val="8"/>
                <w:szCs w:val="8"/>
                <w:color w:val="231F20"/>
              </w:rPr>
              <w:t>(3)</w:t>
            </w:r>
          </w:p>
        </w:tc>
        <w:tc>
          <w:tcPr>
            <w:tcW w:w="1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562.0</w:t>
            </w:r>
          </w:p>
        </w:tc>
        <w:tc>
          <w:tcPr>
            <w:tcW w:w="180" w:type="dxa"/>
            <w:vAlign w:val="bottom"/>
            <w:tcBorders>
              <w:bottom w:val="single" w:sz="8" w:color="2360A6"/>
            </w:tcBorders>
          </w:tcPr>
          <w:p>
            <w:pPr>
              <w:spacing w:after="0"/>
              <w:rPr>
                <w:sz w:val="18"/>
                <w:szCs w:val="18"/>
                <w:color w:val="auto"/>
              </w:rPr>
            </w:pPr>
          </w:p>
        </w:tc>
        <w:tc>
          <w:tcPr>
            <w:tcW w:w="5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55.1</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0.9</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178.0</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315.6</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1,389.2</w:t>
            </w:r>
          </w:p>
        </w:tc>
        <w:tc>
          <w:tcPr>
            <w:tcW w:w="11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2,500.8</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bottom w:val="single" w:sz="8" w:color="2360A6"/>
              <w:right w:val="single" w:sz="8" w:color="231F20"/>
            </w:tcBorders>
            <w:gridSpan w:val="2"/>
          </w:tcPr>
          <w:p>
            <w:pPr>
              <w:ind w:left="20"/>
              <w:spacing w:after="0"/>
              <w:rPr>
                <w:sz w:val="20"/>
                <w:szCs w:val="20"/>
                <w:color w:val="auto"/>
              </w:rPr>
            </w:pPr>
            <w:r>
              <w:rPr>
                <w:rFonts w:ascii="Arial" w:cs="Arial" w:eastAsia="Arial" w:hAnsi="Arial"/>
                <w:sz w:val="13"/>
                <w:szCs w:val="13"/>
                <w:color w:val="231F20"/>
              </w:rPr>
              <w:t xml:space="preserve">Financial Assets </w:t>
            </w:r>
            <w:r>
              <w:rPr>
                <w:rFonts w:ascii="Arial" w:cs="Arial" w:eastAsia="Arial" w:hAnsi="Arial"/>
                <w:sz w:val="8"/>
                <w:szCs w:val="8"/>
                <w:color w:val="231F20"/>
              </w:rPr>
              <w:t>(4)</w:t>
            </w:r>
          </w:p>
        </w:tc>
        <w:tc>
          <w:tcPr>
            <w:tcW w:w="1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254.4</w:t>
            </w:r>
          </w:p>
        </w:tc>
        <w:tc>
          <w:tcPr>
            <w:tcW w:w="180" w:type="dxa"/>
            <w:vAlign w:val="bottom"/>
            <w:tcBorders>
              <w:bottom w:val="single" w:sz="8" w:color="2360A6"/>
            </w:tcBorders>
          </w:tcPr>
          <w:p>
            <w:pPr>
              <w:spacing w:after="0"/>
              <w:rPr>
                <w:sz w:val="18"/>
                <w:szCs w:val="18"/>
                <w:color w:val="auto"/>
              </w:rPr>
            </w:pPr>
          </w:p>
        </w:tc>
        <w:tc>
          <w:tcPr>
            <w:tcW w:w="58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1.3</w:t>
            </w:r>
          </w:p>
        </w:tc>
        <w:tc>
          <w:tcPr>
            <w:tcW w:w="860" w:type="dxa"/>
            <w:vAlign w:val="bottom"/>
            <w:tcBorders>
              <w:bottom w:val="single" w:sz="8" w:color="2360A6"/>
              <w:right w:val="single" w:sz="8" w:color="231F20"/>
            </w:tcBorders>
          </w:tcPr>
          <w:p>
            <w:pPr>
              <w:jc w:val="right"/>
              <w:ind w:right="37"/>
              <w:spacing w:after="0"/>
              <w:rPr>
                <w:sz w:val="20"/>
                <w:szCs w:val="20"/>
                <w:color w:val="auto"/>
              </w:rPr>
            </w:pPr>
            <w:r>
              <w:rPr>
                <w:rFonts w:ascii="Arial" w:cs="Arial" w:eastAsia="Arial" w:hAnsi="Arial"/>
                <w:sz w:val="13"/>
                <w:szCs w:val="13"/>
                <w:color w:val="231F20"/>
              </w:rPr>
              <w:t>(4.7)</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20.2</w:t>
            </w:r>
          </w:p>
        </w:tc>
        <w:tc>
          <w:tcPr>
            <w:tcW w:w="860" w:type="dxa"/>
            <w:vAlign w:val="bottom"/>
            <w:tcBorders>
              <w:bottom w:val="single" w:sz="8" w:color="2360A6"/>
              <w:right w:val="single" w:sz="8" w:color="231F20"/>
            </w:tcBorders>
          </w:tcPr>
          <w:p>
            <w:pPr>
              <w:jc w:val="right"/>
              <w:ind w:right="77"/>
              <w:spacing w:after="0"/>
              <w:rPr>
                <w:sz w:val="20"/>
                <w:szCs w:val="20"/>
                <w:color w:val="auto"/>
              </w:rPr>
            </w:pPr>
            <w:r>
              <w:rPr>
                <w:rFonts w:ascii="Arial" w:cs="Arial" w:eastAsia="Arial" w:hAnsi="Arial"/>
                <w:sz w:val="13"/>
                <w:szCs w:val="13"/>
                <w:color w:val="231F20"/>
              </w:rPr>
              <w:t>184.0</w:t>
            </w:r>
          </w:p>
        </w:tc>
        <w:tc>
          <w:tcPr>
            <w:tcW w:w="860" w:type="dxa"/>
            <w:vAlign w:val="bottom"/>
            <w:tcBorders>
              <w:bottom w:val="single" w:sz="8" w:color="2360A6"/>
              <w:right w:val="single" w:sz="8" w:color="231F20"/>
            </w:tcBorders>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455.2</w:t>
            </w:r>
          </w:p>
        </w:tc>
        <w:tc>
          <w:tcPr>
            <w:tcW w:w="20" w:type="dxa"/>
            <w:vAlign w:val="bottom"/>
            <w:tcBorders>
              <w:bottom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680" w:type="dxa"/>
            <w:vAlign w:val="bottom"/>
            <w:gridSpan w:val="3"/>
          </w:tcPr>
          <w:p>
            <w:pPr>
              <w:ind w:left="20"/>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2"/>
                <w:szCs w:val="12"/>
                <w:color w:val="231F20"/>
              </w:rPr>
              <w:t>Includes revenues earned in France: €90.7 million.</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Pr>
          <w:p>
            <w:pPr>
              <w:ind w:left="40"/>
              <w:spacing w:after="0"/>
              <w:rPr>
                <w:sz w:val="20"/>
                <w:szCs w:val="20"/>
                <w:color w:val="auto"/>
              </w:rPr>
            </w:pPr>
            <w:r>
              <w:rPr>
                <w:rFonts w:ascii="Arial" w:cs="Arial" w:eastAsia="Arial" w:hAnsi="Arial"/>
                <w:sz w:val="9"/>
                <w:szCs w:val="9"/>
                <w:color w:val="231F20"/>
                <w:w w:val="90"/>
              </w:rPr>
              <w:t>(2)</w:t>
            </w:r>
          </w:p>
        </w:tc>
        <w:tc>
          <w:tcPr>
            <w:tcW w:w="4520" w:type="dxa"/>
            <w:vAlign w:val="bottom"/>
            <w:gridSpan w:val="2"/>
          </w:tcPr>
          <w:p>
            <w:pPr>
              <w:ind w:left="20"/>
              <w:spacing w:after="0"/>
              <w:rPr>
                <w:sz w:val="20"/>
                <w:szCs w:val="20"/>
                <w:color w:val="auto"/>
              </w:rPr>
            </w:pPr>
            <w:r>
              <w:rPr>
                <w:rFonts w:ascii="Arial" w:cs="Arial" w:eastAsia="Arial" w:hAnsi="Arial"/>
                <w:sz w:val="13"/>
                <w:szCs w:val="13"/>
                <w:color w:val="231F20"/>
              </w:rPr>
              <w:t>Includes intangible assets in France: €57.5 million and in Brazil: €6.4 million.</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60" w:type="dxa"/>
            <w:vAlign w:val="bottom"/>
          </w:tcPr>
          <w:p>
            <w:pPr>
              <w:ind w:left="40"/>
              <w:spacing w:after="0"/>
              <w:rPr>
                <w:sz w:val="20"/>
                <w:szCs w:val="20"/>
                <w:color w:val="auto"/>
              </w:rPr>
            </w:pPr>
            <w:r>
              <w:rPr>
                <w:rFonts w:ascii="Arial" w:cs="Arial" w:eastAsia="Arial" w:hAnsi="Arial"/>
                <w:sz w:val="9"/>
                <w:szCs w:val="9"/>
                <w:color w:val="231F20"/>
                <w:w w:val="90"/>
              </w:rPr>
              <w:t>(3)</w:t>
            </w:r>
          </w:p>
        </w:tc>
        <w:tc>
          <w:tcPr>
            <w:tcW w:w="10620" w:type="dxa"/>
            <w:vAlign w:val="bottom"/>
            <w:gridSpan w:val="11"/>
          </w:tcPr>
          <w:p>
            <w:pPr>
              <w:ind w:left="20"/>
              <w:spacing w:after="0"/>
              <w:rPr>
                <w:sz w:val="20"/>
                <w:szCs w:val="20"/>
                <w:color w:val="auto"/>
              </w:rPr>
            </w:pPr>
            <w:r>
              <w:rPr>
                <w:rFonts w:ascii="Arial" w:cs="Arial" w:eastAsia="Arial" w:hAnsi="Arial"/>
                <w:sz w:val="13"/>
                <w:szCs w:val="13"/>
                <w:color w:val="231F20"/>
                <w:w w:val="98"/>
              </w:rPr>
              <w:t>Includes tangible assets in France: € 161.9 million. The fleet of vessels (including vessels under construction) that operate in different geographical areas and therefore cannot be allocated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-1839595</wp:posOffset>
            </wp:positionV>
            <wp:extent cx="6852285" cy="2058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2285" cy="205803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3"/>
          <w:szCs w:val="13"/>
          <w:color w:val="231F20"/>
        </w:rPr>
        <w:t>to a specific area is reported under “Non allocable”.</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9"/>
          <w:szCs w:val="9"/>
          <w:color w:val="231F20"/>
        </w:rPr>
        <w:t xml:space="preserve">(4) </w:t>
      </w:r>
      <w:r>
        <w:rPr>
          <w:rFonts w:ascii="Arial" w:cs="Arial" w:eastAsia="Arial" w:hAnsi="Arial"/>
          <w:sz w:val="12"/>
          <w:szCs w:val="12"/>
          <w:color w:val="231F20"/>
        </w:rPr>
        <w:t>Includes financial assets in France: €93.1 million and in United States of America: €12.3 million.</w:t>
      </w:r>
    </w:p>
    <w:p>
      <w:pPr>
        <w:sectPr>
          <w:pgSz w:w="11900" w:h="16838" w:orient="portrait"/>
          <w:cols w:equalWidth="0" w:num="1">
            <w:col w:w="11040"/>
          </w:cols>
          <w:pgMar w:left="320" w:top="676" w:right="539" w:bottom="1440" w:gutter="0" w:footer="0" w:header="0"/>
        </w:sectPr>
      </w:pPr>
    </w:p>
    <w:bookmarkStart w:id="101" w:name="page102"/>
    <w:bookmarkEnd w:id="101"/>
    <w:p>
      <w:pPr>
        <w:spacing w:after="0"/>
        <w:rPr>
          <w:sz w:val="20"/>
          <w:szCs w:val="20"/>
          <w:color w:val="auto"/>
        </w:rPr>
      </w:pPr>
      <w:r>
        <w:rPr>
          <w:rFonts w:ascii="Arial" w:cs="Arial" w:eastAsia="Arial" w:hAnsi="Arial"/>
          <w:sz w:val="25"/>
          <w:szCs w:val="25"/>
          <w:b w:val="1"/>
          <w:bCs w:val="1"/>
          <w:color w:val="231F20"/>
        </w:rPr>
        <w:t>(C) Reconciliation between Adjusted and Consolidated Items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specified in Note 1-C (e) - Segment Information, adjustments items on Group financial statements relate to the integration for their respective shares of incorporated entities linked to construction contracts in joint arrangements. Adjusted financial statements and their reconciliation with consolidated financial statements as per IFRS are disclosed as following.</w:t>
      </w:r>
    </w:p>
    <w:p>
      <w:pPr>
        <w:spacing w:after="0" w:line="329"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2360A6"/>
        </w:rPr>
        <w:t>Statement of Income</w:t>
      </w:r>
    </w:p>
    <w:p>
      <w:pPr>
        <w:spacing w:after="0" w:line="138" w:lineRule="exact"/>
        <w:rPr>
          <w:sz w:val="20"/>
          <w:szCs w:val="20"/>
          <w:color w:val="auto"/>
        </w:rPr>
      </w:pPr>
    </w:p>
    <w:tbl>
      <w:tblPr>
        <w:tblLayout w:type="fixed"/>
        <w:tblInd w:w="330" w:type="dxa"/>
        <w:tblCellMar>
          <w:top w:w="0" w:type="dxa"/>
          <w:left w:w="0" w:type="dxa"/>
          <w:bottom w:w="0" w:type="dxa"/>
          <w:right w:w="0" w:type="dxa"/>
        </w:tblCellMar>
      </w:tblPr>
      <w:tr>
        <w:trPr>
          <w:trHeight w:val="224"/>
        </w:trPr>
        <w:tc>
          <w:tcPr>
            <w:tcW w:w="5660" w:type="dxa"/>
            <w:vAlign w:val="bottom"/>
            <w:tcBorders>
              <w:top w:val="single" w:sz="8" w:color="2360A6"/>
              <w:left w:val="single" w:sz="8" w:color="231F20"/>
              <w:right w:val="single" w:sz="8" w:color="231F20"/>
            </w:tcBorders>
          </w:tcPr>
          <w:p>
            <w:pPr>
              <w:spacing w:after="0"/>
              <w:rPr>
                <w:sz w:val="19"/>
                <w:szCs w:val="19"/>
                <w:color w:val="auto"/>
              </w:rPr>
            </w:pPr>
          </w:p>
        </w:tc>
        <w:tc>
          <w:tcPr>
            <w:tcW w:w="1720" w:type="dxa"/>
            <w:vAlign w:val="bottom"/>
            <w:tcBorders>
              <w:top w:val="single" w:sz="8" w:color="2360A6"/>
              <w:bottom w:val="single" w:sz="8" w:color="2360A6"/>
            </w:tcBorders>
          </w:tcPr>
          <w:p>
            <w:pPr>
              <w:spacing w:after="0"/>
              <w:rPr>
                <w:sz w:val="19"/>
                <w:szCs w:val="19"/>
                <w:color w:val="auto"/>
              </w:rPr>
            </w:pPr>
          </w:p>
        </w:tc>
        <w:tc>
          <w:tcPr>
            <w:tcW w:w="1480" w:type="dxa"/>
            <w:vAlign w:val="bottom"/>
            <w:tcBorders>
              <w:top w:val="single" w:sz="8" w:color="2360A6"/>
              <w:bottom w:val="single" w:sz="8" w:color="2360A6"/>
            </w:tcBorders>
          </w:tcPr>
          <w:p>
            <w:pPr>
              <w:jc w:val="right"/>
              <w:ind w:right="268"/>
              <w:spacing w:after="0"/>
              <w:rPr>
                <w:sz w:val="20"/>
                <w:szCs w:val="20"/>
                <w:color w:val="auto"/>
              </w:rPr>
            </w:pPr>
            <w:r>
              <w:rPr>
                <w:rFonts w:ascii="Arial" w:cs="Arial" w:eastAsia="Arial" w:hAnsi="Arial"/>
                <w:sz w:val="14"/>
                <w:szCs w:val="14"/>
                <w:b w:val="1"/>
                <w:bCs w:val="1"/>
                <w:color w:val="2360A6"/>
              </w:rPr>
              <w:t>12 months</w:t>
            </w:r>
          </w:p>
        </w:tc>
        <w:tc>
          <w:tcPr>
            <w:tcW w:w="1800" w:type="dxa"/>
            <w:vAlign w:val="bottom"/>
            <w:tcBorders>
              <w:top w:val="single" w:sz="8" w:color="2360A6"/>
              <w:bottom w:val="single" w:sz="8" w:color="2360A6"/>
              <w:right w:val="single" w:sz="8" w:color="231F20"/>
            </w:tcBorders>
          </w:tcPr>
          <w:p>
            <w:pPr>
              <w:spacing w:after="0"/>
              <w:rPr>
                <w:sz w:val="19"/>
                <w:szCs w:val="19"/>
                <w:color w:val="auto"/>
              </w:rPr>
            </w:pP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720" w:type="dxa"/>
            <w:vAlign w:val="bottom"/>
            <w:tcBorders>
              <w:bottom w:val="single" w:sz="8" w:color="2360A6"/>
              <w:right w:val="single" w:sz="8" w:color="231F20"/>
            </w:tcBorders>
            <w:shd w:val="clear" w:color="auto" w:fill="2360A6"/>
          </w:tcPr>
          <w:p>
            <w:pPr>
              <w:jc w:val="right"/>
              <w:ind w:right="308"/>
              <w:spacing w:after="0"/>
              <w:rPr>
                <w:sz w:val="20"/>
                <w:szCs w:val="20"/>
                <w:color w:val="auto"/>
              </w:rPr>
            </w:pPr>
            <w:r>
              <w:rPr>
                <w:rFonts w:ascii="Arial" w:cs="Arial" w:eastAsia="Arial" w:hAnsi="Arial"/>
                <w:sz w:val="14"/>
                <w:szCs w:val="14"/>
                <w:b w:val="1"/>
                <w:bCs w:val="1"/>
                <w:color w:val="FFFFFF"/>
              </w:rPr>
              <w:t>2016 Adjusted</w:t>
            </w:r>
          </w:p>
        </w:tc>
        <w:tc>
          <w:tcPr>
            <w:tcW w:w="1480" w:type="dxa"/>
            <w:vAlign w:val="bottom"/>
            <w:tcBorders>
              <w:bottom w:val="single" w:sz="8" w:color="2360A6"/>
              <w:right w:val="single" w:sz="8" w:color="231F20"/>
            </w:tcBorders>
          </w:tcPr>
          <w:p>
            <w:pPr>
              <w:jc w:val="right"/>
              <w:ind w:right="248"/>
              <w:spacing w:after="0"/>
              <w:rPr>
                <w:sz w:val="20"/>
                <w:szCs w:val="20"/>
                <w:color w:val="auto"/>
              </w:rPr>
            </w:pPr>
            <w:r>
              <w:rPr>
                <w:rFonts w:ascii="Arial" w:cs="Arial" w:eastAsia="Arial" w:hAnsi="Arial"/>
                <w:sz w:val="14"/>
                <w:szCs w:val="14"/>
                <w:b w:val="1"/>
                <w:bCs w:val="1"/>
                <w:color w:val="2360A6"/>
              </w:rPr>
              <w:t>Adjustments</w:t>
            </w:r>
          </w:p>
        </w:tc>
        <w:tc>
          <w:tcPr>
            <w:tcW w:w="1800" w:type="dxa"/>
            <w:vAlign w:val="bottom"/>
            <w:tcBorders>
              <w:bottom w:val="single" w:sz="8" w:color="2360A6"/>
              <w:right w:val="single" w:sz="8" w:color="231F20"/>
            </w:tcBorders>
            <w:shd w:val="clear" w:color="auto" w:fill="2360A6"/>
          </w:tcPr>
          <w:p>
            <w:pPr>
              <w:jc w:val="right"/>
              <w:ind w:right="208"/>
              <w:spacing w:after="0"/>
              <w:rPr>
                <w:sz w:val="20"/>
                <w:szCs w:val="20"/>
                <w:color w:val="auto"/>
              </w:rPr>
            </w:pPr>
            <w:r>
              <w:rPr>
                <w:rFonts w:ascii="Arial" w:cs="Arial" w:eastAsia="Arial" w:hAnsi="Arial"/>
                <w:sz w:val="14"/>
                <w:szCs w:val="14"/>
                <w:b w:val="1"/>
                <w:bCs w:val="1"/>
                <w:color w:val="FFFFFF"/>
              </w:rPr>
              <w:t>2016 Consolidated</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Revenues</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auto"/>
              </w:rPr>
              <w:t>11,050.6</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auto"/>
              </w:rPr>
              <w:t>(2,737.2)</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auto"/>
              </w:rPr>
              <w:t>8,313.4</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Cost of Sales</w:t>
            </w:r>
          </w:p>
        </w:tc>
        <w:tc>
          <w:tcPr>
            <w:tcW w:w="172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(9,512.8)</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2,617.6</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(6,895.2)</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Gross Margin</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auto"/>
              </w:rPr>
              <w:t>1,537.8</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auto"/>
              </w:rPr>
              <w:t>(119.6)</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auto"/>
              </w:rPr>
              <w:t>1,418.2</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Research and Development Costs</w:t>
            </w:r>
          </w:p>
        </w:tc>
        <w:tc>
          <w:tcPr>
            <w:tcW w:w="172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(95.3)</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(95.3)</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Selling Costs</w:t>
            </w:r>
          </w:p>
        </w:tc>
        <w:tc>
          <w:tcPr>
            <w:tcW w:w="172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(211.9)</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(211.9)</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Administrative Costs</w:t>
            </w:r>
          </w:p>
        </w:tc>
        <w:tc>
          <w:tcPr>
            <w:tcW w:w="172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(305.2)</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0.2</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(305.0)</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Other Operating Income</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auto"/>
              </w:rPr>
              <w:t>18.5</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(0.2)</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18.3</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Other Operating Expenses</w:t>
            </w:r>
          </w:p>
        </w:tc>
        <w:tc>
          <w:tcPr>
            <w:tcW w:w="172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(33.7)</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0.1</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(33.6)</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Operating Income/(Loss) from Recurring Activities</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auto"/>
              </w:rPr>
              <w:t>910.2</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auto"/>
              </w:rPr>
              <w:t>(119.5)</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auto"/>
              </w:rPr>
              <w:t>790.7</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Share of Income/(Loss) of Equity Affiliates</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auto"/>
              </w:rPr>
              <w:t>24.0</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78.1</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102.1</w:t>
            </w:r>
          </w:p>
        </w:tc>
      </w:tr>
      <w:tr>
        <w:trPr>
          <w:trHeight w:val="175"/>
        </w:trPr>
        <w:tc>
          <w:tcPr>
            <w:tcW w:w="566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Operating Income from Recurring Activities after Income/(Loss) of Equity</w:t>
            </w:r>
          </w:p>
        </w:tc>
        <w:tc>
          <w:tcPr>
            <w:tcW w:w="1720" w:type="dxa"/>
            <w:vAlign w:val="bottom"/>
            <w:tcBorders>
              <w:right w:val="single" w:sz="8" w:color="231F20"/>
            </w:tcBorders>
            <w:shd w:val="clear" w:color="auto" w:fill="EDEDEE"/>
          </w:tcPr>
          <w:p>
            <w:pPr>
              <w:spacing w:after="0"/>
              <w:rPr>
                <w:sz w:val="15"/>
                <w:szCs w:val="15"/>
                <w:color w:val="auto"/>
              </w:rPr>
            </w:pPr>
          </w:p>
        </w:tc>
        <w:tc>
          <w:tcPr>
            <w:tcW w:w="1480" w:type="dxa"/>
            <w:vAlign w:val="bottom"/>
            <w:tcBorders>
              <w:right w:val="single" w:sz="8" w:color="231F20"/>
            </w:tcBorders>
          </w:tcPr>
          <w:p>
            <w:pPr>
              <w:spacing w:after="0"/>
              <w:rPr>
                <w:sz w:val="15"/>
                <w:szCs w:val="15"/>
                <w:color w:val="auto"/>
              </w:rPr>
            </w:pPr>
          </w:p>
        </w:tc>
        <w:tc>
          <w:tcPr>
            <w:tcW w:w="1800" w:type="dxa"/>
            <w:vAlign w:val="bottom"/>
            <w:tcBorders>
              <w:right w:val="single" w:sz="8" w:color="231F20"/>
            </w:tcBorders>
            <w:shd w:val="clear" w:color="auto" w:fill="EDEDEE"/>
          </w:tcPr>
          <w:p>
            <w:pPr>
              <w:spacing w:after="0"/>
              <w:rPr>
                <w:sz w:val="15"/>
                <w:szCs w:val="15"/>
                <w:color w:val="auto"/>
              </w:rPr>
            </w:pPr>
          </w:p>
        </w:tc>
      </w:tr>
      <w:tr>
        <w:trPr>
          <w:trHeight w:val="196"/>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Affiliates</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auto"/>
              </w:rPr>
              <w:t>934.2</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auto"/>
              </w:rPr>
              <w:t>(41.4)</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auto"/>
              </w:rPr>
              <w:t>892.8</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Income/(Charges) from Disposals of Activities</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Income/(Charges) from Non-Current Activities</w:t>
            </w:r>
          </w:p>
        </w:tc>
        <w:tc>
          <w:tcPr>
            <w:tcW w:w="172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(441.0)</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(441.0)</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Operating Income/(Loss)</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auto"/>
              </w:rPr>
              <w:t>493.2</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auto"/>
              </w:rPr>
              <w:t>(41.4)</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auto"/>
              </w:rPr>
              <w:t>451.8</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Financial Income</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auto"/>
              </w:rPr>
              <w:t>659.9</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0.3</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660.2</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Financial Expenses</w:t>
            </w:r>
          </w:p>
        </w:tc>
        <w:tc>
          <w:tcPr>
            <w:tcW w:w="172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(735.0)</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3.8</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(731.2)</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Income/(Loss) before Tax</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auto"/>
              </w:rPr>
              <w:t>418.1</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auto"/>
              </w:rPr>
              <w:t>(37.3)</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auto"/>
              </w:rPr>
              <w:t>380.8</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Income Tax Expense</w:t>
            </w:r>
          </w:p>
        </w:tc>
        <w:tc>
          <w:tcPr>
            <w:tcW w:w="172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(168.0)</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37.3</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(130.7)</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Income/(Loss) from Continuing Operations</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0046AD"/>
              </w:rPr>
              <w:t>250.1</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0046AD"/>
              </w:rPr>
              <w:t>—</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0046AD"/>
              </w:rPr>
              <w:t>250.1</w:t>
            </w:r>
          </w:p>
        </w:tc>
      </w:tr>
      <w:tr>
        <w:trPr>
          <w:trHeight w:val="210"/>
        </w:trPr>
        <w:tc>
          <w:tcPr>
            <w:tcW w:w="566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INCOME/(LOSS) FOR THE YEAR</w:t>
            </w:r>
          </w:p>
        </w:tc>
        <w:tc>
          <w:tcPr>
            <w:tcW w:w="1720" w:type="dxa"/>
            <w:vAlign w:val="bottom"/>
            <w:tcBorders>
              <w:bottom w:val="single" w:sz="8" w:color="2360A6"/>
              <w:right w:val="single" w:sz="8" w:color="231F20"/>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0046AD"/>
              </w:rPr>
              <w:t>250.1</w:t>
            </w:r>
          </w:p>
        </w:tc>
        <w:tc>
          <w:tcPr>
            <w:tcW w:w="148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0046AD"/>
              </w:rPr>
              <w:t>—</w:t>
            </w:r>
          </w:p>
        </w:tc>
        <w:tc>
          <w:tcPr>
            <w:tcW w:w="180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0046AD"/>
              </w:rPr>
              <w:t>250.1</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Attributable to:</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auto"/>
              </w:rPr>
              <w:t>—</w:t>
            </w:r>
          </w:p>
        </w:tc>
      </w:tr>
      <w:tr>
        <w:trPr>
          <w:trHeight w:val="210"/>
        </w:trPr>
        <w:tc>
          <w:tcPr>
            <w:tcW w:w="5660" w:type="dxa"/>
            <w:vAlign w:val="bottom"/>
            <w:tcBorders>
              <w:left w:val="single" w:sz="8" w:color="231F20"/>
              <w:bottom w:val="single" w:sz="8" w:color="2360A6"/>
              <w:right w:val="single" w:sz="8" w:color="231F20"/>
            </w:tcBorders>
          </w:tcPr>
          <w:p>
            <w:pPr>
              <w:ind w:left="160"/>
              <w:spacing w:after="0"/>
              <w:rPr>
                <w:sz w:val="20"/>
                <w:szCs w:val="20"/>
                <w:color w:val="auto"/>
              </w:rPr>
            </w:pPr>
            <w:r>
              <w:rPr>
                <w:rFonts w:ascii="Arial" w:cs="Arial" w:eastAsia="Arial" w:hAnsi="Arial"/>
                <w:sz w:val="14"/>
                <w:szCs w:val="14"/>
                <w:color w:val="231F20"/>
              </w:rPr>
              <w:t>Shareholders of the Parent Company</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auto"/>
              </w:rPr>
              <w:t>281.3</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281.3</w:t>
            </w:r>
          </w:p>
        </w:tc>
      </w:tr>
      <w:tr>
        <w:trPr>
          <w:trHeight w:val="210"/>
        </w:trPr>
        <w:tc>
          <w:tcPr>
            <w:tcW w:w="5660" w:type="dxa"/>
            <w:vAlign w:val="bottom"/>
            <w:tcBorders>
              <w:left w:val="single" w:sz="8" w:color="231F20"/>
              <w:bottom w:val="single" w:sz="8" w:color="2360A6"/>
              <w:right w:val="single" w:sz="8" w:color="231F20"/>
            </w:tcBorders>
          </w:tcPr>
          <w:p>
            <w:pPr>
              <w:ind w:left="160"/>
              <w:spacing w:after="0"/>
              <w:rPr>
                <w:sz w:val="20"/>
                <w:szCs w:val="20"/>
                <w:color w:val="auto"/>
              </w:rPr>
            </w:pPr>
            <w:r>
              <w:rPr>
                <w:rFonts w:ascii="Arial" w:cs="Arial" w:eastAsia="Arial" w:hAnsi="Arial"/>
                <w:sz w:val="14"/>
                <w:szCs w:val="14"/>
                <w:color w:val="231F20"/>
              </w:rPr>
              <w:t>Non-Controlling Interests</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auto"/>
              </w:rPr>
              <w:t>(31.2)</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(31.2)</w:t>
            </w:r>
          </w:p>
        </w:tc>
      </w:tr>
      <w:tr>
        <w:trPr>
          <w:trHeight w:val="237"/>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 xml:space="preserve">Earnings per Share </w:t>
            </w:r>
            <w:r>
              <w:rPr>
                <w:rFonts w:ascii="Arial" w:cs="Arial" w:eastAsia="Arial" w:hAnsi="Arial"/>
                <w:sz w:val="14"/>
                <w:szCs w:val="14"/>
                <w:i w:val="1"/>
                <w:iCs w:val="1"/>
                <w:color w:val="231F20"/>
              </w:rPr>
              <w:t>(in Euro)</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auto"/>
              </w:rPr>
              <w:t>2.36</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2.36</w:t>
            </w:r>
          </w:p>
        </w:tc>
      </w:tr>
      <w:tr>
        <w:trPr>
          <w:trHeight w:val="237"/>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 xml:space="preserve">Diluted Earnings per Share </w:t>
            </w:r>
            <w:r>
              <w:rPr>
                <w:rFonts w:ascii="Arial" w:cs="Arial" w:eastAsia="Arial" w:hAnsi="Arial"/>
                <w:sz w:val="14"/>
                <w:szCs w:val="14"/>
                <w:i w:val="1"/>
                <w:iCs w:val="1"/>
                <w:color w:val="231F20"/>
              </w:rPr>
              <w:t>(in Euro)</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auto"/>
              </w:rPr>
              <w:t>2.34</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2360A6"/>
              <w:right w:val="single" w:sz="8" w:color="231F20"/>
            </w:tcBorders>
            <w:shd w:val="clear" w:color="auto" w:fill="EDEDEE"/>
          </w:tcPr>
          <w:p>
            <w:pPr>
              <w:jc w:val="right"/>
              <w:ind w:right="48"/>
              <w:spacing w:after="0"/>
              <w:rPr>
                <w:sz w:val="20"/>
                <w:szCs w:val="20"/>
                <w:color w:val="auto"/>
              </w:rPr>
            </w:pPr>
            <w:r>
              <w:rPr>
                <w:rFonts w:ascii="Arial" w:cs="Arial" w:eastAsia="Arial" w:hAnsi="Arial"/>
                <w:sz w:val="14"/>
                <w:szCs w:val="14"/>
                <w:color w:val="auto"/>
              </w:rPr>
              <w:t>2.34</w:t>
            </w:r>
          </w:p>
        </w:tc>
      </w:tr>
    </w:tbl>
    <w:p>
      <w:pPr>
        <w:spacing w:after="0" w:line="6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The reconciliation of the net income attributable to shareholders of the Parent Company to the underlying net income, which corresponds to the net income attributable to shareholders of the Parent Company excluding exceptional items, is as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71755</wp:posOffset>
            </wp:positionV>
            <wp:extent cx="6766560" cy="11747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66560" cy="1174750"/>
                    </a:xfrm>
                    <a:prstGeom prst="rect">
                      <a:avLst/>
                    </a:prstGeom>
                    <a:noFill/>
                  </pic:spPr>
                </pic:pic>
              </a:graphicData>
            </a:graphic>
          </wp:anchor>
        </w:drawing>
      </w:r>
    </w:p>
    <w:p>
      <w:pPr>
        <w:spacing w:after="0" w:line="73"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9060" w:type="dxa"/>
            <w:vAlign w:val="bottom"/>
            <w:tcBorders>
              <w:top w:val="single" w:sz="8" w:color="2360A6"/>
              <w:right w:val="single" w:sz="8" w:color="2360A6"/>
            </w:tcBorders>
          </w:tcPr>
          <w:p>
            <w:pPr>
              <w:spacing w:after="0"/>
              <w:rPr>
                <w:sz w:val="19"/>
                <w:szCs w:val="19"/>
                <w:color w:val="auto"/>
              </w:rPr>
            </w:pPr>
          </w:p>
        </w:tc>
        <w:tc>
          <w:tcPr>
            <w:tcW w:w="1580" w:type="dxa"/>
            <w:vAlign w:val="bottom"/>
            <w:tcBorders>
              <w:top w:val="single" w:sz="8" w:color="2360A6"/>
              <w:bottom w:val="single" w:sz="8" w:color="2360A6"/>
            </w:tcBorders>
          </w:tcPr>
          <w:p>
            <w:pPr>
              <w:jc w:val="right"/>
              <w:ind w:right="368"/>
              <w:spacing w:after="0"/>
              <w:rPr>
                <w:sz w:val="20"/>
                <w:szCs w:val="20"/>
                <w:color w:val="auto"/>
              </w:rPr>
            </w:pPr>
            <w:r>
              <w:rPr>
                <w:rFonts w:ascii="Arial" w:cs="Arial" w:eastAsia="Arial" w:hAnsi="Arial"/>
                <w:sz w:val="14"/>
                <w:szCs w:val="14"/>
                <w:b w:val="1"/>
                <w:bCs w:val="1"/>
                <w:color w:val="2360A6"/>
              </w:rPr>
              <w:t>12 months</w:t>
            </w:r>
          </w:p>
        </w:tc>
        <w:tc>
          <w:tcPr>
            <w:tcW w:w="20" w:type="dxa"/>
            <w:vAlign w:val="bottom"/>
            <w:tcBorders>
              <w:top w:val="single" w:sz="8" w:color="2360A6"/>
              <w:bottom w:val="single" w:sz="8" w:color="2360A6"/>
            </w:tcBorders>
          </w:tcPr>
          <w:p>
            <w:pPr>
              <w:spacing w:after="0"/>
              <w:rPr>
                <w:sz w:val="19"/>
                <w:szCs w:val="19"/>
                <w:color w:val="auto"/>
              </w:rPr>
            </w:pPr>
          </w:p>
        </w:tc>
      </w:tr>
      <w:tr>
        <w:trPr>
          <w:trHeight w:val="210"/>
        </w:trPr>
        <w:tc>
          <w:tcPr>
            <w:tcW w:w="9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580" w:type="dxa"/>
            <w:vAlign w:val="bottom"/>
            <w:tcBorders>
              <w:bottom w:val="single" w:sz="8" w:color="2360A6"/>
            </w:tcBorders>
            <w:shd w:val="clear" w:color="auto" w:fill="2360A6"/>
          </w:tcPr>
          <w:p>
            <w:pPr>
              <w:jc w:val="right"/>
              <w:ind w:right="228"/>
              <w:spacing w:after="0"/>
              <w:rPr>
                <w:sz w:val="20"/>
                <w:szCs w:val="20"/>
                <w:color w:val="auto"/>
              </w:rPr>
            </w:pPr>
            <w:r>
              <w:rPr>
                <w:rFonts w:ascii="Arial" w:cs="Arial" w:eastAsia="Arial" w:hAnsi="Arial"/>
                <w:sz w:val="14"/>
                <w:szCs w:val="14"/>
                <w:b w:val="1"/>
                <w:bCs w:val="1"/>
                <w:color w:val="FFFFFF"/>
              </w:rPr>
              <w:t>2016 Adjusted</w:t>
            </w:r>
          </w:p>
        </w:tc>
        <w:tc>
          <w:tcPr>
            <w:tcW w:w="20" w:type="dxa"/>
            <w:vAlign w:val="bottom"/>
            <w:tcBorders>
              <w:bottom w:val="single" w:sz="8" w:color="2360A6"/>
            </w:tcBorders>
          </w:tcPr>
          <w:p>
            <w:pPr>
              <w:spacing w:after="0"/>
              <w:rPr>
                <w:sz w:val="18"/>
                <w:szCs w:val="18"/>
                <w:color w:val="auto"/>
              </w:rPr>
            </w:pPr>
          </w:p>
        </w:tc>
      </w:tr>
      <w:tr>
        <w:trPr>
          <w:trHeight w:val="210"/>
        </w:trPr>
        <w:tc>
          <w:tcPr>
            <w:tcW w:w="9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Income/(Loss) for the Year Attributable to Shareholders of the Parent Company</w:t>
            </w:r>
          </w:p>
        </w:tc>
        <w:tc>
          <w:tcPr>
            <w:tcW w:w="1580" w:type="dxa"/>
            <w:vAlign w:val="bottom"/>
            <w:tcBorders>
              <w:bottom w:val="single" w:sz="8" w:color="2360A6"/>
            </w:tcBorders>
            <w:shd w:val="clear" w:color="auto" w:fill="EDEDEE"/>
          </w:tcPr>
          <w:p>
            <w:pPr>
              <w:jc w:val="right"/>
              <w:ind w:right="28"/>
              <w:spacing w:after="0"/>
              <w:rPr>
                <w:sz w:val="20"/>
                <w:szCs w:val="20"/>
                <w:color w:val="auto"/>
              </w:rPr>
            </w:pPr>
            <w:r>
              <w:rPr>
                <w:rFonts w:ascii="Arial" w:cs="Arial" w:eastAsia="Arial" w:hAnsi="Arial"/>
                <w:sz w:val="14"/>
                <w:szCs w:val="14"/>
                <w:b w:val="1"/>
                <w:bCs w:val="1"/>
                <w:color w:val="0046AD"/>
              </w:rPr>
              <w:t>281.3</w:t>
            </w:r>
          </w:p>
        </w:tc>
        <w:tc>
          <w:tcPr>
            <w:tcW w:w="20" w:type="dxa"/>
            <w:vAlign w:val="bottom"/>
            <w:tcBorders>
              <w:bottom w:val="single" w:sz="8" w:color="2360A6"/>
            </w:tcBorders>
          </w:tcPr>
          <w:p>
            <w:pPr>
              <w:spacing w:after="0"/>
              <w:rPr>
                <w:sz w:val="18"/>
                <w:szCs w:val="18"/>
                <w:color w:val="auto"/>
              </w:rPr>
            </w:pPr>
          </w:p>
        </w:tc>
      </w:tr>
      <w:tr>
        <w:trPr>
          <w:trHeight w:val="237"/>
        </w:trPr>
        <w:tc>
          <w:tcPr>
            <w:tcW w:w="9060" w:type="dxa"/>
            <w:vAlign w:val="bottom"/>
            <w:tcBorders>
              <w:bottom w:val="single" w:sz="8" w:color="2360A6"/>
              <w:right w:val="single" w:sz="8" w:color="2360A6"/>
            </w:tcBorders>
          </w:tcPr>
          <w:p>
            <w:pPr>
              <w:ind w:left="100"/>
              <w:spacing w:after="0"/>
              <w:rPr>
                <w:sz w:val="20"/>
                <w:szCs w:val="20"/>
                <w:color w:val="auto"/>
              </w:rPr>
            </w:pPr>
            <w:r>
              <w:rPr>
                <w:rFonts w:ascii="Arial" w:cs="Arial" w:eastAsia="Arial" w:hAnsi="Arial"/>
                <w:sz w:val="14"/>
                <w:szCs w:val="14"/>
                <w:color w:val="231F20"/>
              </w:rPr>
              <w:t xml:space="preserve">One-off Charges </w:t>
            </w:r>
            <w:r>
              <w:rPr>
                <w:rFonts w:ascii="Arial" w:cs="Arial" w:eastAsia="Arial" w:hAnsi="Arial"/>
                <w:sz w:val="8"/>
                <w:szCs w:val="8"/>
                <w:color w:val="231F20"/>
              </w:rPr>
              <w:t>(</w:t>
            </w:r>
            <w:r>
              <w:rPr>
                <w:rFonts w:ascii="Arial" w:cs="Arial" w:eastAsia="Arial" w:hAnsi="Arial"/>
                <w:sz w:val="14"/>
                <w:szCs w:val="14"/>
                <w:color w:val="231F20"/>
              </w:rPr>
              <w:t>*</w:t>
            </w:r>
            <w:r>
              <w:rPr>
                <w:rFonts w:ascii="Arial" w:cs="Arial" w:eastAsia="Arial" w:hAnsi="Arial"/>
                <w:sz w:val="8"/>
                <w:szCs w:val="8"/>
                <w:color w:val="231F20"/>
              </w:rPr>
              <w:t>)</w:t>
            </w:r>
          </w:p>
        </w:tc>
        <w:tc>
          <w:tcPr>
            <w:tcW w:w="1580" w:type="dxa"/>
            <w:vAlign w:val="bottom"/>
            <w:tcBorders>
              <w:bottom w:val="single" w:sz="8" w:color="2360A6"/>
            </w:tcBorders>
          </w:tcPr>
          <w:p>
            <w:pPr>
              <w:jc w:val="right"/>
              <w:ind w:right="28"/>
              <w:spacing w:after="0"/>
              <w:rPr>
                <w:sz w:val="20"/>
                <w:szCs w:val="20"/>
                <w:color w:val="auto"/>
              </w:rPr>
            </w:pPr>
            <w:r>
              <w:rPr>
                <w:rFonts w:ascii="Arial" w:cs="Arial" w:eastAsia="Arial" w:hAnsi="Arial"/>
                <w:sz w:val="14"/>
                <w:szCs w:val="14"/>
                <w:color w:val="auto"/>
              </w:rPr>
              <w:t>441.0</w:t>
            </w:r>
          </w:p>
        </w:tc>
        <w:tc>
          <w:tcPr>
            <w:tcW w:w="20" w:type="dxa"/>
            <w:vAlign w:val="bottom"/>
            <w:tcBorders>
              <w:bottom w:val="single" w:sz="8" w:color="2360A6"/>
            </w:tcBorders>
          </w:tcPr>
          <w:p>
            <w:pPr>
              <w:spacing w:after="0"/>
              <w:rPr>
                <w:sz w:val="20"/>
                <w:szCs w:val="20"/>
                <w:color w:val="auto"/>
              </w:rPr>
            </w:pPr>
          </w:p>
        </w:tc>
      </w:tr>
      <w:tr>
        <w:trPr>
          <w:trHeight w:val="210"/>
        </w:trPr>
        <w:tc>
          <w:tcPr>
            <w:tcW w:w="9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Charges</w:t>
            </w:r>
          </w:p>
        </w:tc>
        <w:tc>
          <w:tcPr>
            <w:tcW w:w="1580" w:type="dxa"/>
            <w:vAlign w:val="bottom"/>
            <w:tcBorders>
              <w:bottom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2360A6"/>
            </w:tcBorders>
          </w:tcPr>
          <w:p>
            <w:pPr>
              <w:spacing w:after="0"/>
              <w:rPr>
                <w:sz w:val="18"/>
                <w:szCs w:val="18"/>
                <w:color w:val="auto"/>
              </w:rPr>
            </w:pPr>
          </w:p>
        </w:tc>
      </w:tr>
      <w:tr>
        <w:trPr>
          <w:trHeight w:val="210"/>
        </w:trPr>
        <w:tc>
          <w:tcPr>
            <w:tcW w:w="9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 Result and Tax effect</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auto"/>
              </w:rPr>
              <w:t>(85.0)</w:t>
            </w:r>
          </w:p>
        </w:tc>
        <w:tc>
          <w:tcPr>
            <w:tcW w:w="20" w:type="dxa"/>
            <w:vAlign w:val="bottom"/>
            <w:tcBorders>
              <w:bottom w:val="single" w:sz="8" w:color="2360A6"/>
            </w:tcBorders>
          </w:tcPr>
          <w:p>
            <w:pPr>
              <w:spacing w:after="0"/>
              <w:rPr>
                <w:sz w:val="18"/>
                <w:szCs w:val="18"/>
                <w:color w:val="auto"/>
              </w:rPr>
            </w:pPr>
          </w:p>
        </w:tc>
      </w:tr>
      <w:tr>
        <w:trPr>
          <w:trHeight w:val="210"/>
        </w:trPr>
        <w:tc>
          <w:tcPr>
            <w:tcW w:w="9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Underlying Net Income/(Loss) for the Year</w:t>
            </w:r>
          </w:p>
        </w:tc>
        <w:tc>
          <w:tcPr>
            <w:tcW w:w="1580" w:type="dxa"/>
            <w:vAlign w:val="bottom"/>
            <w:tcBorders>
              <w:bottom w:val="single" w:sz="8" w:color="2360A6"/>
            </w:tcBorders>
          </w:tcPr>
          <w:p>
            <w:pPr>
              <w:jc w:val="right"/>
              <w:ind w:right="28"/>
              <w:spacing w:after="0"/>
              <w:rPr>
                <w:sz w:val="20"/>
                <w:szCs w:val="20"/>
                <w:color w:val="auto"/>
              </w:rPr>
            </w:pPr>
            <w:r>
              <w:rPr>
                <w:rFonts w:ascii="Arial" w:cs="Arial" w:eastAsia="Arial" w:hAnsi="Arial"/>
                <w:sz w:val="14"/>
                <w:szCs w:val="14"/>
                <w:b w:val="1"/>
                <w:bCs w:val="1"/>
                <w:color w:val="0046AD"/>
              </w:rPr>
              <w:t>637.3</w:t>
            </w:r>
          </w:p>
        </w:tc>
        <w:tc>
          <w:tcPr>
            <w:tcW w:w="20" w:type="dxa"/>
            <w:vAlign w:val="bottom"/>
            <w:tcBorders>
              <w:bottom w:val="single" w:sz="8" w:color="2360A6"/>
            </w:tcBorders>
          </w:tcPr>
          <w:p>
            <w:pPr>
              <w:spacing w:after="0"/>
              <w:rPr>
                <w:sz w:val="18"/>
                <w:szCs w:val="18"/>
                <w:color w:val="auto"/>
              </w:rPr>
            </w:pPr>
          </w:p>
        </w:tc>
      </w:tr>
    </w:tbl>
    <w:p>
      <w:pPr>
        <w:spacing w:after="0" w:line="21" w:lineRule="exact"/>
        <w:rPr>
          <w:sz w:val="20"/>
          <w:szCs w:val="20"/>
          <w:color w:val="auto"/>
        </w:rPr>
      </w:pPr>
    </w:p>
    <w:p>
      <w:pPr>
        <w:ind w:left="420"/>
        <w:spacing w:after="0"/>
        <w:rPr>
          <w:sz w:val="20"/>
          <w:szCs w:val="20"/>
          <w:color w:val="auto"/>
        </w:rPr>
      </w:pPr>
      <w:r>
        <w:rPr>
          <w:rFonts w:ascii="Arial" w:cs="Arial" w:eastAsia="Arial" w:hAnsi="Arial"/>
          <w:sz w:val="13"/>
          <w:szCs w:val="13"/>
          <w:color w:val="231F20"/>
        </w:rPr>
        <w:t>(*) See Note 4(h) - Income/(Charges) from Non-Current Activities.</w:t>
      </w:r>
    </w:p>
    <w:p>
      <w:pPr>
        <w:sectPr>
          <w:pgSz w:w="11900" w:h="16838" w:orient="portrait"/>
          <w:cols w:equalWidth="0" w:num="1">
            <w:col w:w="11340"/>
          </w:cols>
          <w:pgMar w:left="320" w:top="676" w:right="239" w:bottom="1440" w:gutter="0" w:footer="0" w:header="0"/>
        </w:sectPr>
      </w:pPr>
    </w:p>
    <w:bookmarkStart w:id="102" w:name="page103"/>
    <w:bookmarkEnd w:id="102"/>
    <w:tbl>
      <w:tblPr>
        <w:tblLayout w:type="fixed"/>
        <w:tblInd w:w="330" w:type="dxa"/>
        <w:tblCellMar>
          <w:top w:w="0" w:type="dxa"/>
          <w:left w:w="0" w:type="dxa"/>
          <w:bottom w:w="0" w:type="dxa"/>
          <w:right w:w="0" w:type="dxa"/>
        </w:tblCellMar>
      </w:tblPr>
      <w:tr>
        <w:trPr>
          <w:trHeight w:val="224"/>
        </w:trPr>
        <w:tc>
          <w:tcPr>
            <w:tcW w:w="5660" w:type="dxa"/>
            <w:vAlign w:val="bottom"/>
            <w:tcBorders>
              <w:top w:val="single" w:sz="8" w:color="2360A6"/>
              <w:left w:val="single" w:sz="8" w:color="231F20"/>
              <w:right w:val="single" w:sz="8" w:color="231F20"/>
            </w:tcBorders>
          </w:tcPr>
          <w:p>
            <w:pPr>
              <w:spacing w:after="0"/>
              <w:rPr>
                <w:sz w:val="19"/>
                <w:szCs w:val="19"/>
                <w:color w:val="auto"/>
              </w:rPr>
            </w:pPr>
          </w:p>
        </w:tc>
        <w:tc>
          <w:tcPr>
            <w:tcW w:w="1720" w:type="dxa"/>
            <w:vAlign w:val="bottom"/>
            <w:tcBorders>
              <w:top w:val="single" w:sz="8" w:color="2360A6"/>
              <w:bottom w:val="single" w:sz="8" w:color="2360A6"/>
            </w:tcBorders>
          </w:tcPr>
          <w:p>
            <w:pPr>
              <w:spacing w:after="0"/>
              <w:rPr>
                <w:sz w:val="19"/>
                <w:szCs w:val="19"/>
                <w:color w:val="auto"/>
              </w:rPr>
            </w:pPr>
          </w:p>
        </w:tc>
        <w:tc>
          <w:tcPr>
            <w:tcW w:w="1480" w:type="dxa"/>
            <w:vAlign w:val="bottom"/>
            <w:tcBorders>
              <w:top w:val="single" w:sz="8" w:color="2360A6"/>
              <w:bottom w:val="single" w:sz="8" w:color="2360A6"/>
            </w:tcBorders>
          </w:tcPr>
          <w:p>
            <w:pPr>
              <w:jc w:val="right"/>
              <w:ind w:right="268"/>
              <w:spacing w:after="0"/>
              <w:rPr>
                <w:sz w:val="20"/>
                <w:szCs w:val="20"/>
                <w:color w:val="auto"/>
              </w:rPr>
            </w:pPr>
            <w:r>
              <w:rPr>
                <w:rFonts w:ascii="Arial" w:cs="Arial" w:eastAsia="Arial" w:hAnsi="Arial"/>
                <w:sz w:val="14"/>
                <w:szCs w:val="14"/>
                <w:b w:val="1"/>
                <w:bCs w:val="1"/>
                <w:color w:val="2360A6"/>
              </w:rPr>
              <w:t>12 months</w:t>
            </w:r>
          </w:p>
        </w:tc>
        <w:tc>
          <w:tcPr>
            <w:tcW w:w="1800" w:type="dxa"/>
            <w:vAlign w:val="bottom"/>
            <w:tcBorders>
              <w:top w:val="single" w:sz="8" w:color="2360A6"/>
              <w:bottom w:val="single" w:sz="8" w:color="2360A6"/>
              <w:right w:val="single" w:sz="8" w:color="231F20"/>
            </w:tcBorders>
          </w:tcPr>
          <w:p>
            <w:pPr>
              <w:spacing w:after="0"/>
              <w:rPr>
                <w:sz w:val="19"/>
                <w:szCs w:val="19"/>
                <w:color w:val="auto"/>
              </w:rPr>
            </w:pP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720" w:type="dxa"/>
            <w:vAlign w:val="bottom"/>
            <w:tcBorders>
              <w:bottom w:val="single" w:sz="8" w:color="2360A6"/>
              <w:right w:val="single" w:sz="8" w:color="231F20"/>
            </w:tcBorders>
          </w:tcPr>
          <w:p>
            <w:pPr>
              <w:jc w:val="right"/>
              <w:ind w:right="308"/>
              <w:spacing w:after="0"/>
              <w:rPr>
                <w:sz w:val="20"/>
                <w:szCs w:val="20"/>
                <w:color w:val="auto"/>
              </w:rPr>
            </w:pPr>
            <w:r>
              <w:rPr>
                <w:rFonts w:ascii="Arial" w:cs="Arial" w:eastAsia="Arial" w:hAnsi="Arial"/>
                <w:sz w:val="14"/>
                <w:szCs w:val="14"/>
                <w:b w:val="1"/>
                <w:bCs w:val="1"/>
                <w:color w:val="2360A6"/>
              </w:rPr>
              <w:t>2015 Adjusted</w:t>
            </w:r>
          </w:p>
        </w:tc>
        <w:tc>
          <w:tcPr>
            <w:tcW w:w="1480" w:type="dxa"/>
            <w:vAlign w:val="bottom"/>
            <w:tcBorders>
              <w:bottom w:val="single" w:sz="8" w:color="2360A6"/>
              <w:right w:val="single" w:sz="8" w:color="231F20"/>
            </w:tcBorders>
          </w:tcPr>
          <w:p>
            <w:pPr>
              <w:jc w:val="right"/>
              <w:ind w:right="248"/>
              <w:spacing w:after="0"/>
              <w:rPr>
                <w:sz w:val="20"/>
                <w:szCs w:val="20"/>
                <w:color w:val="auto"/>
              </w:rPr>
            </w:pPr>
            <w:r>
              <w:rPr>
                <w:rFonts w:ascii="Arial" w:cs="Arial" w:eastAsia="Arial" w:hAnsi="Arial"/>
                <w:sz w:val="14"/>
                <w:szCs w:val="14"/>
                <w:b w:val="1"/>
                <w:bCs w:val="1"/>
                <w:color w:val="2360A6"/>
              </w:rPr>
              <w:t>Adjustments</w:t>
            </w:r>
          </w:p>
        </w:tc>
        <w:tc>
          <w:tcPr>
            <w:tcW w:w="1800" w:type="dxa"/>
            <w:vAlign w:val="bottom"/>
            <w:tcBorders>
              <w:bottom w:val="single" w:sz="8" w:color="2360A6"/>
              <w:right w:val="single" w:sz="8" w:color="231F20"/>
            </w:tcBorders>
          </w:tcPr>
          <w:p>
            <w:pPr>
              <w:jc w:val="right"/>
              <w:ind w:right="208"/>
              <w:spacing w:after="0"/>
              <w:rPr>
                <w:sz w:val="20"/>
                <w:szCs w:val="20"/>
                <w:color w:val="auto"/>
              </w:rPr>
            </w:pPr>
            <w:r>
              <w:rPr>
                <w:rFonts w:ascii="Arial" w:cs="Arial" w:eastAsia="Arial" w:hAnsi="Arial"/>
                <w:sz w:val="14"/>
                <w:szCs w:val="14"/>
                <w:b w:val="1"/>
                <w:bCs w:val="1"/>
                <w:color w:val="2360A6"/>
              </w:rPr>
              <w:t>2015 Consolidated</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Revenues</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b w:val="1"/>
                <w:bCs w:val="1"/>
                <w:color w:val="231F20"/>
              </w:rPr>
              <w:t>12,208.7</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1F20"/>
              </w:rPr>
              <w:t>(1,870.8)</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1F20"/>
              </w:rPr>
              <w:t>10,337.9</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Cost of Sales</w:t>
            </w:r>
          </w:p>
        </w:tc>
        <w:tc>
          <w:tcPr>
            <w:tcW w:w="172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(10,727.0)</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1,834.8</w:t>
            </w:r>
          </w:p>
        </w:tc>
        <w:tc>
          <w:tcPr>
            <w:tcW w:w="18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(8,892.2)</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Gross Margin</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b w:val="1"/>
                <w:bCs w:val="1"/>
                <w:color w:val="231F20"/>
              </w:rPr>
              <w:t>1,481.7</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1F20"/>
              </w:rPr>
              <w:t>(36.0)</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1F20"/>
              </w:rPr>
              <w:t>1,445.7</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Research and Development Costs</w:t>
            </w:r>
          </w:p>
        </w:tc>
        <w:tc>
          <w:tcPr>
            <w:tcW w:w="172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(86.1)</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8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(86.1)</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Selling Costs</w:t>
            </w:r>
          </w:p>
        </w:tc>
        <w:tc>
          <w:tcPr>
            <w:tcW w:w="172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(214.5)</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8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(214.5)</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Administrative Costs</w:t>
            </w:r>
          </w:p>
        </w:tc>
        <w:tc>
          <w:tcPr>
            <w:tcW w:w="172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(404.0)</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0.1</w:t>
            </w:r>
          </w:p>
        </w:tc>
        <w:tc>
          <w:tcPr>
            <w:tcW w:w="18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(403.9)</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Other Operating Income</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231F20"/>
              </w:rPr>
              <w:t>20.6</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(0.3)</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20.3</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Other Operating Expenses</w:t>
            </w:r>
          </w:p>
        </w:tc>
        <w:tc>
          <w:tcPr>
            <w:tcW w:w="172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(15.5)</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8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(15.5)</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Operating Income/(Loss) from Recurring Activities</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b w:val="1"/>
                <w:bCs w:val="1"/>
                <w:color w:val="231F20"/>
              </w:rPr>
              <w:t>782.2</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1F20"/>
              </w:rPr>
              <w:t>(36.2)</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1F20"/>
              </w:rPr>
              <w:t>746.0</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Share of Income/(Loss) of Equity Affiliates</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231F20"/>
              </w:rPr>
              <w:t>20.2</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34.4</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54.6</w:t>
            </w:r>
          </w:p>
        </w:tc>
      </w:tr>
      <w:tr>
        <w:trPr>
          <w:trHeight w:val="175"/>
        </w:trPr>
        <w:tc>
          <w:tcPr>
            <w:tcW w:w="566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Operating Income from Recurring Activities after Income/(Loss) of Equity</w:t>
            </w:r>
          </w:p>
        </w:tc>
        <w:tc>
          <w:tcPr>
            <w:tcW w:w="1720" w:type="dxa"/>
            <w:vAlign w:val="bottom"/>
            <w:tcBorders>
              <w:right w:val="single" w:sz="8" w:color="231F20"/>
            </w:tcBorders>
          </w:tcPr>
          <w:p>
            <w:pPr>
              <w:spacing w:after="0"/>
              <w:rPr>
                <w:sz w:val="15"/>
                <w:szCs w:val="15"/>
                <w:color w:val="auto"/>
              </w:rPr>
            </w:pPr>
          </w:p>
        </w:tc>
        <w:tc>
          <w:tcPr>
            <w:tcW w:w="1480" w:type="dxa"/>
            <w:vAlign w:val="bottom"/>
            <w:tcBorders>
              <w:right w:val="single" w:sz="8" w:color="231F20"/>
            </w:tcBorders>
          </w:tcPr>
          <w:p>
            <w:pPr>
              <w:spacing w:after="0"/>
              <w:rPr>
                <w:sz w:val="15"/>
                <w:szCs w:val="15"/>
                <w:color w:val="auto"/>
              </w:rPr>
            </w:pPr>
          </w:p>
        </w:tc>
        <w:tc>
          <w:tcPr>
            <w:tcW w:w="1800" w:type="dxa"/>
            <w:vAlign w:val="bottom"/>
            <w:tcBorders>
              <w:right w:val="single" w:sz="8" w:color="231F20"/>
            </w:tcBorders>
          </w:tcPr>
          <w:p>
            <w:pPr>
              <w:spacing w:after="0"/>
              <w:rPr>
                <w:sz w:val="15"/>
                <w:szCs w:val="15"/>
                <w:color w:val="auto"/>
              </w:rPr>
            </w:pPr>
          </w:p>
        </w:tc>
      </w:tr>
      <w:tr>
        <w:trPr>
          <w:trHeight w:val="196"/>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Affiliates</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b w:val="1"/>
                <w:bCs w:val="1"/>
                <w:color w:val="231F20"/>
              </w:rPr>
              <w:t>802.4</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1F20"/>
              </w:rPr>
              <w:t>(1.8)</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1F20"/>
              </w:rPr>
              <w:t>800.6</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Income/(Charges) from Disposals of Activities</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Income/(Charges) from Non-Current Activities</w:t>
            </w:r>
          </w:p>
        </w:tc>
        <w:tc>
          <w:tcPr>
            <w:tcW w:w="172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(469.8)</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8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(469.8)</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Operating Income/(Loss)</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b w:val="1"/>
                <w:bCs w:val="1"/>
                <w:color w:val="231F20"/>
              </w:rPr>
              <w:t>332.6</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1F20"/>
              </w:rPr>
              <w:t>(1.8)</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1F20"/>
              </w:rPr>
              <w:t>330.8</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Financial Income</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231F20"/>
              </w:rPr>
              <w:t>631.7</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(6.2)</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625.5</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Financial Expenses</w:t>
            </w:r>
          </w:p>
        </w:tc>
        <w:tc>
          <w:tcPr>
            <w:tcW w:w="172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(789.1)</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6.0</w:t>
            </w:r>
          </w:p>
        </w:tc>
        <w:tc>
          <w:tcPr>
            <w:tcW w:w="18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(783.1)</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1F20"/>
              </w:rPr>
              <w:t>Income/(Loss) before Tax</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b w:val="1"/>
                <w:bCs w:val="1"/>
                <w:color w:val="231F20"/>
              </w:rPr>
              <w:t>175.2</w:t>
            </w:r>
          </w:p>
        </w:tc>
        <w:tc>
          <w:tcPr>
            <w:tcW w:w="14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1F20"/>
              </w:rPr>
              <w:t>(2.0)</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1F20"/>
              </w:rPr>
              <w:t>173.2</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Income Tax Expense</w:t>
            </w:r>
          </w:p>
        </w:tc>
        <w:tc>
          <w:tcPr>
            <w:tcW w:w="172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(119.0)</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2.0</w:t>
            </w:r>
          </w:p>
        </w:tc>
        <w:tc>
          <w:tcPr>
            <w:tcW w:w="1800" w:type="dxa"/>
            <w:vAlign w:val="bottom"/>
            <w:tcBorders>
              <w:bottom w:val="single" w:sz="8" w:color="2360A6"/>
              <w:right w:val="single" w:sz="8" w:color="231F20"/>
            </w:tcBorders>
          </w:tcPr>
          <w:p>
            <w:pPr>
              <w:jc w:val="right"/>
              <w:ind w:right="8"/>
              <w:spacing w:after="0"/>
              <w:rPr>
                <w:sz w:val="20"/>
                <w:szCs w:val="20"/>
                <w:color w:val="auto"/>
              </w:rPr>
            </w:pPr>
            <w:r>
              <w:rPr>
                <w:rFonts w:ascii="Arial" w:cs="Arial" w:eastAsia="Arial" w:hAnsi="Arial"/>
                <w:sz w:val="14"/>
                <w:szCs w:val="14"/>
                <w:color w:val="231F20"/>
              </w:rPr>
              <w:t>(117.0)</w:t>
            </w:r>
          </w:p>
        </w:tc>
      </w:tr>
      <w:tr>
        <w:trPr>
          <w:trHeight w:val="210"/>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Income/(Loss) from Continuing Operations</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b w:val="1"/>
                <w:bCs w:val="1"/>
                <w:color w:val="2360A6"/>
              </w:rPr>
              <w:t>56.2</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56.2</w:t>
            </w:r>
          </w:p>
        </w:tc>
      </w:tr>
      <w:tr>
        <w:trPr>
          <w:trHeight w:val="210"/>
        </w:trPr>
        <w:tc>
          <w:tcPr>
            <w:tcW w:w="566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INCOME/(LOSS) FOR THE YEAR</w:t>
            </w:r>
          </w:p>
        </w:tc>
        <w:tc>
          <w:tcPr>
            <w:tcW w:w="1720" w:type="dxa"/>
            <w:vAlign w:val="bottom"/>
            <w:tcBorders>
              <w:bottom w:val="single" w:sz="8" w:color="2360A6"/>
              <w:right w:val="single" w:sz="8" w:color="231F20"/>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56.2</w:t>
            </w:r>
          </w:p>
        </w:tc>
        <w:tc>
          <w:tcPr>
            <w:tcW w:w="148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w:t>
            </w:r>
          </w:p>
        </w:tc>
        <w:tc>
          <w:tcPr>
            <w:tcW w:w="180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56.2</w:t>
            </w:r>
          </w:p>
        </w:tc>
      </w:tr>
      <w:tr>
        <w:trPr>
          <w:trHeight w:val="264"/>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Attributable to:</w:t>
            </w:r>
          </w:p>
        </w:tc>
        <w:tc>
          <w:tcPr>
            <w:tcW w:w="1720" w:type="dxa"/>
            <w:vAlign w:val="bottom"/>
            <w:tcBorders>
              <w:bottom w:val="single" w:sz="8" w:color="2360A6"/>
              <w:right w:val="single" w:sz="8" w:color="231F20"/>
            </w:tcBorders>
          </w:tcPr>
          <w:p>
            <w:pPr>
              <w:spacing w:after="0"/>
              <w:rPr>
                <w:sz w:val="22"/>
                <w:szCs w:val="22"/>
                <w:color w:val="auto"/>
              </w:rPr>
            </w:pPr>
          </w:p>
        </w:tc>
        <w:tc>
          <w:tcPr>
            <w:tcW w:w="1480" w:type="dxa"/>
            <w:vAlign w:val="bottom"/>
            <w:tcBorders>
              <w:bottom w:val="single" w:sz="8" w:color="2360A6"/>
              <w:right w:val="single" w:sz="8" w:color="231F20"/>
            </w:tcBorders>
          </w:tcPr>
          <w:p>
            <w:pPr>
              <w:spacing w:after="0"/>
              <w:rPr>
                <w:sz w:val="22"/>
                <w:szCs w:val="22"/>
                <w:color w:val="auto"/>
              </w:rPr>
            </w:pPr>
          </w:p>
        </w:tc>
        <w:tc>
          <w:tcPr>
            <w:tcW w:w="1800" w:type="dxa"/>
            <w:vAlign w:val="bottom"/>
            <w:tcBorders>
              <w:bottom w:val="single" w:sz="8" w:color="2360A6"/>
              <w:right w:val="single" w:sz="8" w:color="231F20"/>
            </w:tcBorders>
          </w:tcPr>
          <w:p>
            <w:pPr>
              <w:spacing w:after="0"/>
              <w:rPr>
                <w:sz w:val="22"/>
                <w:szCs w:val="22"/>
                <w:color w:val="auto"/>
              </w:rPr>
            </w:pPr>
          </w:p>
        </w:tc>
      </w:tr>
      <w:tr>
        <w:trPr>
          <w:trHeight w:val="210"/>
        </w:trPr>
        <w:tc>
          <w:tcPr>
            <w:tcW w:w="5660" w:type="dxa"/>
            <w:vAlign w:val="bottom"/>
            <w:tcBorders>
              <w:left w:val="single" w:sz="8" w:color="231F20"/>
              <w:bottom w:val="single" w:sz="8" w:color="2360A6"/>
              <w:right w:val="single" w:sz="8" w:color="231F20"/>
            </w:tcBorders>
          </w:tcPr>
          <w:p>
            <w:pPr>
              <w:ind w:left="160"/>
              <w:spacing w:after="0"/>
              <w:rPr>
                <w:sz w:val="20"/>
                <w:szCs w:val="20"/>
                <w:color w:val="auto"/>
              </w:rPr>
            </w:pPr>
            <w:r>
              <w:rPr>
                <w:rFonts w:ascii="Arial" w:cs="Arial" w:eastAsia="Arial" w:hAnsi="Arial"/>
                <w:sz w:val="14"/>
                <w:szCs w:val="14"/>
                <w:color w:val="231F20"/>
              </w:rPr>
              <w:t>Shareholders of the Parent Company</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231F20"/>
              </w:rPr>
              <w:t>45.1</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45.1</w:t>
            </w:r>
          </w:p>
        </w:tc>
      </w:tr>
      <w:tr>
        <w:trPr>
          <w:trHeight w:val="210"/>
        </w:trPr>
        <w:tc>
          <w:tcPr>
            <w:tcW w:w="5660" w:type="dxa"/>
            <w:vAlign w:val="bottom"/>
            <w:tcBorders>
              <w:left w:val="single" w:sz="8" w:color="231F20"/>
              <w:bottom w:val="single" w:sz="8" w:color="2360A6"/>
              <w:right w:val="single" w:sz="8" w:color="231F20"/>
            </w:tcBorders>
          </w:tcPr>
          <w:p>
            <w:pPr>
              <w:ind w:left="160"/>
              <w:spacing w:after="0"/>
              <w:rPr>
                <w:sz w:val="20"/>
                <w:szCs w:val="20"/>
                <w:color w:val="auto"/>
              </w:rPr>
            </w:pPr>
            <w:r>
              <w:rPr>
                <w:rFonts w:ascii="Arial" w:cs="Arial" w:eastAsia="Arial" w:hAnsi="Arial"/>
                <w:sz w:val="14"/>
                <w:szCs w:val="14"/>
                <w:color w:val="231F20"/>
              </w:rPr>
              <w:t>Non-Controlling Interests</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231F20"/>
              </w:rPr>
              <w:t>11.1</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11.1</w:t>
            </w:r>
          </w:p>
        </w:tc>
      </w:tr>
      <w:tr>
        <w:trPr>
          <w:trHeight w:val="237"/>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 xml:space="preserve">Earnings per Share </w:t>
            </w:r>
            <w:r>
              <w:rPr>
                <w:rFonts w:ascii="Arial" w:cs="Arial" w:eastAsia="Arial" w:hAnsi="Arial"/>
                <w:sz w:val="14"/>
                <w:szCs w:val="14"/>
                <w:i w:val="1"/>
                <w:iCs w:val="1"/>
                <w:color w:val="231F20"/>
              </w:rPr>
              <w:t>(in Euro)</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231F20"/>
              </w:rPr>
              <w:t>0.39</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0.39</w:t>
            </w:r>
          </w:p>
        </w:tc>
      </w:tr>
      <w:tr>
        <w:trPr>
          <w:trHeight w:val="237"/>
        </w:trPr>
        <w:tc>
          <w:tcPr>
            <w:tcW w:w="56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 xml:space="preserve">Diluted Earnings per Share </w:t>
            </w:r>
            <w:r>
              <w:rPr>
                <w:rFonts w:ascii="Arial" w:cs="Arial" w:eastAsia="Arial" w:hAnsi="Arial"/>
                <w:sz w:val="14"/>
                <w:szCs w:val="14"/>
                <w:i w:val="1"/>
                <w:iCs w:val="1"/>
                <w:color w:val="231F20"/>
              </w:rPr>
              <w:t>(in Euro)</w:t>
            </w:r>
          </w:p>
        </w:tc>
        <w:tc>
          <w:tcPr>
            <w:tcW w:w="1720" w:type="dxa"/>
            <w:vAlign w:val="bottom"/>
            <w:tcBorders>
              <w:bottom w:val="single" w:sz="8" w:color="2360A6"/>
              <w:right w:val="single" w:sz="8" w:color="231F20"/>
            </w:tcBorders>
          </w:tcPr>
          <w:p>
            <w:pPr>
              <w:jc w:val="right"/>
              <w:ind w:right="68"/>
              <w:spacing w:after="0"/>
              <w:rPr>
                <w:sz w:val="20"/>
                <w:szCs w:val="20"/>
                <w:color w:val="auto"/>
              </w:rPr>
            </w:pPr>
            <w:r>
              <w:rPr>
                <w:rFonts w:ascii="Arial" w:cs="Arial" w:eastAsia="Arial" w:hAnsi="Arial"/>
                <w:sz w:val="14"/>
                <w:szCs w:val="14"/>
                <w:color w:val="231F20"/>
              </w:rPr>
              <w:t>0.39</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8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0.39</w:t>
            </w:r>
          </w:p>
        </w:tc>
      </w:tr>
    </w:tbl>
    <w:p>
      <w:pPr>
        <w:spacing w:after="0" w:line="69"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reconciliation of the net income attributable to shareholders of the Parent Company to the underlying net income, which corresponds to the net income attributable to shareholders of the Parent Company excluding exceptional items, is as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71755</wp:posOffset>
            </wp:positionV>
            <wp:extent cx="6766560" cy="1174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66560" cy="1174750"/>
                    </a:xfrm>
                    <a:prstGeom prst="rect">
                      <a:avLst/>
                    </a:prstGeom>
                    <a:noFill/>
                  </pic:spPr>
                </pic:pic>
              </a:graphicData>
            </a:graphic>
          </wp:anchor>
        </w:drawing>
      </w:r>
    </w:p>
    <w:p>
      <w:pPr>
        <w:spacing w:after="0" w:line="73"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9060" w:type="dxa"/>
            <w:vAlign w:val="bottom"/>
            <w:tcBorders>
              <w:top w:val="single" w:sz="8" w:color="2360A6"/>
              <w:right w:val="single" w:sz="8" w:color="2360A6"/>
            </w:tcBorders>
          </w:tcPr>
          <w:p>
            <w:pPr>
              <w:spacing w:after="0"/>
              <w:rPr>
                <w:sz w:val="19"/>
                <w:szCs w:val="19"/>
                <w:color w:val="auto"/>
              </w:rPr>
            </w:pPr>
          </w:p>
        </w:tc>
        <w:tc>
          <w:tcPr>
            <w:tcW w:w="1600" w:type="dxa"/>
            <w:vAlign w:val="bottom"/>
            <w:tcBorders>
              <w:top w:val="single" w:sz="8" w:color="2360A6"/>
              <w:bottom w:val="single" w:sz="8" w:color="2360A6"/>
            </w:tcBorders>
          </w:tcPr>
          <w:p>
            <w:pPr>
              <w:jc w:val="right"/>
              <w:ind w:right="388"/>
              <w:spacing w:after="0"/>
              <w:rPr>
                <w:sz w:val="20"/>
                <w:szCs w:val="20"/>
                <w:color w:val="auto"/>
              </w:rPr>
            </w:pPr>
            <w:r>
              <w:rPr>
                <w:rFonts w:ascii="Arial" w:cs="Arial" w:eastAsia="Arial" w:hAnsi="Arial"/>
                <w:sz w:val="14"/>
                <w:szCs w:val="14"/>
                <w:b w:val="1"/>
                <w:bCs w:val="1"/>
                <w:color w:val="2360A6"/>
              </w:rPr>
              <w:t>12 months</w:t>
            </w:r>
          </w:p>
        </w:tc>
      </w:tr>
      <w:tr>
        <w:trPr>
          <w:trHeight w:val="210"/>
        </w:trPr>
        <w:tc>
          <w:tcPr>
            <w:tcW w:w="9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600" w:type="dxa"/>
            <w:vAlign w:val="bottom"/>
            <w:tcBorders>
              <w:bottom w:val="single" w:sz="8" w:color="2360A6"/>
            </w:tcBorders>
          </w:tcPr>
          <w:p>
            <w:pPr>
              <w:jc w:val="right"/>
              <w:ind w:right="248"/>
              <w:spacing w:after="0"/>
              <w:rPr>
                <w:sz w:val="20"/>
                <w:szCs w:val="20"/>
                <w:color w:val="auto"/>
              </w:rPr>
            </w:pPr>
            <w:r>
              <w:rPr>
                <w:rFonts w:ascii="Arial" w:cs="Arial" w:eastAsia="Arial" w:hAnsi="Arial"/>
                <w:sz w:val="14"/>
                <w:szCs w:val="14"/>
                <w:b w:val="1"/>
                <w:bCs w:val="1"/>
                <w:color w:val="2360A6"/>
              </w:rPr>
              <w:t>2015 Adjusted</w:t>
            </w:r>
          </w:p>
        </w:tc>
      </w:tr>
      <w:tr>
        <w:trPr>
          <w:trHeight w:val="210"/>
        </w:trPr>
        <w:tc>
          <w:tcPr>
            <w:tcW w:w="9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Income/(Loss) for the Year Attributable to Shareholders of the Parent Company</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45.1</w:t>
            </w:r>
          </w:p>
        </w:tc>
      </w:tr>
      <w:tr>
        <w:trPr>
          <w:trHeight w:val="243"/>
        </w:trPr>
        <w:tc>
          <w:tcPr>
            <w:tcW w:w="9060" w:type="dxa"/>
            <w:vAlign w:val="bottom"/>
            <w:tcBorders>
              <w:bottom w:val="single" w:sz="8" w:color="2360A6"/>
              <w:right w:val="single" w:sz="8" w:color="2360A6"/>
            </w:tcBorders>
          </w:tcPr>
          <w:p>
            <w:pPr>
              <w:ind w:left="100"/>
              <w:spacing w:after="0"/>
              <w:rPr>
                <w:sz w:val="20"/>
                <w:szCs w:val="20"/>
                <w:color w:val="auto"/>
              </w:rPr>
            </w:pPr>
            <w:r>
              <w:rPr>
                <w:rFonts w:ascii="Arial" w:cs="Arial" w:eastAsia="Arial" w:hAnsi="Arial"/>
                <w:sz w:val="14"/>
                <w:szCs w:val="14"/>
                <w:color w:val="231F20"/>
              </w:rPr>
              <w:t xml:space="preserve">One-off Charges </w:t>
            </w:r>
            <w:r>
              <w:rPr>
                <w:rFonts w:ascii="Arial" w:cs="Arial" w:eastAsia="Arial" w:hAnsi="Arial"/>
                <w:sz w:val="17"/>
                <w:szCs w:val="17"/>
                <w:color w:val="231F20"/>
                <w:vertAlign w:val="superscript"/>
              </w:rPr>
              <w:t>(*)</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635.3</w:t>
            </w:r>
          </w:p>
        </w:tc>
      </w:tr>
      <w:tr>
        <w:trPr>
          <w:trHeight w:val="204"/>
        </w:trPr>
        <w:tc>
          <w:tcPr>
            <w:tcW w:w="9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Charges</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18.9</w:t>
            </w:r>
          </w:p>
        </w:tc>
      </w:tr>
      <w:tr>
        <w:trPr>
          <w:trHeight w:val="210"/>
        </w:trPr>
        <w:tc>
          <w:tcPr>
            <w:tcW w:w="9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 Result and Tax effect</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(112.5)</w:t>
            </w:r>
          </w:p>
        </w:tc>
      </w:tr>
      <w:tr>
        <w:trPr>
          <w:trHeight w:val="210"/>
        </w:trPr>
        <w:tc>
          <w:tcPr>
            <w:tcW w:w="90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Underlying Net Income/(Loss) for the Year</w:t>
            </w:r>
          </w:p>
        </w:tc>
        <w:tc>
          <w:tcPr>
            <w:tcW w:w="160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586.8</w:t>
            </w:r>
          </w:p>
        </w:tc>
      </w:tr>
    </w:tbl>
    <w:p>
      <w:pPr>
        <w:spacing w:after="0" w:line="21"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 Corresponding to the total amount of charges relating to the restructuring plan announced on July 6, 2015.</w:t>
      </w:r>
    </w:p>
    <w:p>
      <w:pPr>
        <w:sectPr>
          <w:pgSz w:w="11900" w:h="16838" w:orient="portrait"/>
          <w:cols w:equalWidth="0" w:num="1">
            <w:col w:w="11320"/>
          </w:cols>
          <w:pgMar w:left="320" w:top="930" w:right="259" w:bottom="1440" w:gutter="0" w:footer="0" w:header="0"/>
        </w:sectPr>
      </w:pPr>
    </w:p>
    <w:bookmarkStart w:id="103" w:name="page104"/>
    <w:bookmarkEnd w:id="103"/>
    <w:tbl>
      <w:tblPr>
        <w:tblLayout w:type="fixed"/>
        <w:tblInd w:w="10" w:type="dxa"/>
        <w:tblCellMar>
          <w:top w:w="0" w:type="dxa"/>
          <w:left w:w="0" w:type="dxa"/>
          <w:bottom w:w="0" w:type="dxa"/>
          <w:right w:w="0" w:type="dxa"/>
        </w:tblCellMar>
      </w:tblPr>
      <w:tr>
        <w:trPr>
          <w:trHeight w:val="224"/>
        </w:trPr>
        <w:tc>
          <w:tcPr>
            <w:tcW w:w="5660" w:type="dxa"/>
            <w:vAlign w:val="bottom"/>
            <w:tcBorders>
              <w:top w:val="single" w:sz="8" w:color="2360A6"/>
              <w:left w:val="single" w:sz="8" w:color="2360A6"/>
              <w:right w:val="single" w:sz="8" w:color="2360A6"/>
            </w:tcBorders>
          </w:tcPr>
          <w:p>
            <w:pPr>
              <w:spacing w:after="0"/>
              <w:rPr>
                <w:sz w:val="19"/>
                <w:szCs w:val="19"/>
                <w:color w:val="auto"/>
              </w:rPr>
            </w:pPr>
          </w:p>
        </w:tc>
        <w:tc>
          <w:tcPr>
            <w:tcW w:w="180" w:type="dxa"/>
            <w:vAlign w:val="bottom"/>
            <w:tcBorders>
              <w:top w:val="single" w:sz="8" w:color="2360A6"/>
              <w:bottom w:val="single" w:sz="8" w:color="2360A6"/>
            </w:tcBorders>
          </w:tcPr>
          <w:p>
            <w:pPr>
              <w:spacing w:after="0"/>
              <w:rPr>
                <w:sz w:val="19"/>
                <w:szCs w:val="19"/>
                <w:color w:val="auto"/>
              </w:rPr>
            </w:pPr>
          </w:p>
        </w:tc>
        <w:tc>
          <w:tcPr>
            <w:tcW w:w="1440" w:type="dxa"/>
            <w:vAlign w:val="bottom"/>
            <w:tcBorders>
              <w:top w:val="single" w:sz="8" w:color="2360A6"/>
              <w:bottom w:val="single" w:sz="8" w:color="2360A6"/>
            </w:tcBorders>
          </w:tcPr>
          <w:p>
            <w:pPr>
              <w:spacing w:after="0"/>
              <w:rPr>
                <w:sz w:val="19"/>
                <w:szCs w:val="19"/>
                <w:color w:val="auto"/>
              </w:rPr>
            </w:pPr>
          </w:p>
        </w:tc>
        <w:tc>
          <w:tcPr>
            <w:tcW w:w="1480" w:type="dxa"/>
            <w:vAlign w:val="bottom"/>
            <w:tcBorders>
              <w:top w:val="single" w:sz="8" w:color="2360A6"/>
              <w:bottom w:val="single" w:sz="8" w:color="2360A6"/>
            </w:tcBorders>
          </w:tcPr>
          <w:p>
            <w:pPr>
              <w:jc w:val="right"/>
              <w:ind w:right="188"/>
              <w:spacing w:after="0"/>
              <w:rPr>
                <w:sz w:val="20"/>
                <w:szCs w:val="20"/>
                <w:color w:val="auto"/>
              </w:rPr>
            </w:pPr>
            <w:r>
              <w:rPr>
                <w:rFonts w:ascii="Arial" w:cs="Arial" w:eastAsia="Arial" w:hAnsi="Arial"/>
                <w:sz w:val="14"/>
                <w:szCs w:val="14"/>
                <w:b w:val="1"/>
                <w:bCs w:val="1"/>
                <w:color w:val="2360A6"/>
              </w:rPr>
              <w:t>12 months</w:t>
            </w:r>
          </w:p>
        </w:tc>
        <w:tc>
          <w:tcPr>
            <w:tcW w:w="520" w:type="dxa"/>
            <w:vAlign w:val="bottom"/>
            <w:tcBorders>
              <w:top w:val="single" w:sz="8" w:color="2360A6"/>
              <w:bottom w:val="single" w:sz="8" w:color="2360A6"/>
            </w:tcBorders>
          </w:tcPr>
          <w:p>
            <w:pPr>
              <w:spacing w:after="0"/>
              <w:rPr>
                <w:sz w:val="19"/>
                <w:szCs w:val="19"/>
                <w:color w:val="auto"/>
              </w:rPr>
            </w:pPr>
          </w:p>
        </w:tc>
        <w:tc>
          <w:tcPr>
            <w:tcW w:w="1380" w:type="dxa"/>
            <w:vAlign w:val="bottom"/>
            <w:tcBorders>
              <w:top w:val="single" w:sz="8" w:color="2360A6"/>
              <w:bottom w:val="single" w:sz="8" w:color="2360A6"/>
              <w:right w:val="single" w:sz="8" w:color="2360A6"/>
            </w:tcBorders>
          </w:tcPr>
          <w:p>
            <w:pPr>
              <w:spacing w:after="0"/>
              <w:rPr>
                <w:sz w:val="19"/>
                <w:szCs w:val="19"/>
                <w:color w:val="auto"/>
              </w:rPr>
            </w:pP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ind w:right="268"/>
              <w:spacing w:after="0"/>
              <w:rPr>
                <w:sz w:val="20"/>
                <w:szCs w:val="20"/>
                <w:color w:val="auto"/>
              </w:rPr>
            </w:pPr>
            <w:r>
              <w:rPr>
                <w:rFonts w:ascii="Arial" w:cs="Arial" w:eastAsia="Arial" w:hAnsi="Arial"/>
                <w:sz w:val="14"/>
                <w:szCs w:val="14"/>
                <w:b w:val="1"/>
                <w:bCs w:val="1"/>
                <w:color w:val="2360A6"/>
              </w:rPr>
              <w:t>2014 Adjusted</w:t>
            </w:r>
          </w:p>
        </w:tc>
        <w:tc>
          <w:tcPr>
            <w:tcW w:w="1480" w:type="dxa"/>
            <w:vAlign w:val="bottom"/>
            <w:tcBorders>
              <w:bottom w:val="single" w:sz="8" w:color="2360A6"/>
              <w:right w:val="single" w:sz="8" w:color="2360A6"/>
            </w:tcBorders>
          </w:tcPr>
          <w:p>
            <w:pPr>
              <w:jc w:val="right"/>
              <w:ind w:right="248"/>
              <w:spacing w:after="0"/>
              <w:rPr>
                <w:sz w:val="20"/>
                <w:szCs w:val="20"/>
                <w:color w:val="auto"/>
              </w:rPr>
            </w:pPr>
            <w:r>
              <w:rPr>
                <w:rFonts w:ascii="Arial" w:cs="Arial" w:eastAsia="Arial" w:hAnsi="Arial"/>
                <w:sz w:val="14"/>
                <w:szCs w:val="14"/>
                <w:b w:val="1"/>
                <w:bCs w:val="1"/>
                <w:color w:val="2360A6"/>
              </w:rPr>
              <w:t>Adjustments</w:t>
            </w:r>
          </w:p>
        </w:tc>
        <w:tc>
          <w:tcPr>
            <w:tcW w:w="1900" w:type="dxa"/>
            <w:vAlign w:val="bottom"/>
            <w:tcBorders>
              <w:bottom w:val="single" w:sz="8" w:color="2360A6"/>
              <w:right w:val="single" w:sz="8" w:color="2360A6"/>
            </w:tcBorders>
            <w:gridSpan w:val="2"/>
          </w:tcPr>
          <w:p>
            <w:pPr>
              <w:jc w:val="right"/>
              <w:ind w:right="268"/>
              <w:spacing w:after="0"/>
              <w:rPr>
                <w:sz w:val="20"/>
                <w:szCs w:val="20"/>
                <w:color w:val="auto"/>
              </w:rPr>
            </w:pPr>
            <w:r>
              <w:rPr>
                <w:rFonts w:ascii="Arial" w:cs="Arial" w:eastAsia="Arial" w:hAnsi="Arial"/>
                <w:sz w:val="14"/>
                <w:szCs w:val="14"/>
                <w:b w:val="1"/>
                <w:bCs w:val="1"/>
                <w:color w:val="2360A6"/>
              </w:rPr>
              <w:t>2014 Consolidated</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Revenues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1F20"/>
              </w:rPr>
              <w:t>10,724.5</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1F20"/>
              </w:rPr>
              <w:t>(650.6)</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b w:val="1"/>
                <w:bCs w:val="1"/>
                <w:color w:val="231F20"/>
              </w:rPr>
              <w:t>10,073.9</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Cost of Sales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(9,210.3)</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604.0</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(8,606.3)</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Gross Margin</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1F20"/>
              </w:rPr>
              <w:t>1,514.2</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b w:val="1"/>
                <w:bCs w:val="1"/>
                <w:color w:val="231F20"/>
              </w:rPr>
              <w:t>(46.6)</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b w:val="1"/>
                <w:bCs w:val="1"/>
                <w:color w:val="231F20"/>
              </w:rPr>
              <w:t>1,467.6</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Research and Development Costs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(82.6)</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(82.6)</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Selling Costs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(221.1)</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(221.1)</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Administrative Costs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(423.8)</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0.2</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(423.6)</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Operating Income</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31.1</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(0.1)</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31.0</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Operating Expenses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(11.4)</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(11.4)</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Operating Income/(Loss) from Recurring Activities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1F20"/>
              </w:rPr>
              <w:t>806.4</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b w:val="1"/>
                <w:bCs w:val="1"/>
                <w:color w:val="231F20"/>
              </w:rPr>
              <w:t>(46.5)</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b w:val="1"/>
                <w:bCs w:val="1"/>
                <w:color w:val="231F20"/>
              </w:rPr>
              <w:t>759.9</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 of Income/(Loss) of Equity Affiliates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18.2</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22.1</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40.3</w:t>
            </w:r>
          </w:p>
        </w:tc>
      </w:tr>
      <w:tr>
        <w:trPr>
          <w:trHeight w:val="175"/>
        </w:trPr>
        <w:tc>
          <w:tcPr>
            <w:tcW w:w="56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Operating Income from Recurring Activities after Income/(Loss) of Equity</w:t>
            </w:r>
          </w:p>
        </w:tc>
        <w:tc>
          <w:tcPr>
            <w:tcW w:w="180" w:type="dxa"/>
            <w:vAlign w:val="bottom"/>
          </w:tcPr>
          <w:p>
            <w:pPr>
              <w:spacing w:after="0"/>
              <w:rPr>
                <w:sz w:val="15"/>
                <w:szCs w:val="15"/>
                <w:color w:val="auto"/>
              </w:rPr>
            </w:pPr>
          </w:p>
        </w:tc>
        <w:tc>
          <w:tcPr>
            <w:tcW w:w="1440" w:type="dxa"/>
            <w:vAlign w:val="bottom"/>
            <w:tcBorders>
              <w:right w:val="single" w:sz="8" w:color="2360A6"/>
            </w:tcBorders>
          </w:tcPr>
          <w:p>
            <w:pPr>
              <w:spacing w:after="0"/>
              <w:rPr>
                <w:sz w:val="15"/>
                <w:szCs w:val="15"/>
                <w:color w:val="auto"/>
              </w:rPr>
            </w:pPr>
          </w:p>
        </w:tc>
        <w:tc>
          <w:tcPr>
            <w:tcW w:w="1480" w:type="dxa"/>
            <w:vAlign w:val="bottom"/>
            <w:tcBorders>
              <w:right w:val="single" w:sz="8" w:color="2360A6"/>
            </w:tcBorders>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Borders>
              <w:right w:val="single" w:sz="8" w:color="2360A6"/>
            </w:tcBorders>
          </w:tcPr>
          <w:p>
            <w:pPr>
              <w:spacing w:after="0"/>
              <w:rPr>
                <w:sz w:val="15"/>
                <w:szCs w:val="15"/>
                <w:color w:val="auto"/>
              </w:rPr>
            </w:pPr>
          </w:p>
        </w:tc>
      </w:tr>
      <w:tr>
        <w:trPr>
          <w:trHeight w:val="196"/>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Affiliates</w:t>
            </w:r>
          </w:p>
        </w:tc>
        <w:tc>
          <w:tcPr>
            <w:tcW w:w="180" w:type="dxa"/>
            <w:vAlign w:val="bottom"/>
            <w:tcBorders>
              <w:bottom w:val="single" w:sz="8" w:color="2360A6"/>
            </w:tcBorders>
          </w:tcPr>
          <w:p>
            <w:pPr>
              <w:spacing w:after="0"/>
              <w:rPr>
                <w:sz w:val="17"/>
                <w:szCs w:val="17"/>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1F20"/>
              </w:rPr>
              <w:t>824.6</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b w:val="1"/>
                <w:bCs w:val="1"/>
                <w:color w:val="231F20"/>
              </w:rPr>
              <w:t>(24.4)</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b w:val="1"/>
                <w:bCs w:val="1"/>
                <w:color w:val="231F20"/>
              </w:rPr>
              <w:t>800.2</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Income/(Charges) from Disposals of Activities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(5.5)</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(5.5)</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Income/(Charges) from Non-Current Activities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(68.1)</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(68.1)</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Operating Income/(Loss)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1F20"/>
              </w:rPr>
              <w:t>751.0</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b w:val="1"/>
                <w:bCs w:val="1"/>
                <w:color w:val="231F20"/>
              </w:rPr>
              <w:t>(24.4)</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b w:val="1"/>
                <w:bCs w:val="1"/>
                <w:color w:val="231F20"/>
              </w:rPr>
              <w:t>726.6</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 Income</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452.8</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(2.8)</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450.0</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 Expenses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(581.3)</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(577.3)</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Income/(Loss) before Tax</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1F20"/>
              </w:rPr>
              <w:t>622.5</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1F20"/>
              </w:rPr>
              <w:t>(23.2)</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b w:val="1"/>
                <w:bCs w:val="1"/>
                <w:color w:val="231F20"/>
              </w:rPr>
              <w:t>599.3</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Income Tax Expense</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(180.1)</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23.2</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(156.9)</w:t>
            </w: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Income/(Loss) from Continuing Operations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442.4</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b w:val="1"/>
                <w:bCs w:val="1"/>
                <w:color w:val="2360A6"/>
              </w:rPr>
              <w:t>442.4</w:t>
            </w:r>
          </w:p>
        </w:tc>
      </w:tr>
      <w:tr>
        <w:trPr>
          <w:trHeight w:val="210"/>
        </w:trPr>
        <w:tc>
          <w:tcPr>
            <w:tcW w:w="5660" w:type="dxa"/>
            <w:vAlign w:val="bottom"/>
            <w:tcBorders>
              <w:left w:val="single" w:sz="8" w:color="2360A6"/>
              <w:bottom w:val="single" w:sz="8" w:color="2360A6"/>
              <w:right w:val="single" w:sz="8" w:color="2360A6"/>
            </w:tcBorders>
            <w:shd w:val="clear" w:color="auto" w:fill="D4DAEB"/>
          </w:tcPr>
          <w:p>
            <w:pPr>
              <w:ind w:left="40"/>
              <w:spacing w:after="0"/>
              <w:rPr>
                <w:sz w:val="20"/>
                <w:szCs w:val="20"/>
                <w:color w:val="auto"/>
              </w:rPr>
            </w:pPr>
            <w:r>
              <w:rPr>
                <w:rFonts w:ascii="Arial" w:cs="Arial" w:eastAsia="Arial" w:hAnsi="Arial"/>
                <w:sz w:val="14"/>
                <w:szCs w:val="14"/>
                <w:b w:val="1"/>
                <w:bCs w:val="1"/>
                <w:color w:val="2360A6"/>
              </w:rPr>
              <w:t>NET INCOME/(LOSS) FOR THE YEAR</w:t>
            </w:r>
          </w:p>
        </w:tc>
        <w:tc>
          <w:tcPr>
            <w:tcW w:w="180" w:type="dxa"/>
            <w:vAlign w:val="bottom"/>
            <w:tcBorders>
              <w:bottom w:val="single" w:sz="8" w:color="2360A6"/>
            </w:tcBorders>
            <w:shd w:val="clear" w:color="auto" w:fill="D4DAEB"/>
          </w:tcPr>
          <w:p>
            <w:pPr>
              <w:spacing w:after="0"/>
              <w:rPr>
                <w:sz w:val="18"/>
                <w:szCs w:val="18"/>
                <w:color w:val="auto"/>
              </w:rPr>
            </w:pPr>
          </w:p>
        </w:tc>
        <w:tc>
          <w:tcPr>
            <w:tcW w:w="1440" w:type="dxa"/>
            <w:vAlign w:val="bottom"/>
            <w:tcBorders>
              <w:bottom w:val="single" w:sz="8" w:color="2360A6"/>
              <w:right w:val="single" w:sz="8" w:color="2360A6"/>
            </w:tcBorders>
            <w:shd w:val="clear" w:color="auto" w:fill="D4DAEB"/>
          </w:tcPr>
          <w:p>
            <w:pPr>
              <w:jc w:val="right"/>
              <w:spacing w:after="0"/>
              <w:rPr>
                <w:sz w:val="20"/>
                <w:szCs w:val="20"/>
                <w:color w:val="auto"/>
              </w:rPr>
            </w:pPr>
            <w:r>
              <w:rPr>
                <w:rFonts w:ascii="Arial" w:cs="Arial" w:eastAsia="Arial" w:hAnsi="Arial"/>
                <w:sz w:val="14"/>
                <w:szCs w:val="14"/>
                <w:b w:val="1"/>
                <w:bCs w:val="1"/>
                <w:color w:val="2360A6"/>
              </w:rPr>
              <w:t>442.4</w:t>
            </w:r>
          </w:p>
        </w:tc>
        <w:tc>
          <w:tcPr>
            <w:tcW w:w="1480" w:type="dxa"/>
            <w:vAlign w:val="bottom"/>
            <w:tcBorders>
              <w:bottom w:val="single" w:sz="8" w:color="2360A6"/>
              <w:right w:val="single" w:sz="8" w:color="2360A6"/>
            </w:tcBorders>
            <w:shd w:val="clear" w:color="auto" w:fill="D4DAEB"/>
          </w:tcPr>
          <w:p>
            <w:pPr>
              <w:jc w:val="right"/>
              <w:ind w:right="48"/>
              <w:spacing w:after="0"/>
              <w:rPr>
                <w:sz w:val="20"/>
                <w:szCs w:val="20"/>
                <w:color w:val="auto"/>
              </w:rPr>
            </w:pPr>
            <w:r>
              <w:rPr>
                <w:rFonts w:ascii="Arial" w:cs="Arial" w:eastAsia="Arial" w:hAnsi="Arial"/>
                <w:sz w:val="14"/>
                <w:szCs w:val="14"/>
                <w:b w:val="1"/>
                <w:bCs w:val="1"/>
                <w:color w:val="2360A6"/>
              </w:rPr>
              <w:t>—</w:t>
            </w:r>
          </w:p>
        </w:tc>
        <w:tc>
          <w:tcPr>
            <w:tcW w:w="1900" w:type="dxa"/>
            <w:vAlign w:val="bottom"/>
            <w:tcBorders>
              <w:bottom w:val="single" w:sz="8" w:color="2360A6"/>
              <w:right w:val="single" w:sz="8" w:color="2360A6"/>
            </w:tcBorders>
            <w:gridSpan w:val="2"/>
            <w:shd w:val="clear" w:color="auto" w:fill="D4DAEB"/>
          </w:tcPr>
          <w:p>
            <w:pPr>
              <w:jc w:val="right"/>
              <w:spacing w:after="0"/>
              <w:rPr>
                <w:sz w:val="20"/>
                <w:szCs w:val="20"/>
                <w:color w:val="auto"/>
              </w:rPr>
            </w:pPr>
            <w:r>
              <w:rPr>
                <w:rFonts w:ascii="Arial" w:cs="Arial" w:eastAsia="Arial" w:hAnsi="Arial"/>
                <w:sz w:val="14"/>
                <w:szCs w:val="14"/>
                <w:b w:val="1"/>
                <w:bCs w:val="1"/>
                <w:color w:val="2360A6"/>
              </w:rPr>
              <w:t>442.4</w:t>
            </w:r>
          </w:p>
        </w:tc>
      </w:tr>
      <w:tr>
        <w:trPr>
          <w:trHeight w:val="264"/>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Attributable to:</w:t>
            </w:r>
          </w:p>
        </w:tc>
        <w:tc>
          <w:tcPr>
            <w:tcW w:w="180" w:type="dxa"/>
            <w:vAlign w:val="bottom"/>
            <w:tcBorders>
              <w:bottom w:val="single" w:sz="8" w:color="2360A6"/>
            </w:tcBorders>
          </w:tcPr>
          <w:p>
            <w:pPr>
              <w:spacing w:after="0"/>
              <w:rPr>
                <w:sz w:val="22"/>
                <w:szCs w:val="22"/>
                <w:color w:val="auto"/>
              </w:rPr>
            </w:pPr>
          </w:p>
        </w:tc>
        <w:tc>
          <w:tcPr>
            <w:tcW w:w="1440" w:type="dxa"/>
            <w:vAlign w:val="bottom"/>
            <w:tcBorders>
              <w:bottom w:val="single" w:sz="8" w:color="2360A6"/>
              <w:right w:val="single" w:sz="8" w:color="2360A6"/>
            </w:tcBorders>
          </w:tcPr>
          <w:p>
            <w:pPr>
              <w:spacing w:after="0"/>
              <w:rPr>
                <w:sz w:val="22"/>
                <w:szCs w:val="22"/>
                <w:color w:val="auto"/>
              </w:rPr>
            </w:pPr>
          </w:p>
        </w:tc>
        <w:tc>
          <w:tcPr>
            <w:tcW w:w="1480" w:type="dxa"/>
            <w:vAlign w:val="bottom"/>
            <w:tcBorders>
              <w:bottom w:val="single" w:sz="8" w:color="2360A6"/>
              <w:right w:val="single" w:sz="8" w:color="2360A6"/>
            </w:tcBorders>
          </w:tcPr>
          <w:p>
            <w:pPr>
              <w:spacing w:after="0"/>
              <w:rPr>
                <w:sz w:val="22"/>
                <w:szCs w:val="22"/>
                <w:color w:val="auto"/>
              </w:rPr>
            </w:pPr>
          </w:p>
        </w:tc>
        <w:tc>
          <w:tcPr>
            <w:tcW w:w="520" w:type="dxa"/>
            <w:vAlign w:val="bottom"/>
            <w:tcBorders>
              <w:bottom w:val="single" w:sz="8" w:color="2360A6"/>
            </w:tcBorders>
          </w:tcPr>
          <w:p>
            <w:pPr>
              <w:spacing w:after="0"/>
              <w:rPr>
                <w:sz w:val="22"/>
                <w:szCs w:val="22"/>
                <w:color w:val="auto"/>
              </w:rPr>
            </w:pPr>
          </w:p>
        </w:tc>
        <w:tc>
          <w:tcPr>
            <w:tcW w:w="1380" w:type="dxa"/>
            <w:vAlign w:val="bottom"/>
            <w:tcBorders>
              <w:bottom w:val="single" w:sz="8" w:color="2360A6"/>
              <w:right w:val="single" w:sz="8" w:color="2360A6"/>
            </w:tcBorders>
          </w:tcPr>
          <w:p>
            <w:pPr>
              <w:spacing w:after="0"/>
              <w:rPr>
                <w:sz w:val="22"/>
                <w:szCs w:val="22"/>
                <w:color w:val="auto"/>
              </w:rPr>
            </w:pPr>
          </w:p>
        </w:tc>
      </w:tr>
      <w:tr>
        <w:trPr>
          <w:trHeight w:val="210"/>
        </w:trPr>
        <w:tc>
          <w:tcPr>
            <w:tcW w:w="566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Shareholders of the Parent Company</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436.6</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436.6</w:t>
            </w:r>
          </w:p>
        </w:tc>
      </w:tr>
      <w:tr>
        <w:trPr>
          <w:trHeight w:val="210"/>
        </w:trPr>
        <w:tc>
          <w:tcPr>
            <w:tcW w:w="566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Non-Controlling Interests</w:t>
            </w:r>
          </w:p>
        </w:tc>
        <w:tc>
          <w:tcPr>
            <w:tcW w:w="180" w:type="dxa"/>
            <w:vAlign w:val="bottom"/>
            <w:tcBorders>
              <w:bottom w:val="single" w:sz="8" w:color="2360A6"/>
            </w:tcBorders>
          </w:tcPr>
          <w:p>
            <w:pPr>
              <w:spacing w:after="0"/>
              <w:rPr>
                <w:sz w:val="18"/>
                <w:szCs w:val="18"/>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5.8</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5.8</w:t>
            </w:r>
          </w:p>
        </w:tc>
      </w:tr>
      <w:tr>
        <w:trPr>
          <w:trHeight w:val="237"/>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 xml:space="preserve">Earnings per Share </w:t>
            </w:r>
            <w:r>
              <w:rPr>
                <w:rFonts w:ascii="Arial" w:cs="Arial" w:eastAsia="Arial" w:hAnsi="Arial"/>
                <w:sz w:val="14"/>
                <w:szCs w:val="14"/>
                <w:i w:val="1"/>
                <w:iCs w:val="1"/>
                <w:color w:val="231F20"/>
              </w:rPr>
              <w:t>(in Euro)</w:t>
            </w:r>
          </w:p>
        </w:tc>
        <w:tc>
          <w:tcPr>
            <w:tcW w:w="180" w:type="dxa"/>
            <w:vAlign w:val="bottom"/>
            <w:tcBorders>
              <w:bottom w:val="single" w:sz="8" w:color="2360A6"/>
            </w:tcBorders>
          </w:tcPr>
          <w:p>
            <w:pPr>
              <w:spacing w:after="0"/>
              <w:rPr>
                <w:sz w:val="20"/>
                <w:szCs w:val="20"/>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3.89</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3.89</w:t>
            </w:r>
          </w:p>
        </w:tc>
      </w:tr>
      <w:tr>
        <w:trPr>
          <w:trHeight w:val="237"/>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 xml:space="preserve">Diluted Earnings per Share </w:t>
            </w:r>
            <w:r>
              <w:rPr>
                <w:rFonts w:ascii="Arial" w:cs="Arial" w:eastAsia="Arial" w:hAnsi="Arial"/>
                <w:sz w:val="14"/>
                <w:szCs w:val="14"/>
                <w:i w:val="1"/>
                <w:iCs w:val="1"/>
                <w:color w:val="231F20"/>
              </w:rPr>
              <w:t>(in Euro)</w:t>
            </w:r>
          </w:p>
        </w:tc>
        <w:tc>
          <w:tcPr>
            <w:tcW w:w="180" w:type="dxa"/>
            <w:vAlign w:val="bottom"/>
            <w:tcBorders>
              <w:bottom w:val="single" w:sz="8" w:color="2360A6"/>
            </w:tcBorders>
          </w:tcPr>
          <w:p>
            <w:pPr>
              <w:spacing w:after="0"/>
              <w:rPr>
                <w:sz w:val="20"/>
                <w:szCs w:val="20"/>
                <w:color w:val="auto"/>
              </w:rPr>
            </w:pPr>
          </w:p>
        </w:tc>
        <w:tc>
          <w:tcPr>
            <w:tcW w:w="14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3.65</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900" w:type="dxa"/>
            <w:vAlign w:val="bottom"/>
            <w:tcBorders>
              <w:bottom w:val="single" w:sz="8" w:color="2360A6"/>
              <w:right w:val="single" w:sz="8" w:color="2360A6"/>
            </w:tcBorders>
            <w:gridSpan w:val="2"/>
          </w:tcPr>
          <w:p>
            <w:pPr>
              <w:jc w:val="right"/>
              <w:spacing w:after="0"/>
              <w:rPr>
                <w:sz w:val="20"/>
                <w:szCs w:val="20"/>
                <w:color w:val="auto"/>
              </w:rPr>
            </w:pPr>
            <w:r>
              <w:rPr>
                <w:rFonts w:ascii="Arial" w:cs="Arial" w:eastAsia="Arial" w:hAnsi="Arial"/>
                <w:sz w:val="14"/>
                <w:szCs w:val="14"/>
                <w:color w:val="231F20"/>
              </w:rPr>
              <w:t>3.65</w:t>
            </w:r>
          </w:p>
        </w:tc>
      </w:tr>
      <w:tr>
        <w:trPr>
          <w:trHeight w:val="135"/>
        </w:trPr>
        <w:tc>
          <w:tcPr>
            <w:tcW w:w="5660" w:type="dxa"/>
            <w:vAlign w:val="bottom"/>
            <w:tcBorders>
              <w:bottom w:val="single" w:sz="8" w:color="2360A6"/>
            </w:tcBorders>
          </w:tcPr>
          <w:p>
            <w:pPr>
              <w:spacing w:after="0"/>
              <w:rPr>
                <w:sz w:val="11"/>
                <w:szCs w:val="11"/>
                <w:color w:val="auto"/>
              </w:rPr>
            </w:pPr>
          </w:p>
        </w:tc>
        <w:tc>
          <w:tcPr>
            <w:tcW w:w="180" w:type="dxa"/>
            <w:vAlign w:val="bottom"/>
            <w:tcBorders>
              <w:bottom w:val="single" w:sz="8" w:color="2360A6"/>
            </w:tcBorders>
          </w:tcPr>
          <w:p>
            <w:pPr>
              <w:spacing w:after="0"/>
              <w:rPr>
                <w:sz w:val="11"/>
                <w:szCs w:val="11"/>
                <w:color w:val="auto"/>
              </w:rPr>
            </w:pPr>
          </w:p>
        </w:tc>
        <w:tc>
          <w:tcPr>
            <w:tcW w:w="1440" w:type="dxa"/>
            <w:vAlign w:val="bottom"/>
            <w:tcBorders>
              <w:bottom w:val="single" w:sz="8" w:color="2360A6"/>
            </w:tcBorders>
          </w:tcPr>
          <w:p>
            <w:pPr>
              <w:spacing w:after="0"/>
              <w:rPr>
                <w:sz w:val="11"/>
                <w:szCs w:val="11"/>
                <w:color w:val="auto"/>
              </w:rPr>
            </w:pPr>
          </w:p>
        </w:tc>
        <w:tc>
          <w:tcPr>
            <w:tcW w:w="1480" w:type="dxa"/>
            <w:vAlign w:val="bottom"/>
            <w:tcBorders>
              <w:bottom w:val="single" w:sz="8" w:color="2360A6"/>
            </w:tcBorders>
          </w:tcPr>
          <w:p>
            <w:pPr>
              <w:spacing w:after="0"/>
              <w:rPr>
                <w:sz w:val="11"/>
                <w:szCs w:val="11"/>
                <w:color w:val="auto"/>
              </w:rPr>
            </w:pPr>
          </w:p>
        </w:tc>
        <w:tc>
          <w:tcPr>
            <w:tcW w:w="520" w:type="dxa"/>
            <w:vAlign w:val="bottom"/>
            <w:tcBorders>
              <w:bottom w:val="single" w:sz="8" w:color="2360A6"/>
            </w:tcBorders>
          </w:tcPr>
          <w:p>
            <w:pPr>
              <w:spacing w:after="0"/>
              <w:rPr>
                <w:sz w:val="11"/>
                <w:szCs w:val="11"/>
                <w:color w:val="auto"/>
              </w:rPr>
            </w:pPr>
          </w:p>
        </w:tc>
        <w:tc>
          <w:tcPr>
            <w:tcW w:w="1380" w:type="dxa"/>
            <w:vAlign w:val="bottom"/>
            <w:tcBorders>
              <w:bottom w:val="single" w:sz="8" w:color="2360A6"/>
            </w:tcBorders>
          </w:tcPr>
          <w:p>
            <w:pPr>
              <w:spacing w:after="0"/>
              <w:rPr>
                <w:sz w:val="11"/>
                <w:szCs w:val="11"/>
                <w:color w:val="auto"/>
              </w:rPr>
            </w:pPr>
          </w:p>
        </w:tc>
      </w:tr>
      <w:tr>
        <w:trPr>
          <w:trHeight w:val="204"/>
        </w:trPr>
        <w:tc>
          <w:tcPr>
            <w:tcW w:w="5660" w:type="dxa"/>
            <w:vAlign w:val="bottom"/>
            <w:tcBorders>
              <w:left w:val="single" w:sz="8" w:color="2360A6"/>
            </w:tcBorders>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20" w:type="dxa"/>
            <w:vAlign w:val="bottom"/>
            <w:tcBorders>
              <w:right w:val="single" w:sz="8" w:color="2360A6"/>
            </w:tcBorders>
          </w:tcPr>
          <w:p>
            <w:pPr>
              <w:spacing w:after="0"/>
              <w:rPr>
                <w:sz w:val="17"/>
                <w:szCs w:val="17"/>
                <w:color w:val="auto"/>
              </w:rPr>
            </w:pPr>
          </w:p>
        </w:tc>
        <w:tc>
          <w:tcPr>
            <w:tcW w:w="1380" w:type="dxa"/>
            <w:vAlign w:val="bottom"/>
            <w:tcBorders>
              <w:bottom w:val="single" w:sz="8" w:color="2360A6"/>
              <w:right w:val="single" w:sz="8" w:color="2360A6"/>
            </w:tcBorders>
          </w:tcPr>
          <w:p>
            <w:pPr>
              <w:jc w:val="right"/>
              <w:ind w:right="268"/>
              <w:spacing w:after="0"/>
              <w:rPr>
                <w:sz w:val="20"/>
                <w:szCs w:val="20"/>
                <w:color w:val="auto"/>
              </w:rPr>
            </w:pPr>
            <w:r>
              <w:rPr>
                <w:rFonts w:ascii="Arial" w:cs="Arial" w:eastAsia="Arial" w:hAnsi="Arial"/>
                <w:sz w:val="14"/>
                <w:szCs w:val="14"/>
                <w:b w:val="1"/>
                <w:bCs w:val="1"/>
                <w:color w:val="2360A6"/>
              </w:rPr>
              <w:t>12 months</w:t>
            </w:r>
          </w:p>
        </w:tc>
      </w:tr>
      <w:tr>
        <w:trPr>
          <w:trHeight w:val="210"/>
        </w:trPr>
        <w:tc>
          <w:tcPr>
            <w:tcW w:w="5840" w:type="dxa"/>
            <w:vAlign w:val="bottom"/>
            <w:tcBorders>
              <w:left w:val="single" w:sz="8" w:color="2360A6"/>
              <w:bottom w:val="single" w:sz="8" w:color="2360A6"/>
            </w:tcBorders>
            <w:gridSpan w:val="2"/>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440" w:type="dxa"/>
            <w:vAlign w:val="bottom"/>
            <w:tcBorders>
              <w:bottom w:val="single" w:sz="8" w:color="2360A6"/>
            </w:tcBorders>
          </w:tcPr>
          <w:p>
            <w:pPr>
              <w:spacing w:after="0"/>
              <w:rPr>
                <w:sz w:val="18"/>
                <w:szCs w:val="18"/>
                <w:color w:val="auto"/>
              </w:rPr>
            </w:pPr>
          </w:p>
        </w:tc>
        <w:tc>
          <w:tcPr>
            <w:tcW w:w="1480" w:type="dxa"/>
            <w:vAlign w:val="bottom"/>
            <w:tcBorders>
              <w:bottom w:val="single" w:sz="8" w:color="2360A6"/>
            </w:tcBorders>
          </w:tcPr>
          <w:p>
            <w:pPr>
              <w:spacing w:after="0"/>
              <w:rPr>
                <w:sz w:val="18"/>
                <w:szCs w:val="18"/>
                <w:color w:val="auto"/>
              </w:rPr>
            </w:pPr>
          </w:p>
        </w:tc>
        <w:tc>
          <w:tcPr>
            <w:tcW w:w="52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tcPr>
          <w:p>
            <w:pPr>
              <w:jc w:val="right"/>
              <w:ind w:right="148"/>
              <w:spacing w:after="0"/>
              <w:rPr>
                <w:sz w:val="20"/>
                <w:szCs w:val="20"/>
                <w:color w:val="auto"/>
              </w:rPr>
            </w:pPr>
            <w:r>
              <w:rPr>
                <w:rFonts w:ascii="Arial" w:cs="Arial" w:eastAsia="Arial" w:hAnsi="Arial"/>
                <w:sz w:val="14"/>
                <w:szCs w:val="14"/>
                <w:b w:val="1"/>
                <w:bCs w:val="1"/>
                <w:color w:val="2360A6"/>
              </w:rPr>
              <w:t>2014 Adjusted</w:t>
            </w:r>
          </w:p>
        </w:tc>
      </w:tr>
      <w:tr>
        <w:trPr>
          <w:trHeight w:val="210"/>
        </w:trPr>
        <w:tc>
          <w:tcPr>
            <w:tcW w:w="5840" w:type="dxa"/>
            <w:vAlign w:val="bottom"/>
            <w:tcBorders>
              <w:left w:val="single" w:sz="8" w:color="2360A6"/>
              <w:bottom w:val="single" w:sz="8" w:color="2360A6"/>
            </w:tcBorders>
            <w:gridSpan w:val="2"/>
          </w:tcPr>
          <w:p>
            <w:pPr>
              <w:ind w:left="40"/>
              <w:spacing w:after="0"/>
              <w:rPr>
                <w:sz w:val="20"/>
                <w:szCs w:val="20"/>
                <w:color w:val="auto"/>
              </w:rPr>
            </w:pPr>
            <w:r>
              <w:rPr>
                <w:rFonts w:ascii="Arial" w:cs="Arial" w:eastAsia="Arial" w:hAnsi="Arial"/>
                <w:sz w:val="14"/>
                <w:szCs w:val="14"/>
                <w:b w:val="1"/>
                <w:bCs w:val="1"/>
                <w:color w:val="2360A6"/>
              </w:rPr>
              <w:t>Net Income/(Loss) for the Year Attributable to Shareholders of the Parent Company</w:t>
            </w:r>
          </w:p>
        </w:tc>
        <w:tc>
          <w:tcPr>
            <w:tcW w:w="1440" w:type="dxa"/>
            <w:vAlign w:val="bottom"/>
            <w:tcBorders>
              <w:bottom w:val="single" w:sz="8" w:color="2360A6"/>
            </w:tcBorders>
          </w:tcPr>
          <w:p>
            <w:pPr>
              <w:spacing w:after="0"/>
              <w:rPr>
                <w:sz w:val="18"/>
                <w:szCs w:val="18"/>
                <w:color w:val="auto"/>
              </w:rPr>
            </w:pPr>
          </w:p>
        </w:tc>
        <w:tc>
          <w:tcPr>
            <w:tcW w:w="1480" w:type="dxa"/>
            <w:vAlign w:val="bottom"/>
            <w:tcBorders>
              <w:bottom w:val="single" w:sz="8" w:color="2360A6"/>
            </w:tcBorders>
          </w:tcPr>
          <w:p>
            <w:pPr>
              <w:spacing w:after="0"/>
              <w:rPr>
                <w:sz w:val="18"/>
                <w:szCs w:val="18"/>
                <w:color w:val="auto"/>
              </w:rPr>
            </w:pPr>
          </w:p>
        </w:tc>
        <w:tc>
          <w:tcPr>
            <w:tcW w:w="52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436.6</w:t>
            </w:r>
          </w:p>
        </w:tc>
      </w:tr>
      <w:tr>
        <w:trPr>
          <w:trHeight w:val="210"/>
        </w:trPr>
        <w:tc>
          <w:tcPr>
            <w:tcW w:w="5840" w:type="dxa"/>
            <w:vAlign w:val="bottom"/>
            <w:tcBorders>
              <w:left w:val="single" w:sz="8" w:color="2360A6"/>
              <w:bottom w:val="single" w:sz="8" w:color="2360A6"/>
            </w:tcBorders>
            <w:gridSpan w:val="2"/>
          </w:tcPr>
          <w:p>
            <w:pPr>
              <w:ind w:left="40"/>
              <w:spacing w:after="0"/>
              <w:rPr>
                <w:sz w:val="20"/>
                <w:szCs w:val="20"/>
                <w:color w:val="auto"/>
              </w:rPr>
            </w:pPr>
            <w:r>
              <w:rPr>
                <w:rFonts w:ascii="Arial" w:cs="Arial" w:eastAsia="Arial" w:hAnsi="Arial"/>
                <w:sz w:val="14"/>
                <w:szCs w:val="14"/>
                <w:color w:val="231F20"/>
              </w:rPr>
              <w:t>Other Charges</w:t>
            </w:r>
          </w:p>
        </w:tc>
        <w:tc>
          <w:tcPr>
            <w:tcW w:w="1440" w:type="dxa"/>
            <w:vAlign w:val="bottom"/>
            <w:tcBorders>
              <w:bottom w:val="single" w:sz="8" w:color="2360A6"/>
            </w:tcBorders>
          </w:tcPr>
          <w:p>
            <w:pPr>
              <w:spacing w:after="0"/>
              <w:rPr>
                <w:sz w:val="18"/>
                <w:szCs w:val="18"/>
                <w:color w:val="auto"/>
              </w:rPr>
            </w:pPr>
          </w:p>
        </w:tc>
        <w:tc>
          <w:tcPr>
            <w:tcW w:w="1480" w:type="dxa"/>
            <w:vAlign w:val="bottom"/>
            <w:tcBorders>
              <w:bottom w:val="single" w:sz="8" w:color="2360A6"/>
            </w:tcBorders>
          </w:tcPr>
          <w:p>
            <w:pPr>
              <w:spacing w:after="0"/>
              <w:rPr>
                <w:sz w:val="18"/>
                <w:szCs w:val="18"/>
                <w:color w:val="auto"/>
              </w:rPr>
            </w:pPr>
          </w:p>
        </w:tc>
        <w:tc>
          <w:tcPr>
            <w:tcW w:w="52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73.6</w:t>
            </w:r>
          </w:p>
        </w:tc>
      </w:tr>
      <w:tr>
        <w:trPr>
          <w:trHeight w:val="210"/>
        </w:trPr>
        <w:tc>
          <w:tcPr>
            <w:tcW w:w="5840" w:type="dxa"/>
            <w:vAlign w:val="bottom"/>
            <w:tcBorders>
              <w:left w:val="single" w:sz="8" w:color="2360A6"/>
              <w:bottom w:val="single" w:sz="8" w:color="2360A6"/>
            </w:tcBorders>
            <w:gridSpan w:val="2"/>
          </w:tcPr>
          <w:p>
            <w:pPr>
              <w:ind w:left="40"/>
              <w:spacing w:after="0"/>
              <w:rPr>
                <w:sz w:val="20"/>
                <w:szCs w:val="20"/>
                <w:color w:val="auto"/>
              </w:rPr>
            </w:pPr>
            <w:r>
              <w:rPr>
                <w:rFonts w:ascii="Arial" w:cs="Arial" w:eastAsia="Arial" w:hAnsi="Arial"/>
                <w:sz w:val="14"/>
                <w:szCs w:val="14"/>
                <w:color w:val="231F20"/>
              </w:rPr>
              <w:t>Financial Result and Tax effect</w:t>
            </w:r>
          </w:p>
        </w:tc>
        <w:tc>
          <w:tcPr>
            <w:tcW w:w="1440" w:type="dxa"/>
            <w:vAlign w:val="bottom"/>
            <w:tcBorders>
              <w:bottom w:val="single" w:sz="8" w:color="2360A6"/>
            </w:tcBorders>
          </w:tcPr>
          <w:p>
            <w:pPr>
              <w:spacing w:after="0"/>
              <w:rPr>
                <w:sz w:val="18"/>
                <w:szCs w:val="18"/>
                <w:color w:val="auto"/>
              </w:rPr>
            </w:pPr>
          </w:p>
        </w:tc>
        <w:tc>
          <w:tcPr>
            <w:tcW w:w="1480" w:type="dxa"/>
            <w:vAlign w:val="bottom"/>
            <w:tcBorders>
              <w:bottom w:val="single" w:sz="8" w:color="2360A6"/>
            </w:tcBorders>
          </w:tcPr>
          <w:p>
            <w:pPr>
              <w:spacing w:after="0"/>
              <w:rPr>
                <w:sz w:val="18"/>
                <w:szCs w:val="18"/>
                <w:color w:val="auto"/>
              </w:rPr>
            </w:pPr>
          </w:p>
        </w:tc>
        <w:tc>
          <w:tcPr>
            <w:tcW w:w="52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54.2</w:t>
            </w:r>
          </w:p>
        </w:tc>
      </w:tr>
      <w:tr>
        <w:trPr>
          <w:trHeight w:val="210"/>
        </w:trPr>
        <w:tc>
          <w:tcPr>
            <w:tcW w:w="5840" w:type="dxa"/>
            <w:vAlign w:val="bottom"/>
            <w:tcBorders>
              <w:left w:val="single" w:sz="8" w:color="2360A6"/>
              <w:bottom w:val="single" w:sz="8" w:color="2360A6"/>
            </w:tcBorders>
            <w:gridSpan w:val="2"/>
          </w:tcPr>
          <w:p>
            <w:pPr>
              <w:ind w:left="40"/>
              <w:spacing w:after="0"/>
              <w:rPr>
                <w:sz w:val="20"/>
                <w:szCs w:val="20"/>
                <w:color w:val="auto"/>
              </w:rPr>
            </w:pPr>
            <w:r>
              <w:rPr>
                <w:rFonts w:ascii="Arial" w:cs="Arial" w:eastAsia="Arial" w:hAnsi="Arial"/>
                <w:sz w:val="14"/>
                <w:szCs w:val="14"/>
                <w:b w:val="1"/>
                <w:bCs w:val="1"/>
                <w:color w:val="2360A6"/>
              </w:rPr>
              <w:t>Underlying Net Income/(Loss) for the Year</w:t>
            </w:r>
          </w:p>
        </w:tc>
        <w:tc>
          <w:tcPr>
            <w:tcW w:w="1440" w:type="dxa"/>
            <w:vAlign w:val="bottom"/>
            <w:tcBorders>
              <w:bottom w:val="single" w:sz="8" w:color="2360A6"/>
            </w:tcBorders>
          </w:tcPr>
          <w:p>
            <w:pPr>
              <w:spacing w:after="0"/>
              <w:rPr>
                <w:sz w:val="18"/>
                <w:szCs w:val="18"/>
                <w:color w:val="auto"/>
              </w:rPr>
            </w:pPr>
          </w:p>
        </w:tc>
        <w:tc>
          <w:tcPr>
            <w:tcW w:w="1480" w:type="dxa"/>
            <w:vAlign w:val="bottom"/>
            <w:tcBorders>
              <w:bottom w:val="single" w:sz="8" w:color="2360A6"/>
            </w:tcBorders>
          </w:tcPr>
          <w:p>
            <w:pPr>
              <w:spacing w:after="0"/>
              <w:rPr>
                <w:sz w:val="18"/>
                <w:szCs w:val="18"/>
                <w:color w:val="auto"/>
              </w:rPr>
            </w:pPr>
          </w:p>
        </w:tc>
        <w:tc>
          <w:tcPr>
            <w:tcW w:w="52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564.4</w:t>
            </w:r>
          </w:p>
        </w:tc>
      </w:tr>
    </w:tbl>
    <w:p>
      <w:pPr>
        <w:sectPr>
          <w:pgSz w:w="11900" w:h="16838" w:orient="portrait"/>
          <w:cols w:equalWidth="0" w:num="1">
            <w:col w:w="10660"/>
          </w:cols>
          <w:pgMar w:left="640" w:top="930" w:right="599" w:bottom="1440" w:gutter="0" w:footer="0" w:header="0"/>
        </w:sectPr>
      </w:pPr>
    </w:p>
    <w:bookmarkStart w:id="104" w:name="page105"/>
    <w:bookmarkEnd w:id="104"/>
    <w:p>
      <w:pPr>
        <w:spacing w:after="0"/>
        <w:rPr>
          <w:sz w:val="20"/>
          <w:szCs w:val="20"/>
          <w:color w:val="auto"/>
        </w:rPr>
      </w:pPr>
      <w:r>
        <w:rPr>
          <w:rFonts w:ascii="Arial" w:cs="Arial" w:eastAsia="Arial" w:hAnsi="Arial"/>
          <w:sz w:val="22"/>
          <w:szCs w:val="22"/>
          <w:b w:val="1"/>
          <w:bCs w:val="1"/>
          <w:color w:val="2360A6"/>
        </w:rPr>
        <w:t>Statement of Financial Position</w:t>
      </w:r>
    </w:p>
    <w:p>
      <w:pPr>
        <w:spacing w:after="0" w:line="26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2360A6"/>
        </w:rPr>
        <w:t>Assets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180" w:type="dxa"/>
            <w:vAlign w:val="bottom"/>
            <w:tcBorders>
              <w:right w:val="single" w:sz="8" w:color="2360A6"/>
            </w:tcBorders>
          </w:tcPr>
          <w:p>
            <w:pPr>
              <w:spacing w:after="0"/>
              <w:rPr>
                <w:sz w:val="16"/>
                <w:szCs w:val="16"/>
                <w:color w:val="auto"/>
              </w:rPr>
            </w:pPr>
          </w:p>
        </w:tc>
        <w:tc>
          <w:tcPr>
            <w:tcW w:w="4900" w:type="dxa"/>
            <w:vAlign w:val="bottom"/>
            <w:tcBorders>
              <w:top w:val="single" w:sz="8" w:color="2360A6"/>
              <w:right w:val="single" w:sz="8" w:color="2360A6"/>
            </w:tcBorders>
          </w:tcPr>
          <w:p>
            <w:pPr>
              <w:spacing w:after="0"/>
              <w:rPr>
                <w:sz w:val="16"/>
                <w:szCs w:val="16"/>
                <w:color w:val="auto"/>
              </w:rPr>
            </w:pPr>
          </w:p>
        </w:tc>
        <w:tc>
          <w:tcPr>
            <w:tcW w:w="1920" w:type="dxa"/>
            <w:vAlign w:val="bottom"/>
            <w:tcBorders>
              <w:top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 December 31, 2016</w:t>
            </w:r>
          </w:p>
        </w:tc>
        <w:tc>
          <w:tcPr>
            <w:tcW w:w="1680" w:type="dxa"/>
            <w:vAlign w:val="bottom"/>
            <w:tcBorders>
              <w:top w:val="single" w:sz="8" w:color="2360A6"/>
              <w:right w:val="single" w:sz="8" w:color="2360A6"/>
            </w:tcBorders>
          </w:tcPr>
          <w:p>
            <w:pPr>
              <w:spacing w:after="0"/>
              <w:rPr>
                <w:sz w:val="16"/>
                <w:szCs w:val="16"/>
                <w:color w:val="auto"/>
              </w:rPr>
            </w:pPr>
          </w:p>
        </w:tc>
        <w:tc>
          <w:tcPr>
            <w:tcW w:w="2120" w:type="dxa"/>
            <w:vAlign w:val="bottom"/>
            <w:tcBorders>
              <w:top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 December 31, 2016</w:t>
            </w:r>
          </w:p>
        </w:tc>
      </w:tr>
      <w:tr>
        <w:trPr>
          <w:trHeight w:val="196"/>
        </w:trPr>
        <w:tc>
          <w:tcPr>
            <w:tcW w:w="180" w:type="dxa"/>
            <w:vAlign w:val="bottom"/>
            <w:tcBorders>
              <w:right w:val="single" w:sz="8" w:color="2360A6"/>
            </w:tcBorders>
          </w:tcPr>
          <w:p>
            <w:pPr>
              <w:spacing w:after="0"/>
              <w:rPr>
                <w:sz w:val="17"/>
                <w:szCs w:val="17"/>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192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Adjusted</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Adjustments</w:t>
            </w:r>
          </w:p>
        </w:tc>
        <w:tc>
          <w:tcPr>
            <w:tcW w:w="212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Consolidated</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Property, Plant and Equipment, Net</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2,485.6</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2,485.6</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Intangible Assets, Net</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3,769.8</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3,769.8</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Investments in Equity Affiliates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157.6</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11.1</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168.7</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Financial Assets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210.8</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210.8</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Deferred Tax Assets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559.7</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1.0</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560.7</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Available-for-Sale Financial Assets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26.5</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26.5</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Total Non-Current Assets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7,210.0</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12.1</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7,222.1</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Inventories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317.5</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317.5</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Construction Contracts - Amounts in Assets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460.8</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460.8</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Advances Paid to Suppliers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676.3</w:t>
            </w:r>
          </w:p>
        </w:tc>
        <w:tc>
          <w:tcPr>
            <w:tcW w:w="1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(1.3)</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675.0</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Instruments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225.8</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225.8</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Trade Receivables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1,916.1</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4.5</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1,920.6</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Current Income Tax Receivables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256.0</w:t>
            </w:r>
          </w:p>
        </w:tc>
        <w:tc>
          <w:tcPr>
            <w:tcW w:w="1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(4.6)</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251.4</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Current Receivables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760.4</w:t>
            </w:r>
          </w:p>
        </w:tc>
        <w:tc>
          <w:tcPr>
            <w:tcW w:w="1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(4.3)</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756.1</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Cash and Cash Equivalents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6,005.3</w:t>
            </w:r>
          </w:p>
        </w:tc>
        <w:tc>
          <w:tcPr>
            <w:tcW w:w="1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(57.7)</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5,947.6</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Total Current Assets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10,618.2</w:t>
            </w:r>
          </w:p>
        </w:tc>
        <w:tc>
          <w:tcPr>
            <w:tcW w:w="1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(63.4)</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10,554.8</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Assets Classified as Held for Sale</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2.1</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2.1</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ASSETS</w:t>
            </w:r>
          </w:p>
        </w:tc>
        <w:tc>
          <w:tcPr>
            <w:tcW w:w="19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17,830.3</w:t>
            </w:r>
          </w:p>
        </w:tc>
        <w:tc>
          <w:tcPr>
            <w:tcW w:w="168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(51.3)</w:t>
            </w:r>
          </w:p>
        </w:tc>
        <w:tc>
          <w:tcPr>
            <w:tcW w:w="21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17,779.0</w:t>
            </w:r>
          </w:p>
        </w:tc>
      </w:tr>
      <w:tr>
        <w:trPr>
          <w:trHeight w:val="334"/>
        </w:trPr>
        <w:tc>
          <w:tcPr>
            <w:tcW w:w="5080" w:type="dxa"/>
            <w:vAlign w:val="bottom"/>
            <w:gridSpan w:val="2"/>
          </w:tcPr>
          <w:p>
            <w:pPr>
              <w:spacing w:after="0"/>
              <w:rPr>
                <w:sz w:val="20"/>
                <w:szCs w:val="20"/>
                <w:color w:val="auto"/>
              </w:rPr>
            </w:pPr>
            <w:r>
              <w:rPr>
                <w:rFonts w:ascii="Arial" w:cs="Arial" w:eastAsia="Arial" w:hAnsi="Arial"/>
                <w:sz w:val="22"/>
                <w:szCs w:val="22"/>
                <w:b w:val="1"/>
                <w:bCs w:val="1"/>
                <w:color w:val="2360A6"/>
              </w:rPr>
              <w:t>Equity and Liabilities</w:t>
            </w:r>
          </w:p>
        </w:tc>
        <w:tc>
          <w:tcPr>
            <w:tcW w:w="19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25"/>
        </w:trPr>
        <w:tc>
          <w:tcPr>
            <w:tcW w:w="180" w:type="dxa"/>
            <w:vAlign w:val="bottom"/>
          </w:tcPr>
          <w:p>
            <w:pPr>
              <w:spacing w:after="0"/>
              <w:rPr>
                <w:sz w:val="10"/>
                <w:szCs w:val="10"/>
                <w:color w:val="auto"/>
              </w:rPr>
            </w:pPr>
          </w:p>
        </w:tc>
        <w:tc>
          <w:tcPr>
            <w:tcW w:w="4900" w:type="dxa"/>
            <w:vAlign w:val="bottom"/>
            <w:tcBorders>
              <w:bottom w:val="single" w:sz="8" w:color="2360A6"/>
            </w:tcBorders>
          </w:tcPr>
          <w:p>
            <w:pPr>
              <w:spacing w:after="0"/>
              <w:rPr>
                <w:sz w:val="10"/>
                <w:szCs w:val="10"/>
                <w:color w:val="auto"/>
              </w:rPr>
            </w:pPr>
          </w:p>
        </w:tc>
        <w:tc>
          <w:tcPr>
            <w:tcW w:w="1920" w:type="dxa"/>
            <w:vAlign w:val="bottom"/>
            <w:tcBorders>
              <w:bottom w:val="single" w:sz="8" w:color="2360A6"/>
            </w:tcBorders>
          </w:tcPr>
          <w:p>
            <w:pPr>
              <w:spacing w:after="0"/>
              <w:rPr>
                <w:sz w:val="10"/>
                <w:szCs w:val="10"/>
                <w:color w:val="auto"/>
              </w:rPr>
            </w:pPr>
          </w:p>
        </w:tc>
        <w:tc>
          <w:tcPr>
            <w:tcW w:w="1680" w:type="dxa"/>
            <w:vAlign w:val="bottom"/>
            <w:tcBorders>
              <w:bottom w:val="single" w:sz="8" w:color="2360A6"/>
            </w:tcBorders>
          </w:tcPr>
          <w:p>
            <w:pPr>
              <w:spacing w:after="0"/>
              <w:rPr>
                <w:sz w:val="10"/>
                <w:szCs w:val="10"/>
                <w:color w:val="auto"/>
              </w:rPr>
            </w:pPr>
          </w:p>
        </w:tc>
        <w:tc>
          <w:tcPr>
            <w:tcW w:w="2120" w:type="dxa"/>
            <w:vAlign w:val="bottom"/>
            <w:tcBorders>
              <w:bottom w:val="single" w:sz="8" w:color="2360A6"/>
            </w:tcBorders>
          </w:tcPr>
          <w:p>
            <w:pPr>
              <w:spacing w:after="0"/>
              <w:rPr>
                <w:sz w:val="10"/>
                <w:szCs w:val="10"/>
                <w:color w:val="auto"/>
              </w:rPr>
            </w:pPr>
          </w:p>
        </w:tc>
      </w:tr>
      <w:tr>
        <w:trPr>
          <w:trHeight w:val="372"/>
        </w:trPr>
        <w:tc>
          <w:tcPr>
            <w:tcW w:w="180" w:type="dxa"/>
            <w:vAlign w:val="bottom"/>
            <w:tcBorders>
              <w:right w:val="single" w:sz="8" w:color="2360A6"/>
            </w:tcBorders>
          </w:tcPr>
          <w:p>
            <w:pPr>
              <w:spacing w:after="0"/>
              <w:rPr>
                <w:sz w:val="24"/>
                <w:szCs w:val="24"/>
                <w:color w:val="auto"/>
              </w:rPr>
            </w:pPr>
          </w:p>
        </w:tc>
        <w:tc>
          <w:tcPr>
            <w:tcW w:w="4900" w:type="dxa"/>
            <w:vAlign w:val="bottom"/>
            <w:tcBorders>
              <w:right w:val="single" w:sz="8" w:color="2360A6"/>
            </w:tcBorders>
          </w:tcPr>
          <w:p>
            <w:pPr>
              <w:spacing w:after="0"/>
              <w:rPr>
                <w:sz w:val="24"/>
                <w:szCs w:val="24"/>
                <w:color w:val="auto"/>
              </w:rPr>
            </w:pPr>
          </w:p>
        </w:tc>
        <w:tc>
          <w:tcPr>
            <w:tcW w:w="1920" w:type="dxa"/>
            <w:vAlign w:val="bottom"/>
            <w:tcBorders>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 December 31,</w:t>
            </w:r>
          </w:p>
        </w:tc>
        <w:tc>
          <w:tcPr>
            <w:tcW w:w="1680" w:type="dxa"/>
            <w:vAlign w:val="bottom"/>
            <w:tcBorders>
              <w:right w:val="single" w:sz="8" w:color="2360A6"/>
            </w:tcBorders>
          </w:tcPr>
          <w:p>
            <w:pPr>
              <w:spacing w:after="0"/>
              <w:rPr>
                <w:sz w:val="24"/>
                <w:szCs w:val="24"/>
                <w:color w:val="auto"/>
              </w:rPr>
            </w:pPr>
          </w:p>
        </w:tc>
        <w:tc>
          <w:tcPr>
            <w:tcW w:w="2120" w:type="dxa"/>
            <w:vAlign w:val="bottom"/>
            <w:tcBorders>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 December 31, 2016</w:t>
            </w:r>
          </w:p>
        </w:tc>
      </w:tr>
      <w:tr>
        <w:trPr>
          <w:trHeight w:val="196"/>
        </w:trPr>
        <w:tc>
          <w:tcPr>
            <w:tcW w:w="180" w:type="dxa"/>
            <w:vAlign w:val="bottom"/>
            <w:tcBorders>
              <w:right w:val="single" w:sz="8" w:color="2360A6"/>
            </w:tcBorders>
          </w:tcPr>
          <w:p>
            <w:pPr>
              <w:spacing w:after="0"/>
              <w:rPr>
                <w:sz w:val="17"/>
                <w:szCs w:val="17"/>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192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 Adjusted</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Adjustments</w:t>
            </w:r>
          </w:p>
        </w:tc>
        <w:tc>
          <w:tcPr>
            <w:tcW w:w="212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Consolidated</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Share Capital</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90.9</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90.9</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Share Premium</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2,136.6</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2,136.6</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Retained Earnings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2,273.3</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2,273.3</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Treasury Shares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(22.1)</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(22.1)</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Foreign Currency Translation Reserves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199.0</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199.0</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Fair Value Reserves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(154.4)</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(154.4)</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Net Income</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281.3</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281.3</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Total Equity Attributable to Shareholders of the Parent Company</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4,804.6</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4,804.6</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Non-Controlling Interests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(11.1)</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(11.1)</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Total Equity</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4,793.5</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4,793.5</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Non-Current Financial Debts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1,573.4</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1,573.4</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Non-Current Provisions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277.4</w:t>
            </w:r>
          </w:p>
        </w:tc>
        <w:tc>
          <w:tcPr>
            <w:tcW w:w="1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(1.2)</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276.2</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Deferred Tax Liabilities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146.1</w:t>
            </w:r>
          </w:p>
        </w:tc>
        <w:tc>
          <w:tcPr>
            <w:tcW w:w="1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(0.2)</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145.9</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Non-Current Liabilities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26.9</w:t>
            </w:r>
          </w:p>
        </w:tc>
        <w:tc>
          <w:tcPr>
            <w:tcW w:w="1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(0.1)</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26.8</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Total Non-Current Liabilities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2,023.8</w:t>
            </w:r>
          </w:p>
        </w:tc>
        <w:tc>
          <w:tcPr>
            <w:tcW w:w="1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(1.5)</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2,022.3</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Current Financial Debts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848.5</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848.5</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Trade Payables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3,713.8</w:t>
            </w:r>
          </w:p>
        </w:tc>
        <w:tc>
          <w:tcPr>
            <w:tcW w:w="1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(29.8)</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3,684.0</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Construction Contracts - Amounts in Liabilities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3,191.3</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3,191.3</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Instruments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556.6</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556.6</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Current Provisions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660.9</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(2.0)</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658.9</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Current Income Tax Payables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300.9</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0.3</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301.2</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Current Liabilities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1,741.0</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auto"/>
              </w:rPr>
              <w:t>(18.3)</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1,722.7</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Total Current Liabilities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11,013.0</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(49.8)</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10,963.2</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Total Liabilities</w:t>
            </w:r>
          </w:p>
        </w:tc>
        <w:tc>
          <w:tcPr>
            <w:tcW w:w="19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13,036.8</w:t>
            </w:r>
          </w:p>
        </w:tc>
        <w:tc>
          <w:tcPr>
            <w:tcW w:w="16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(51.3)</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12,985.5</w:t>
            </w:r>
          </w:p>
        </w:tc>
      </w:tr>
      <w:tr>
        <w:trPr>
          <w:trHeight w:val="210"/>
        </w:trPr>
        <w:tc>
          <w:tcPr>
            <w:tcW w:w="180" w:type="dxa"/>
            <w:vAlign w:val="bottom"/>
            <w:tcBorders>
              <w:right w:val="single" w:sz="8" w:color="2360A6"/>
            </w:tcBorders>
          </w:tcPr>
          <w:p>
            <w:pPr>
              <w:spacing w:after="0"/>
              <w:rPr>
                <w:sz w:val="18"/>
                <w:szCs w:val="18"/>
                <w:color w:val="auto"/>
              </w:rPr>
            </w:pPr>
          </w:p>
        </w:tc>
        <w:tc>
          <w:tcPr>
            <w:tcW w:w="4900" w:type="dxa"/>
            <w:vAlign w:val="bottom"/>
            <w:tcBorders>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EQUITY AND LIABILITIES</w:t>
            </w:r>
          </w:p>
        </w:tc>
        <w:tc>
          <w:tcPr>
            <w:tcW w:w="19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17,830.3</w:t>
            </w:r>
          </w:p>
        </w:tc>
        <w:tc>
          <w:tcPr>
            <w:tcW w:w="1680" w:type="dxa"/>
            <w:vAlign w:val="bottom"/>
            <w:tcBorders>
              <w:bottom w:val="single" w:sz="8" w:color="2360A6"/>
              <w:right w:val="single" w:sz="8" w:color="2360A6"/>
            </w:tcBorders>
            <w:shd w:val="clear" w:color="auto" w:fill="D2DEEC"/>
          </w:tcPr>
          <w:p>
            <w:pPr>
              <w:jc w:val="right"/>
              <w:ind w:right="28"/>
              <w:spacing w:after="0"/>
              <w:rPr>
                <w:sz w:val="20"/>
                <w:szCs w:val="20"/>
                <w:color w:val="auto"/>
              </w:rPr>
            </w:pPr>
            <w:r>
              <w:rPr>
                <w:rFonts w:ascii="Arial" w:cs="Arial" w:eastAsia="Arial" w:hAnsi="Arial"/>
                <w:sz w:val="14"/>
                <w:szCs w:val="14"/>
                <w:b w:val="1"/>
                <w:bCs w:val="1"/>
                <w:color w:val="2360A6"/>
              </w:rPr>
              <w:t>(51.3)</w:t>
            </w:r>
          </w:p>
        </w:tc>
        <w:tc>
          <w:tcPr>
            <w:tcW w:w="21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17,779.0</w:t>
            </w:r>
          </w:p>
        </w:tc>
      </w:tr>
    </w:tbl>
    <w:p>
      <w:pPr>
        <w:sectPr>
          <w:pgSz w:w="11900" w:h="16838" w:orient="portrait"/>
          <w:cols w:equalWidth="0" w:num="1">
            <w:col w:w="10960"/>
          </w:cols>
          <w:pgMar w:left="320" w:top="634" w:right="61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b w:val="1"/>
          <w:bCs w:val="1"/>
          <w:color w:val="2360A6"/>
        </w:rPr>
        <w:t>Assets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40" w:type="dxa"/>
            <w:vAlign w:val="bottom"/>
            <w:tcBorders>
              <w:right w:val="single" w:sz="8" w:color="2360A6"/>
            </w:tcBorders>
          </w:tcPr>
          <w:p>
            <w:pPr>
              <w:spacing w:after="0"/>
              <w:rPr>
                <w:sz w:val="16"/>
                <w:szCs w:val="16"/>
                <w:color w:val="auto"/>
              </w:rPr>
            </w:pPr>
          </w:p>
        </w:tc>
        <w:tc>
          <w:tcPr>
            <w:tcW w:w="5360" w:type="dxa"/>
            <w:vAlign w:val="bottom"/>
            <w:tcBorders>
              <w:top w:val="single" w:sz="8" w:color="2360A6"/>
              <w:right w:val="single" w:sz="8" w:color="2360A6"/>
            </w:tcBorders>
          </w:tcPr>
          <w:p>
            <w:pPr>
              <w:spacing w:after="0"/>
              <w:rPr>
                <w:sz w:val="16"/>
                <w:szCs w:val="16"/>
                <w:color w:val="auto"/>
              </w:rPr>
            </w:pPr>
          </w:p>
        </w:tc>
        <w:tc>
          <w:tcPr>
            <w:tcW w:w="182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As of December 31,</w:t>
            </w:r>
          </w:p>
        </w:tc>
        <w:tc>
          <w:tcPr>
            <w:tcW w:w="1720" w:type="dxa"/>
            <w:vAlign w:val="bottom"/>
            <w:tcBorders>
              <w:top w:val="single" w:sz="8" w:color="2360A6"/>
              <w:right w:val="single" w:sz="8" w:color="2360A6"/>
            </w:tcBorders>
          </w:tcPr>
          <w:p>
            <w:pPr>
              <w:spacing w:after="0"/>
              <w:rPr>
                <w:sz w:val="16"/>
                <w:szCs w:val="16"/>
                <w:color w:val="auto"/>
              </w:rPr>
            </w:pPr>
          </w:p>
        </w:tc>
        <w:tc>
          <w:tcPr>
            <w:tcW w:w="17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As of December 31,</w:t>
            </w:r>
          </w:p>
        </w:tc>
      </w:tr>
      <w:tr>
        <w:trPr>
          <w:trHeight w:val="196"/>
        </w:trPr>
        <w:tc>
          <w:tcPr>
            <w:tcW w:w="140" w:type="dxa"/>
            <w:vAlign w:val="bottom"/>
            <w:tcBorders>
              <w:right w:val="single" w:sz="8" w:color="2360A6"/>
            </w:tcBorders>
          </w:tcPr>
          <w:p>
            <w:pPr>
              <w:spacing w:after="0"/>
              <w:rPr>
                <w:sz w:val="17"/>
                <w:szCs w:val="17"/>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i w:val="1"/>
                <w:iCs w:val="1"/>
                <w:color w:val="231F20"/>
              </w:rPr>
              <w:t>In millions of Euro</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2015 Adjusted</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Adjustments</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2015 Consolidated</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Property, Plant and Equipment, Net</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2,576.7</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(1.8)</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2,574.9</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Intangible Assets, Net</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3,582.6</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(0.1)</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3,582.5</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Investments in Equity Affiliates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98.3</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33.1</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131.4</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Other Financial Assets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221.3</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(0.1)</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221.2</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Deferred Tax Assets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481.8</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(51.4)</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430.4</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Available-for-Sale Financial Assets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29.0</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29.0</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Total Non-Current Assets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6,989.7</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(20.3)</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6,969.4</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Inventories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431.4</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(0.1)</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431.3</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Construction Contracts - Amounts in Assets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652.0</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(14.4)</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637.6</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Advances Paid to Suppliers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479.3</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(318.9)</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160.4</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Financial Instruments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47.1</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47.1</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Trade Receivables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1,550.6</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117.6</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1,668.2</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Current Income Tax Receivables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218.6</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1.7</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220.3</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Other Current Receivables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639.5</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(50.3)</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589.2</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Cash and Cash Equivalents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4,501.4</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(1,582.3)</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2,919.1</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Total Current Assets</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8,519.9</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(1,846.7)</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6,673.2</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Assets Classified as Held for Sale</w:t>
            </w:r>
          </w:p>
        </w:tc>
        <w:tc>
          <w:tcPr>
            <w:tcW w:w="18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26.4</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26.4</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shd w:val="clear" w:color="auto" w:fill="D2DEEC"/>
          </w:tcPr>
          <w:p>
            <w:pPr>
              <w:spacing w:after="0"/>
              <w:rPr>
                <w:sz w:val="20"/>
                <w:szCs w:val="20"/>
                <w:color w:val="auto"/>
              </w:rPr>
            </w:pPr>
            <w:r>
              <w:rPr>
                <w:rFonts w:ascii="Arial" w:cs="Arial" w:eastAsia="Arial" w:hAnsi="Arial"/>
                <w:sz w:val="14"/>
                <w:szCs w:val="14"/>
                <w:b w:val="1"/>
                <w:bCs w:val="1"/>
                <w:color w:val="2360A6"/>
              </w:rPr>
              <w:t>TOTAL ASSETS</w:t>
            </w:r>
          </w:p>
        </w:tc>
        <w:tc>
          <w:tcPr>
            <w:tcW w:w="18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15,536.0</w:t>
            </w:r>
          </w:p>
        </w:tc>
        <w:tc>
          <w:tcPr>
            <w:tcW w:w="172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(1,867.0)</w:t>
            </w:r>
          </w:p>
        </w:tc>
        <w:tc>
          <w:tcPr>
            <w:tcW w:w="178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13,669.0</w:t>
            </w:r>
          </w:p>
        </w:tc>
      </w:tr>
      <w:tr>
        <w:trPr>
          <w:trHeight w:val="523"/>
        </w:trPr>
        <w:tc>
          <w:tcPr>
            <w:tcW w:w="5500" w:type="dxa"/>
            <w:vAlign w:val="bottom"/>
            <w:gridSpan w:val="2"/>
          </w:tcPr>
          <w:p>
            <w:pPr>
              <w:spacing w:after="0"/>
              <w:rPr>
                <w:sz w:val="20"/>
                <w:szCs w:val="20"/>
                <w:color w:val="auto"/>
              </w:rPr>
            </w:pPr>
            <w:r>
              <w:rPr>
                <w:rFonts w:ascii="Arial" w:cs="Arial" w:eastAsia="Arial" w:hAnsi="Arial"/>
                <w:sz w:val="22"/>
                <w:szCs w:val="22"/>
                <w:b w:val="1"/>
                <w:bCs w:val="1"/>
                <w:color w:val="2360A6"/>
              </w:rPr>
              <w:t>Equity and Liabilities</w:t>
            </w: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25"/>
        </w:trPr>
        <w:tc>
          <w:tcPr>
            <w:tcW w:w="140" w:type="dxa"/>
            <w:vAlign w:val="bottom"/>
          </w:tcPr>
          <w:p>
            <w:pPr>
              <w:spacing w:after="0"/>
              <w:rPr>
                <w:sz w:val="10"/>
                <w:szCs w:val="10"/>
                <w:color w:val="auto"/>
              </w:rPr>
            </w:pPr>
          </w:p>
        </w:tc>
        <w:tc>
          <w:tcPr>
            <w:tcW w:w="5360" w:type="dxa"/>
            <w:vAlign w:val="bottom"/>
            <w:tcBorders>
              <w:bottom w:val="single" w:sz="8" w:color="2360A6"/>
            </w:tcBorders>
          </w:tcPr>
          <w:p>
            <w:pPr>
              <w:spacing w:after="0"/>
              <w:rPr>
                <w:sz w:val="10"/>
                <w:szCs w:val="10"/>
                <w:color w:val="auto"/>
              </w:rPr>
            </w:pPr>
          </w:p>
        </w:tc>
        <w:tc>
          <w:tcPr>
            <w:tcW w:w="1820" w:type="dxa"/>
            <w:vAlign w:val="bottom"/>
            <w:tcBorders>
              <w:bottom w:val="single" w:sz="8" w:color="2360A6"/>
            </w:tcBorders>
          </w:tcPr>
          <w:p>
            <w:pPr>
              <w:spacing w:after="0"/>
              <w:rPr>
                <w:sz w:val="10"/>
                <w:szCs w:val="10"/>
                <w:color w:val="auto"/>
              </w:rPr>
            </w:pPr>
          </w:p>
        </w:tc>
        <w:tc>
          <w:tcPr>
            <w:tcW w:w="1720" w:type="dxa"/>
            <w:vAlign w:val="bottom"/>
            <w:tcBorders>
              <w:bottom w:val="single" w:sz="8" w:color="2360A6"/>
            </w:tcBorders>
          </w:tcPr>
          <w:p>
            <w:pPr>
              <w:spacing w:after="0"/>
              <w:rPr>
                <w:sz w:val="10"/>
                <w:szCs w:val="10"/>
                <w:color w:val="auto"/>
              </w:rPr>
            </w:pPr>
          </w:p>
        </w:tc>
        <w:tc>
          <w:tcPr>
            <w:tcW w:w="1780" w:type="dxa"/>
            <w:vAlign w:val="bottom"/>
            <w:tcBorders>
              <w:bottom w:val="single" w:sz="8" w:color="2360A6"/>
            </w:tcBorders>
          </w:tcPr>
          <w:p>
            <w:pPr>
              <w:spacing w:after="0"/>
              <w:rPr>
                <w:sz w:val="10"/>
                <w:szCs w:val="10"/>
                <w:color w:val="auto"/>
              </w:rPr>
            </w:pPr>
          </w:p>
        </w:tc>
      </w:tr>
      <w:tr>
        <w:trPr>
          <w:trHeight w:val="372"/>
        </w:trPr>
        <w:tc>
          <w:tcPr>
            <w:tcW w:w="140" w:type="dxa"/>
            <w:vAlign w:val="bottom"/>
            <w:tcBorders>
              <w:right w:val="single" w:sz="8" w:color="2360A6"/>
            </w:tcBorders>
          </w:tcPr>
          <w:p>
            <w:pPr>
              <w:spacing w:after="0"/>
              <w:rPr>
                <w:sz w:val="24"/>
                <w:szCs w:val="24"/>
                <w:color w:val="auto"/>
              </w:rPr>
            </w:pPr>
          </w:p>
        </w:tc>
        <w:tc>
          <w:tcPr>
            <w:tcW w:w="5360" w:type="dxa"/>
            <w:vAlign w:val="bottom"/>
            <w:tcBorders>
              <w:right w:val="single" w:sz="8" w:color="2360A6"/>
            </w:tcBorders>
          </w:tcPr>
          <w:p>
            <w:pPr>
              <w:spacing w:after="0"/>
              <w:rPr>
                <w:sz w:val="24"/>
                <w:szCs w:val="24"/>
                <w:color w:val="auto"/>
              </w:rPr>
            </w:pPr>
          </w:p>
        </w:tc>
        <w:tc>
          <w:tcPr>
            <w:tcW w:w="182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As of December 31,</w:t>
            </w:r>
          </w:p>
        </w:tc>
        <w:tc>
          <w:tcPr>
            <w:tcW w:w="1720" w:type="dxa"/>
            <w:vAlign w:val="bottom"/>
            <w:tcBorders>
              <w:right w:val="single" w:sz="8" w:color="2360A6"/>
            </w:tcBorders>
          </w:tcPr>
          <w:p>
            <w:pPr>
              <w:spacing w:after="0"/>
              <w:rPr>
                <w:sz w:val="24"/>
                <w:szCs w:val="24"/>
                <w:color w:val="auto"/>
              </w:rPr>
            </w:pPr>
          </w:p>
        </w:tc>
        <w:tc>
          <w:tcPr>
            <w:tcW w:w="178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As of December 31,</w:t>
            </w:r>
          </w:p>
        </w:tc>
      </w:tr>
      <w:tr>
        <w:trPr>
          <w:trHeight w:val="196"/>
        </w:trPr>
        <w:tc>
          <w:tcPr>
            <w:tcW w:w="140" w:type="dxa"/>
            <w:vAlign w:val="bottom"/>
            <w:tcBorders>
              <w:right w:val="single" w:sz="8" w:color="2360A6"/>
            </w:tcBorders>
          </w:tcPr>
          <w:p>
            <w:pPr>
              <w:spacing w:after="0"/>
              <w:rPr>
                <w:sz w:val="17"/>
                <w:szCs w:val="17"/>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i w:val="1"/>
                <w:iCs w:val="1"/>
                <w:color w:val="231F20"/>
              </w:rPr>
              <w:t>In millions of Euro</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2015 Adjusted</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Adjustments</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2015 Consolidated</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Share Capital</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90.8</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90.8</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Share Premium</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2,162.1</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2,162.1</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Retained Earnings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2,477.4</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2,477.4</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Treasury Shares</w:t>
            </w:r>
          </w:p>
        </w:tc>
        <w:tc>
          <w:tcPr>
            <w:tcW w:w="182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(55.2)</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(55.2)</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Foreign Currency Translation Reserves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103.8</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103.8</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Fair Value Reserves</w:t>
            </w:r>
          </w:p>
        </w:tc>
        <w:tc>
          <w:tcPr>
            <w:tcW w:w="182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(287.6)</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(287.6)</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Net Income</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45.1</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45.1</w:t>
            </w:r>
          </w:p>
        </w:tc>
      </w:tr>
      <w:tr>
        <w:trPr>
          <w:trHeight w:val="229"/>
        </w:trPr>
        <w:tc>
          <w:tcPr>
            <w:tcW w:w="140" w:type="dxa"/>
            <w:vAlign w:val="bottom"/>
            <w:tcBorders>
              <w:right w:val="single" w:sz="8" w:color="2360A6"/>
            </w:tcBorders>
          </w:tcPr>
          <w:p>
            <w:pPr>
              <w:spacing w:after="0"/>
              <w:rPr>
                <w:sz w:val="19"/>
                <w:szCs w:val="19"/>
                <w:color w:val="auto"/>
              </w:rPr>
            </w:pPr>
          </w:p>
        </w:tc>
        <w:tc>
          <w:tcPr>
            <w:tcW w:w="5360" w:type="dxa"/>
            <w:vAlign w:val="bottom"/>
            <w:tcBorders>
              <w:right w:val="single" w:sz="8" w:color="2360A6"/>
            </w:tcBorders>
          </w:tcPr>
          <w:p>
            <w:pPr>
              <w:spacing w:after="0"/>
              <w:rPr>
                <w:sz w:val="20"/>
                <w:szCs w:val="20"/>
                <w:color w:val="auto"/>
              </w:rPr>
            </w:pPr>
            <w:r>
              <w:rPr>
                <w:rFonts w:ascii="Arial" w:cs="Arial" w:eastAsia="Arial" w:hAnsi="Arial"/>
                <w:sz w:val="14"/>
                <w:szCs w:val="14"/>
                <w:b w:val="1"/>
                <w:bCs w:val="1"/>
                <w:color w:val="2360A6"/>
              </w:rPr>
              <w:t>Total Equity Attributable to Shareholders of the Parent</w:t>
            </w:r>
          </w:p>
        </w:tc>
        <w:tc>
          <w:tcPr>
            <w:tcW w:w="1820" w:type="dxa"/>
            <w:vAlign w:val="bottom"/>
            <w:tcBorders>
              <w:right w:val="single" w:sz="8" w:color="2360A6"/>
            </w:tcBorders>
          </w:tcPr>
          <w:p>
            <w:pPr>
              <w:spacing w:after="0"/>
              <w:rPr>
                <w:sz w:val="19"/>
                <w:szCs w:val="19"/>
                <w:color w:val="auto"/>
              </w:rPr>
            </w:pPr>
          </w:p>
        </w:tc>
        <w:tc>
          <w:tcPr>
            <w:tcW w:w="1720" w:type="dxa"/>
            <w:vAlign w:val="bottom"/>
            <w:tcBorders>
              <w:right w:val="single" w:sz="8" w:color="2360A6"/>
            </w:tcBorders>
          </w:tcPr>
          <w:p>
            <w:pPr>
              <w:spacing w:after="0"/>
              <w:rPr>
                <w:sz w:val="19"/>
                <w:szCs w:val="19"/>
                <w:color w:val="auto"/>
              </w:rPr>
            </w:pPr>
          </w:p>
        </w:tc>
        <w:tc>
          <w:tcPr>
            <w:tcW w:w="1780" w:type="dxa"/>
            <w:vAlign w:val="bottom"/>
            <w:tcBorders>
              <w:right w:val="single" w:sz="8" w:color="2360A6"/>
            </w:tcBorders>
          </w:tcPr>
          <w:p>
            <w:pPr>
              <w:spacing w:after="0"/>
              <w:rPr>
                <w:sz w:val="19"/>
                <w:szCs w:val="19"/>
                <w:color w:val="auto"/>
              </w:rPr>
            </w:pPr>
          </w:p>
        </w:tc>
      </w:tr>
      <w:tr>
        <w:trPr>
          <w:trHeight w:val="196"/>
        </w:trPr>
        <w:tc>
          <w:tcPr>
            <w:tcW w:w="140" w:type="dxa"/>
            <w:vAlign w:val="bottom"/>
            <w:tcBorders>
              <w:right w:val="single" w:sz="8" w:color="2360A6"/>
            </w:tcBorders>
          </w:tcPr>
          <w:p>
            <w:pPr>
              <w:spacing w:after="0"/>
              <w:rPr>
                <w:sz w:val="17"/>
                <w:szCs w:val="17"/>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Company</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4,536.4</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4,536.4</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Non-Controlling Interests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8.5</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8.5</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Total Equity</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4,544.9</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4,544.9</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Non-Current Financial Debts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1,626.0</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1,626.0</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Non-Current Provisions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243.0</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(1.0)</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242.0</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Deferred Tax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182.9</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(7.5)</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175.4</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Other Non-Current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32.1</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0.1</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32.2</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Total Non-Current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2,084.0</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(8.4)</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2,075.6</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Current Financial Debts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937.1</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937.1</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Trade Payables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2,891.4</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(411.0)</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2,480.4</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Construction Contracts - Amounts in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2,308.2</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(1,399.8)</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908.4</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Financial Instruments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334.4</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334.4</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Current Provisions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435.7</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(2.0)</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433.7</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Current Income Tax Payables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200.9</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(0.9)</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200.0</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Other Current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1,799.4</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(44.9)</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1,754.5</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Total Current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8,907.1</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(1,858.6)</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7,048.5</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Total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10,991.1</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(1,867.0)</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9,124.1</w:t>
            </w:r>
          </w:p>
        </w:tc>
      </w:tr>
      <w:tr>
        <w:trPr>
          <w:trHeight w:val="244"/>
        </w:trPr>
        <w:tc>
          <w:tcPr>
            <w:tcW w:w="140" w:type="dxa"/>
            <w:vAlign w:val="bottom"/>
            <w:tcBorders>
              <w:right w:val="single" w:sz="8" w:color="2360A6"/>
            </w:tcBorders>
          </w:tcPr>
          <w:p>
            <w:pPr>
              <w:spacing w:after="0"/>
              <w:rPr>
                <w:sz w:val="21"/>
                <w:szCs w:val="21"/>
                <w:color w:val="auto"/>
              </w:rPr>
            </w:pPr>
          </w:p>
        </w:tc>
        <w:tc>
          <w:tcPr>
            <w:tcW w:w="5360" w:type="dxa"/>
            <w:vAlign w:val="bottom"/>
            <w:tcBorders>
              <w:right w:val="single" w:sz="8" w:color="2360A6"/>
            </w:tcBorders>
          </w:tcPr>
          <w:p>
            <w:pPr>
              <w:spacing w:after="0"/>
              <w:rPr>
                <w:sz w:val="20"/>
                <w:szCs w:val="20"/>
                <w:color w:val="auto"/>
              </w:rPr>
            </w:pPr>
            <w:r>
              <w:rPr>
                <w:rFonts w:ascii="Arial" w:cs="Arial" w:eastAsia="Arial" w:hAnsi="Arial"/>
                <w:sz w:val="14"/>
                <w:szCs w:val="14"/>
                <w:color w:val="231F20"/>
              </w:rPr>
              <w:t>Liabilities Directly Associated with the Assets Classified as</w:t>
            </w:r>
          </w:p>
        </w:tc>
        <w:tc>
          <w:tcPr>
            <w:tcW w:w="1820" w:type="dxa"/>
            <w:vAlign w:val="bottom"/>
            <w:tcBorders>
              <w:right w:val="single" w:sz="8" w:color="2360A6"/>
            </w:tcBorders>
          </w:tcPr>
          <w:p>
            <w:pPr>
              <w:spacing w:after="0"/>
              <w:rPr>
                <w:sz w:val="21"/>
                <w:szCs w:val="21"/>
                <w:color w:val="auto"/>
              </w:rPr>
            </w:pPr>
          </w:p>
        </w:tc>
        <w:tc>
          <w:tcPr>
            <w:tcW w:w="1720" w:type="dxa"/>
            <w:vAlign w:val="bottom"/>
            <w:tcBorders>
              <w:right w:val="single" w:sz="8" w:color="2360A6"/>
            </w:tcBorders>
          </w:tcPr>
          <w:p>
            <w:pPr>
              <w:spacing w:after="0"/>
              <w:rPr>
                <w:sz w:val="21"/>
                <w:szCs w:val="21"/>
                <w:color w:val="auto"/>
              </w:rPr>
            </w:pPr>
          </w:p>
        </w:tc>
        <w:tc>
          <w:tcPr>
            <w:tcW w:w="1780" w:type="dxa"/>
            <w:vAlign w:val="bottom"/>
            <w:tcBorders>
              <w:right w:val="single" w:sz="8" w:color="2360A6"/>
            </w:tcBorders>
          </w:tcPr>
          <w:p>
            <w:pPr>
              <w:spacing w:after="0"/>
              <w:rPr>
                <w:sz w:val="21"/>
                <w:szCs w:val="21"/>
                <w:color w:val="auto"/>
              </w:rPr>
            </w:pPr>
          </w:p>
        </w:tc>
      </w:tr>
      <w:tr>
        <w:trPr>
          <w:trHeight w:val="182"/>
        </w:trPr>
        <w:tc>
          <w:tcPr>
            <w:tcW w:w="140" w:type="dxa"/>
            <w:vAlign w:val="bottom"/>
            <w:tcBorders>
              <w:right w:val="single" w:sz="8" w:color="2360A6"/>
            </w:tcBorders>
          </w:tcPr>
          <w:p>
            <w:pPr>
              <w:spacing w:after="0"/>
              <w:rPr>
                <w:sz w:val="15"/>
                <w:szCs w:val="15"/>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Held for Sale</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14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shd w:val="clear" w:color="auto" w:fill="D2DEEC"/>
          </w:tcPr>
          <w:p>
            <w:pPr>
              <w:spacing w:after="0"/>
              <w:rPr>
                <w:sz w:val="20"/>
                <w:szCs w:val="20"/>
                <w:color w:val="auto"/>
              </w:rPr>
            </w:pPr>
            <w:r>
              <w:rPr>
                <w:rFonts w:ascii="Arial" w:cs="Arial" w:eastAsia="Arial" w:hAnsi="Arial"/>
                <w:sz w:val="14"/>
                <w:szCs w:val="14"/>
                <w:b w:val="1"/>
                <w:bCs w:val="1"/>
                <w:color w:val="2360A6"/>
              </w:rPr>
              <w:t>TOTAL EQUITY AND LIABILITIES</w:t>
            </w:r>
          </w:p>
        </w:tc>
        <w:tc>
          <w:tcPr>
            <w:tcW w:w="182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15,536.0</w:t>
            </w:r>
          </w:p>
        </w:tc>
        <w:tc>
          <w:tcPr>
            <w:tcW w:w="172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(1,867.0)</w:t>
            </w:r>
          </w:p>
        </w:tc>
        <w:tc>
          <w:tcPr>
            <w:tcW w:w="17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13,669.0</w:t>
            </w:r>
          </w:p>
        </w:tc>
      </w:tr>
    </w:tbl>
    <w:p>
      <w:pPr>
        <w:sectPr>
          <w:pgSz w:w="11900" w:h="16838" w:orient="portrait"/>
          <w:cols w:equalWidth="0" w:num="1">
            <w:col w:w="10840"/>
          </w:cols>
          <w:pgMar w:left="480" w:top="580" w:right="57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b w:val="1"/>
          <w:bCs w:val="1"/>
          <w:color w:val="2360A6"/>
        </w:rPr>
        <w:t>Assets</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00" w:type="dxa"/>
            <w:vAlign w:val="bottom"/>
            <w:tcBorders>
              <w:right w:val="single" w:sz="8" w:color="2360A6"/>
            </w:tcBorders>
          </w:tcPr>
          <w:p>
            <w:pPr>
              <w:spacing w:after="0"/>
              <w:rPr>
                <w:sz w:val="16"/>
                <w:szCs w:val="16"/>
                <w:color w:val="auto"/>
              </w:rPr>
            </w:pPr>
          </w:p>
        </w:tc>
        <w:tc>
          <w:tcPr>
            <w:tcW w:w="5360" w:type="dxa"/>
            <w:vAlign w:val="bottom"/>
            <w:tcBorders>
              <w:top w:val="single" w:sz="8" w:color="2360A6"/>
              <w:right w:val="single" w:sz="8" w:color="2360A6"/>
            </w:tcBorders>
          </w:tcPr>
          <w:p>
            <w:pPr>
              <w:spacing w:after="0"/>
              <w:rPr>
                <w:sz w:val="16"/>
                <w:szCs w:val="16"/>
                <w:color w:val="auto"/>
              </w:rPr>
            </w:pPr>
          </w:p>
        </w:tc>
        <w:tc>
          <w:tcPr>
            <w:tcW w:w="1820" w:type="dxa"/>
            <w:vAlign w:val="bottom"/>
            <w:tcBorders>
              <w:top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As of December 31,</w:t>
            </w:r>
          </w:p>
        </w:tc>
        <w:tc>
          <w:tcPr>
            <w:tcW w:w="1720" w:type="dxa"/>
            <w:vAlign w:val="bottom"/>
            <w:tcBorders>
              <w:top w:val="single" w:sz="8" w:color="2360A6"/>
              <w:right w:val="single" w:sz="8" w:color="2360A6"/>
            </w:tcBorders>
          </w:tcPr>
          <w:p>
            <w:pPr>
              <w:spacing w:after="0"/>
              <w:rPr>
                <w:sz w:val="16"/>
                <w:szCs w:val="16"/>
                <w:color w:val="auto"/>
              </w:rPr>
            </w:pPr>
          </w:p>
        </w:tc>
        <w:tc>
          <w:tcPr>
            <w:tcW w:w="1780" w:type="dxa"/>
            <w:vAlign w:val="bottom"/>
            <w:tcBorders>
              <w:top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As of December 31,</w:t>
            </w:r>
          </w:p>
        </w:tc>
      </w:tr>
      <w:tr>
        <w:trPr>
          <w:trHeight w:val="196"/>
        </w:trPr>
        <w:tc>
          <w:tcPr>
            <w:tcW w:w="100" w:type="dxa"/>
            <w:vAlign w:val="bottom"/>
            <w:tcBorders>
              <w:right w:val="single" w:sz="8" w:color="2360A6"/>
            </w:tcBorders>
          </w:tcPr>
          <w:p>
            <w:pPr>
              <w:spacing w:after="0"/>
              <w:rPr>
                <w:sz w:val="17"/>
                <w:szCs w:val="17"/>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i w:val="1"/>
                <w:iCs w:val="1"/>
                <w:color w:val="231F20"/>
              </w:rPr>
              <w:t>In millions of Euro</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2014 Adjusted</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Adjustments</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2014 Consolidated</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Property, Plant and Equipment, Net</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2,501.4</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(0.6)</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2,500.8</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Intangible Assets, Net</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3,496.5</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3,496.5</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Investments in Equity Affiliates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156.8</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38.8</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195.6</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Other Financial Assets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202.5</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0.1</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202.6</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Deferred Tax Assets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391.0</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(25.0)</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366.0</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Available-for-Sale Financial Assets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57.0</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57.0</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Total Non-Current Assets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6,805.2</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13.3</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6,818.5</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Inventories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357.4</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(1.7)</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355.7</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Construction Contracts - Amounts in Assets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756.3</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(1.2)</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755.1</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Advances Paid to Suppliers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553.6</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(258.9)</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294.7</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Financial Instruments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46.6</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46.6</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Trade Receivables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1,577.2</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142.7</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1,719.9</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Current Income Tax Receivables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171.4</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(12.5)</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158.9</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Other Current Receivables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590.8</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(9.2)</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581.6</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Cash and Cash Equivalents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3,738.3</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(1,052.7)</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2,685.6</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Total Current Assets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7,791.6</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(1,193.5)</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6,598.1</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Assets Classified as Held for Sale</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3.2</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3.2</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shd w:val="clear" w:color="auto" w:fill="D2DEEC"/>
          </w:tcPr>
          <w:p>
            <w:pPr>
              <w:spacing w:after="0"/>
              <w:rPr>
                <w:sz w:val="20"/>
                <w:szCs w:val="20"/>
                <w:color w:val="auto"/>
              </w:rPr>
            </w:pPr>
            <w:r>
              <w:rPr>
                <w:rFonts w:ascii="Arial" w:cs="Arial" w:eastAsia="Arial" w:hAnsi="Arial"/>
                <w:sz w:val="14"/>
                <w:szCs w:val="14"/>
                <w:b w:val="1"/>
                <w:bCs w:val="1"/>
                <w:color w:val="2360A6"/>
              </w:rPr>
              <w:t>TOTAL ASSETS</w:t>
            </w:r>
          </w:p>
        </w:tc>
        <w:tc>
          <w:tcPr>
            <w:tcW w:w="182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14,600.0</w:t>
            </w:r>
          </w:p>
        </w:tc>
        <w:tc>
          <w:tcPr>
            <w:tcW w:w="1720" w:type="dxa"/>
            <w:vAlign w:val="bottom"/>
            <w:tcBorders>
              <w:bottom w:val="single" w:sz="8" w:color="2360A6"/>
              <w:right w:val="single" w:sz="8" w:color="2360A6"/>
            </w:tcBorders>
            <w:shd w:val="clear" w:color="auto" w:fill="D2DEEC"/>
          </w:tcPr>
          <w:p>
            <w:pPr>
              <w:jc w:val="right"/>
              <w:ind w:right="28"/>
              <w:spacing w:after="0"/>
              <w:rPr>
                <w:sz w:val="20"/>
                <w:szCs w:val="20"/>
                <w:color w:val="auto"/>
              </w:rPr>
            </w:pPr>
            <w:r>
              <w:rPr>
                <w:rFonts w:ascii="Arial" w:cs="Arial" w:eastAsia="Arial" w:hAnsi="Arial"/>
                <w:sz w:val="14"/>
                <w:szCs w:val="14"/>
                <w:b w:val="1"/>
                <w:bCs w:val="1"/>
                <w:color w:val="2360A6"/>
              </w:rPr>
              <w:t>(1,180.2)</w:t>
            </w:r>
          </w:p>
        </w:tc>
        <w:tc>
          <w:tcPr>
            <w:tcW w:w="17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13,419.8</w:t>
            </w:r>
          </w:p>
        </w:tc>
      </w:tr>
      <w:tr>
        <w:trPr>
          <w:trHeight w:val="334"/>
        </w:trPr>
        <w:tc>
          <w:tcPr>
            <w:tcW w:w="5460" w:type="dxa"/>
            <w:vAlign w:val="bottom"/>
            <w:gridSpan w:val="2"/>
          </w:tcPr>
          <w:p>
            <w:pPr>
              <w:spacing w:after="0"/>
              <w:rPr>
                <w:sz w:val="20"/>
                <w:szCs w:val="20"/>
                <w:color w:val="auto"/>
              </w:rPr>
            </w:pPr>
            <w:r>
              <w:rPr>
                <w:rFonts w:ascii="Arial" w:cs="Arial" w:eastAsia="Arial" w:hAnsi="Arial"/>
                <w:sz w:val="22"/>
                <w:szCs w:val="22"/>
                <w:b w:val="1"/>
                <w:bCs w:val="1"/>
                <w:color w:val="2360A6"/>
              </w:rPr>
              <w:t>Equity and Liabilities</w:t>
            </w:r>
          </w:p>
        </w:tc>
        <w:tc>
          <w:tcPr>
            <w:tcW w:w="18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25"/>
        </w:trPr>
        <w:tc>
          <w:tcPr>
            <w:tcW w:w="100" w:type="dxa"/>
            <w:vAlign w:val="bottom"/>
          </w:tcPr>
          <w:p>
            <w:pPr>
              <w:spacing w:after="0"/>
              <w:rPr>
                <w:sz w:val="10"/>
                <w:szCs w:val="10"/>
                <w:color w:val="auto"/>
              </w:rPr>
            </w:pPr>
          </w:p>
        </w:tc>
        <w:tc>
          <w:tcPr>
            <w:tcW w:w="5360" w:type="dxa"/>
            <w:vAlign w:val="bottom"/>
            <w:tcBorders>
              <w:bottom w:val="single" w:sz="8" w:color="2360A6"/>
            </w:tcBorders>
          </w:tcPr>
          <w:p>
            <w:pPr>
              <w:spacing w:after="0"/>
              <w:rPr>
                <w:sz w:val="10"/>
                <w:szCs w:val="10"/>
                <w:color w:val="auto"/>
              </w:rPr>
            </w:pPr>
          </w:p>
        </w:tc>
        <w:tc>
          <w:tcPr>
            <w:tcW w:w="1820" w:type="dxa"/>
            <w:vAlign w:val="bottom"/>
            <w:tcBorders>
              <w:bottom w:val="single" w:sz="8" w:color="2360A6"/>
            </w:tcBorders>
          </w:tcPr>
          <w:p>
            <w:pPr>
              <w:spacing w:after="0"/>
              <w:rPr>
                <w:sz w:val="10"/>
                <w:szCs w:val="10"/>
                <w:color w:val="auto"/>
              </w:rPr>
            </w:pPr>
          </w:p>
        </w:tc>
        <w:tc>
          <w:tcPr>
            <w:tcW w:w="1720" w:type="dxa"/>
            <w:vAlign w:val="bottom"/>
            <w:tcBorders>
              <w:bottom w:val="single" w:sz="8" w:color="2360A6"/>
            </w:tcBorders>
          </w:tcPr>
          <w:p>
            <w:pPr>
              <w:spacing w:after="0"/>
              <w:rPr>
                <w:sz w:val="10"/>
                <w:szCs w:val="10"/>
                <w:color w:val="auto"/>
              </w:rPr>
            </w:pPr>
          </w:p>
        </w:tc>
        <w:tc>
          <w:tcPr>
            <w:tcW w:w="1780" w:type="dxa"/>
            <w:vAlign w:val="bottom"/>
            <w:tcBorders>
              <w:bottom w:val="single" w:sz="8" w:color="2360A6"/>
            </w:tcBorders>
          </w:tcPr>
          <w:p>
            <w:pPr>
              <w:spacing w:after="0"/>
              <w:rPr>
                <w:sz w:val="10"/>
                <w:szCs w:val="10"/>
                <w:color w:val="auto"/>
              </w:rPr>
            </w:pPr>
          </w:p>
        </w:tc>
      </w:tr>
      <w:tr>
        <w:trPr>
          <w:trHeight w:val="169"/>
        </w:trPr>
        <w:tc>
          <w:tcPr>
            <w:tcW w:w="100" w:type="dxa"/>
            <w:vAlign w:val="bottom"/>
            <w:tcBorders>
              <w:right w:val="single" w:sz="8" w:color="2360A6"/>
            </w:tcBorders>
          </w:tcPr>
          <w:p>
            <w:pPr>
              <w:spacing w:after="0"/>
              <w:rPr>
                <w:sz w:val="14"/>
                <w:szCs w:val="14"/>
                <w:color w:val="auto"/>
              </w:rPr>
            </w:pPr>
          </w:p>
        </w:tc>
        <w:tc>
          <w:tcPr>
            <w:tcW w:w="5360" w:type="dxa"/>
            <w:vAlign w:val="bottom"/>
            <w:tcBorders>
              <w:right w:val="single" w:sz="8" w:color="2360A6"/>
            </w:tcBorders>
          </w:tcPr>
          <w:p>
            <w:pPr>
              <w:spacing w:after="0"/>
              <w:rPr>
                <w:sz w:val="14"/>
                <w:szCs w:val="14"/>
                <w:color w:val="auto"/>
              </w:rPr>
            </w:pPr>
          </w:p>
        </w:tc>
        <w:tc>
          <w:tcPr>
            <w:tcW w:w="182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As of December 31,</w:t>
            </w:r>
          </w:p>
        </w:tc>
        <w:tc>
          <w:tcPr>
            <w:tcW w:w="1720" w:type="dxa"/>
            <w:vAlign w:val="bottom"/>
            <w:tcBorders>
              <w:right w:val="single" w:sz="8" w:color="2360A6"/>
            </w:tcBorders>
          </w:tcPr>
          <w:p>
            <w:pPr>
              <w:spacing w:after="0"/>
              <w:rPr>
                <w:sz w:val="14"/>
                <w:szCs w:val="14"/>
                <w:color w:val="auto"/>
              </w:rPr>
            </w:pPr>
          </w:p>
        </w:tc>
        <w:tc>
          <w:tcPr>
            <w:tcW w:w="178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As of December 31,</w:t>
            </w:r>
          </w:p>
        </w:tc>
      </w:tr>
      <w:tr>
        <w:trPr>
          <w:trHeight w:val="196"/>
        </w:trPr>
        <w:tc>
          <w:tcPr>
            <w:tcW w:w="100" w:type="dxa"/>
            <w:vAlign w:val="bottom"/>
            <w:tcBorders>
              <w:right w:val="single" w:sz="8" w:color="2360A6"/>
            </w:tcBorders>
          </w:tcPr>
          <w:p>
            <w:pPr>
              <w:spacing w:after="0"/>
              <w:rPr>
                <w:sz w:val="17"/>
                <w:szCs w:val="17"/>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i w:val="1"/>
                <w:iCs w:val="1"/>
                <w:color w:val="231F20"/>
              </w:rPr>
              <w:t>In millions of Euro</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2014 Adjusted</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Adjustments</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2014 Consolidated</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Share Capital</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86.9</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86.9</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Share Premium</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1,934.8</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1,934.8</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Retained Earnings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2,260.1</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2,260.1</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Treasury Shares</w:t>
            </w:r>
          </w:p>
        </w:tc>
        <w:tc>
          <w:tcPr>
            <w:tcW w:w="182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(96.9)</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(96.9)</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Foreign Currency Translation Reserves</w:t>
            </w:r>
          </w:p>
        </w:tc>
        <w:tc>
          <w:tcPr>
            <w:tcW w:w="182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(19.2)</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(19.2)</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Fair Value Reserves</w:t>
            </w:r>
          </w:p>
        </w:tc>
        <w:tc>
          <w:tcPr>
            <w:tcW w:w="182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(238.9)</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(238.9)</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Net Income</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436.6</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436.6</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Total Equity Attributable to Shareholders of the Parent Company</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4,363.4</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4,363.4</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Non-Controlling Interests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11.8</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11.8</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Total Equity</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4,375.2</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4,375.2</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Non-Current Financial Debts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2,356.6</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2,356.6</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Non-Current Provisions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232.9</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(1.3)</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231.6</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Deferred Tax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208.6</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(12.4)</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196.2</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Other Non-Current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40.5</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0.1</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40.6</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Total Non-Current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2,838.6</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(13.6)</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2,825.0</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Current Financial Debts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256.4</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256.4</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Trade Payables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2,444.7</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(131.8)</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2,312.9</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Construction Contracts - Amounts in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2,258.2</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(1,002.1)</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1,256.1</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Financial Instruments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300.5</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300.5</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Current Provisions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328.3</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(2.0)</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326.3</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Current Income Tax Payables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139.6</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(1.9)</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137.7</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Other Current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1,658.5</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(28.8)</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1,629.7</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Total Current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7,386.2</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(1,166.6)</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6,219.6</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b w:val="1"/>
                <w:bCs w:val="1"/>
                <w:color w:val="2360A6"/>
              </w:rPr>
              <w:t>Total Liabilities</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10,224.8</w:t>
            </w:r>
          </w:p>
        </w:tc>
        <w:tc>
          <w:tcPr>
            <w:tcW w:w="17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(1,180.2)</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9,044.6</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tcPr>
          <w:p>
            <w:pPr>
              <w:spacing w:after="0"/>
              <w:rPr>
                <w:sz w:val="20"/>
                <w:szCs w:val="20"/>
                <w:color w:val="auto"/>
              </w:rPr>
            </w:pPr>
            <w:r>
              <w:rPr>
                <w:rFonts w:ascii="Arial" w:cs="Arial" w:eastAsia="Arial" w:hAnsi="Arial"/>
                <w:sz w:val="14"/>
                <w:szCs w:val="14"/>
                <w:color w:val="231F20"/>
              </w:rPr>
              <w:t>Liabilities Directly Associated with the Assets Classified as Held for Sale</w:t>
            </w:r>
          </w:p>
        </w:tc>
        <w:tc>
          <w:tcPr>
            <w:tcW w:w="18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100" w:type="dxa"/>
            <w:vAlign w:val="bottom"/>
            <w:tcBorders>
              <w:right w:val="single" w:sz="8" w:color="2360A6"/>
            </w:tcBorders>
          </w:tcPr>
          <w:p>
            <w:pPr>
              <w:spacing w:after="0"/>
              <w:rPr>
                <w:sz w:val="18"/>
                <w:szCs w:val="18"/>
                <w:color w:val="auto"/>
              </w:rPr>
            </w:pPr>
          </w:p>
        </w:tc>
        <w:tc>
          <w:tcPr>
            <w:tcW w:w="5360" w:type="dxa"/>
            <w:vAlign w:val="bottom"/>
            <w:tcBorders>
              <w:bottom w:val="single" w:sz="8" w:color="2360A6"/>
              <w:right w:val="single" w:sz="8" w:color="2360A6"/>
            </w:tcBorders>
            <w:shd w:val="clear" w:color="auto" w:fill="D2DEEC"/>
          </w:tcPr>
          <w:p>
            <w:pPr>
              <w:spacing w:after="0"/>
              <w:rPr>
                <w:sz w:val="20"/>
                <w:szCs w:val="20"/>
                <w:color w:val="auto"/>
              </w:rPr>
            </w:pPr>
            <w:r>
              <w:rPr>
                <w:rFonts w:ascii="Arial" w:cs="Arial" w:eastAsia="Arial" w:hAnsi="Arial"/>
                <w:sz w:val="14"/>
                <w:szCs w:val="14"/>
                <w:b w:val="1"/>
                <w:bCs w:val="1"/>
                <w:color w:val="2360A6"/>
              </w:rPr>
              <w:t>TOTAL EQUITY AND LIABILITIES</w:t>
            </w:r>
          </w:p>
        </w:tc>
        <w:tc>
          <w:tcPr>
            <w:tcW w:w="182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14,600.0</w:t>
            </w:r>
          </w:p>
        </w:tc>
        <w:tc>
          <w:tcPr>
            <w:tcW w:w="172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(1,180.2)</w:t>
            </w:r>
          </w:p>
        </w:tc>
        <w:tc>
          <w:tcPr>
            <w:tcW w:w="17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13,419.8</w:t>
            </w:r>
          </w:p>
        </w:tc>
      </w:tr>
    </w:tbl>
    <w:p>
      <w:pPr>
        <w:sectPr>
          <w:pgSz w:w="11900" w:h="16838" w:orient="portrait"/>
          <w:cols w:equalWidth="0" w:num="1">
            <w:col w:w="10840"/>
          </w:cols>
          <w:pgMar w:left="480" w:top="580" w:right="57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b w:val="1"/>
          <w:bCs w:val="1"/>
          <w:color w:val="2360A6"/>
        </w:rPr>
        <w:t>Statement of Cash Flows</w:t>
      </w:r>
    </w:p>
    <w:p>
      <w:pPr>
        <w:spacing w:after="0" w:line="138" w:lineRule="exact"/>
        <w:rPr>
          <w:sz w:val="20"/>
          <w:szCs w:val="20"/>
          <w:color w:val="auto"/>
        </w:rPr>
      </w:pPr>
    </w:p>
    <w:tbl>
      <w:tblPr>
        <w:tblLayout w:type="fixed"/>
        <w:tblInd w:w="170" w:type="dxa"/>
        <w:tblCellMar>
          <w:top w:w="0" w:type="dxa"/>
          <w:left w:w="0" w:type="dxa"/>
          <w:bottom w:w="0" w:type="dxa"/>
          <w:right w:w="0" w:type="dxa"/>
        </w:tblCellMar>
      </w:tblPr>
      <w:tr>
        <w:trPr>
          <w:trHeight w:val="224"/>
        </w:trPr>
        <w:tc>
          <w:tcPr>
            <w:tcW w:w="6100" w:type="dxa"/>
            <w:vAlign w:val="bottom"/>
            <w:tcBorders>
              <w:top w:val="single" w:sz="8" w:color="2360A6"/>
              <w:left w:val="single" w:sz="8" w:color="2360A6"/>
              <w:right w:val="single" w:sz="8" w:color="2360A6"/>
            </w:tcBorders>
          </w:tcPr>
          <w:p>
            <w:pPr>
              <w:spacing w:after="0"/>
              <w:rPr>
                <w:sz w:val="19"/>
                <w:szCs w:val="19"/>
                <w:color w:val="auto"/>
              </w:rPr>
            </w:pPr>
          </w:p>
        </w:tc>
        <w:tc>
          <w:tcPr>
            <w:tcW w:w="1500" w:type="dxa"/>
            <w:vAlign w:val="bottom"/>
            <w:tcBorders>
              <w:top w:val="single" w:sz="8" w:color="2360A6"/>
              <w:bottom w:val="single" w:sz="8" w:color="2360A6"/>
            </w:tcBorders>
          </w:tcPr>
          <w:p>
            <w:pPr>
              <w:spacing w:after="0"/>
              <w:rPr>
                <w:sz w:val="19"/>
                <w:szCs w:val="19"/>
                <w:color w:val="auto"/>
              </w:rPr>
            </w:pPr>
          </w:p>
        </w:tc>
        <w:tc>
          <w:tcPr>
            <w:tcW w:w="1580" w:type="dxa"/>
            <w:vAlign w:val="bottom"/>
            <w:tcBorders>
              <w:top w:val="single" w:sz="8" w:color="2360A6"/>
              <w:bottom w:val="single" w:sz="8" w:color="2360A6"/>
            </w:tcBorders>
          </w:tcPr>
          <w:p>
            <w:pPr>
              <w:jc w:val="right"/>
              <w:ind w:right="388"/>
              <w:spacing w:after="0"/>
              <w:rPr>
                <w:sz w:val="20"/>
                <w:szCs w:val="20"/>
                <w:color w:val="auto"/>
              </w:rPr>
            </w:pPr>
            <w:r>
              <w:rPr>
                <w:rFonts w:ascii="Arial" w:cs="Arial" w:eastAsia="Arial" w:hAnsi="Arial"/>
                <w:sz w:val="14"/>
                <w:szCs w:val="14"/>
                <w:b w:val="1"/>
                <w:bCs w:val="1"/>
                <w:color w:val="2360A6"/>
              </w:rPr>
              <w:t>12 months</w:t>
            </w:r>
          </w:p>
        </w:tc>
        <w:tc>
          <w:tcPr>
            <w:tcW w:w="1480" w:type="dxa"/>
            <w:vAlign w:val="bottom"/>
            <w:tcBorders>
              <w:top w:val="single" w:sz="8" w:color="2360A6"/>
              <w:bottom w:val="single" w:sz="8" w:color="2360A6"/>
              <w:right w:val="single" w:sz="8" w:color="2360A6"/>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100" w:type="dxa"/>
            <w:vAlign w:val="bottom"/>
            <w:tcBorders>
              <w:left w:val="single" w:sz="8" w:color="2360A6"/>
              <w:right w:val="single" w:sz="8" w:color="2360A6"/>
            </w:tcBorders>
          </w:tcPr>
          <w:p>
            <w:pPr>
              <w:spacing w:after="0"/>
              <w:rPr>
                <w:sz w:val="15"/>
                <w:szCs w:val="15"/>
                <w:color w:val="auto"/>
              </w:rPr>
            </w:pPr>
          </w:p>
        </w:tc>
        <w:tc>
          <w:tcPr>
            <w:tcW w:w="1500" w:type="dxa"/>
            <w:vAlign w:val="bottom"/>
            <w:tcBorders>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580" w:type="dxa"/>
            <w:vAlign w:val="bottom"/>
            <w:tcBorders>
              <w:right w:val="single" w:sz="8" w:color="2360A6"/>
            </w:tcBorders>
          </w:tcPr>
          <w:p>
            <w:pPr>
              <w:spacing w:after="0"/>
              <w:rPr>
                <w:sz w:val="15"/>
                <w:szCs w:val="15"/>
                <w:color w:val="auto"/>
              </w:rPr>
            </w:pPr>
          </w:p>
        </w:tc>
        <w:tc>
          <w:tcPr>
            <w:tcW w:w="1480" w:type="dxa"/>
            <w:vAlign w:val="bottom"/>
            <w:tcBorders>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0" w:type="dxa"/>
            <w:vAlign w:val="bottom"/>
          </w:tcPr>
          <w:p>
            <w:pPr>
              <w:spacing w:after="0"/>
              <w:rPr>
                <w:sz w:val="1"/>
                <w:szCs w:val="1"/>
                <w:color w:val="auto"/>
              </w:rPr>
            </w:pPr>
          </w:p>
        </w:tc>
      </w:tr>
      <w:tr>
        <w:trPr>
          <w:trHeight w:val="196"/>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50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Adjusted</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Adjustments</w:t>
            </w:r>
          </w:p>
        </w:tc>
        <w:tc>
          <w:tcPr>
            <w:tcW w:w="148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Consolidated</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Net Income/(Loss) for the Year (including Non-Controlling Interests)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250.1</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250.1</w:t>
            </w:r>
          </w:p>
        </w:tc>
        <w:tc>
          <w:tcPr>
            <w:tcW w:w="0" w:type="dxa"/>
            <w:vAlign w:val="bottom"/>
          </w:tcPr>
          <w:p>
            <w:pPr>
              <w:spacing w:after="0"/>
              <w:rPr>
                <w:sz w:val="1"/>
                <w:szCs w:val="1"/>
                <w:color w:val="auto"/>
              </w:rPr>
            </w:pPr>
          </w:p>
        </w:tc>
      </w:tr>
      <w:tr>
        <w:trPr>
          <w:trHeight w:val="270"/>
        </w:trPr>
        <w:tc>
          <w:tcPr>
            <w:tcW w:w="610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Adjustments for:</w:t>
            </w:r>
          </w:p>
        </w:tc>
        <w:tc>
          <w:tcPr>
            <w:tcW w:w="1500" w:type="dxa"/>
            <w:vAlign w:val="bottom"/>
            <w:tcBorders>
              <w:bottom w:val="single" w:sz="8" w:color="EDEDEE"/>
              <w:right w:val="single" w:sz="8" w:color="2360A6"/>
            </w:tcBorders>
            <w:shd w:val="clear" w:color="auto" w:fill="EDEDEE"/>
          </w:tcPr>
          <w:p>
            <w:pPr>
              <w:spacing w:after="0"/>
              <w:rPr>
                <w:sz w:val="23"/>
                <w:szCs w:val="23"/>
                <w:color w:val="auto"/>
              </w:rPr>
            </w:pPr>
          </w:p>
        </w:tc>
        <w:tc>
          <w:tcPr>
            <w:tcW w:w="1580" w:type="dxa"/>
            <w:vAlign w:val="bottom"/>
            <w:tcBorders>
              <w:right w:val="single" w:sz="8" w:color="2360A6"/>
            </w:tcBorders>
          </w:tcPr>
          <w:p>
            <w:pPr>
              <w:spacing w:after="0"/>
              <w:rPr>
                <w:sz w:val="23"/>
                <w:szCs w:val="23"/>
                <w:color w:val="auto"/>
              </w:rPr>
            </w:pPr>
          </w:p>
        </w:tc>
        <w:tc>
          <w:tcPr>
            <w:tcW w:w="1480" w:type="dxa"/>
            <w:vAlign w:val="bottom"/>
            <w:tcBorders>
              <w:bottom w:val="single" w:sz="8" w:color="EDEDEE"/>
              <w:right w:val="single" w:sz="8" w:color="2360A6"/>
            </w:tcBorders>
            <w:shd w:val="clear" w:color="auto" w:fill="EDEDEE"/>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6100" w:type="dxa"/>
            <w:vAlign w:val="bottom"/>
            <w:tcBorders>
              <w:top w:val="single" w:sz="8" w:color="2360A6"/>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Depreciation and Impairment Losses of Property, Plant and Equipment</w:t>
            </w:r>
          </w:p>
        </w:tc>
        <w:tc>
          <w:tcPr>
            <w:tcW w:w="1500" w:type="dxa"/>
            <w:vAlign w:val="bottom"/>
            <w:tcBorders>
              <w:top w:val="single" w:sz="8" w:color="2360A6"/>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291.2</w:t>
            </w:r>
          </w:p>
        </w:tc>
        <w:tc>
          <w:tcPr>
            <w:tcW w:w="1580" w:type="dxa"/>
            <w:vAlign w:val="bottom"/>
            <w:tcBorders>
              <w:top w:val="single" w:sz="8" w:color="2360A6"/>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auto"/>
              </w:rPr>
              <w:t>(0.8)</w:t>
            </w:r>
          </w:p>
        </w:tc>
        <w:tc>
          <w:tcPr>
            <w:tcW w:w="1480" w:type="dxa"/>
            <w:vAlign w:val="bottom"/>
            <w:tcBorders>
              <w:top w:val="single" w:sz="8" w:color="2360A6"/>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290.4</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Amortization and Impairment Losses of Intangible Assets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15.8</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Non-Cash Convertible Bond Expense</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25.7</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79"/>
        </w:trPr>
        <w:tc>
          <w:tcPr>
            <w:tcW w:w="6100" w:type="dxa"/>
            <w:vAlign w:val="bottom"/>
            <w:tcBorders>
              <w:left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Expense related to Share-based Payment and Employee Savings Plans</w:t>
            </w:r>
          </w:p>
        </w:tc>
        <w:tc>
          <w:tcPr>
            <w:tcW w:w="1500" w:type="dxa"/>
            <w:vAlign w:val="bottom"/>
            <w:tcBorders>
              <w:right w:val="single" w:sz="8" w:color="2360A6"/>
            </w:tcBorders>
            <w:vMerge w:val="restart"/>
            <w:shd w:val="clear" w:color="auto" w:fill="EDEDEE"/>
          </w:tcPr>
          <w:p>
            <w:pPr>
              <w:jc w:val="right"/>
              <w:spacing w:after="0"/>
              <w:rPr>
                <w:sz w:val="20"/>
                <w:szCs w:val="20"/>
                <w:color w:val="auto"/>
              </w:rPr>
            </w:pPr>
            <w:r>
              <w:rPr>
                <w:rFonts w:ascii="Arial" w:cs="Arial" w:eastAsia="Arial" w:hAnsi="Arial"/>
                <w:sz w:val="14"/>
                <w:szCs w:val="14"/>
                <w:color w:val="auto"/>
              </w:rPr>
              <w:t>19.9</w:t>
            </w:r>
          </w:p>
        </w:tc>
        <w:tc>
          <w:tcPr>
            <w:tcW w:w="1580" w:type="dxa"/>
            <w:vAlign w:val="bottom"/>
            <w:tcBorders>
              <w:right w:val="single" w:sz="8" w:color="2360A6"/>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2360A6"/>
            </w:tcBorders>
            <w:vMerge w:val="restart"/>
            <w:shd w:val="clear" w:color="auto" w:fill="EDEDEE"/>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05"/>
        </w:trPr>
        <w:tc>
          <w:tcPr>
            <w:tcW w:w="6100" w:type="dxa"/>
            <w:vAlign w:val="bottom"/>
            <w:tcBorders>
              <w:left w:val="single" w:sz="8" w:color="2360A6"/>
              <w:right w:val="single" w:sz="8" w:color="2360A6"/>
            </w:tcBorders>
            <w:vMerge w:val="restart"/>
          </w:tcPr>
          <w:p>
            <w:pPr>
              <w:ind w:left="160"/>
              <w:spacing w:after="0"/>
              <w:rPr>
                <w:sz w:val="20"/>
                <w:szCs w:val="20"/>
                <w:color w:val="auto"/>
              </w:rPr>
            </w:pPr>
            <w:r>
              <w:rPr>
                <w:rFonts w:ascii="Arial" w:cs="Arial" w:eastAsia="Arial" w:hAnsi="Arial"/>
                <w:sz w:val="14"/>
                <w:szCs w:val="14"/>
                <w:color w:val="231F20"/>
              </w:rPr>
              <w:t>(“</w:t>
            </w:r>
            <w:r>
              <w:rPr>
                <w:rFonts w:ascii="Arial" w:cs="Arial" w:eastAsia="Arial" w:hAnsi="Arial"/>
                <w:sz w:val="14"/>
                <w:szCs w:val="14"/>
                <w:i w:val="1"/>
                <w:iCs w:val="1"/>
                <w:color w:val="231F20"/>
              </w:rPr>
              <w:t>Plans d’Épargne Entreprise</w:t>
            </w:r>
            <w:r>
              <w:rPr>
                <w:rFonts w:ascii="Arial" w:cs="Arial" w:eastAsia="Arial" w:hAnsi="Arial"/>
                <w:sz w:val="14"/>
                <w:szCs w:val="14"/>
                <w:color w:val="231F20"/>
              </w:rPr>
              <w:t>”)</w:t>
            </w:r>
          </w:p>
        </w:tc>
        <w:tc>
          <w:tcPr>
            <w:tcW w:w="1500" w:type="dxa"/>
            <w:vAlign w:val="bottom"/>
            <w:tcBorders>
              <w:right w:val="single" w:sz="8" w:color="2360A6"/>
            </w:tcBorders>
            <w:vMerge w:val="continue"/>
            <w:shd w:val="clear" w:color="auto" w:fill="EDEDEE"/>
          </w:tcPr>
          <w:p>
            <w:pPr>
              <w:spacing w:after="0"/>
              <w:rPr>
                <w:sz w:val="9"/>
                <w:szCs w:val="9"/>
                <w:color w:val="auto"/>
              </w:rPr>
            </w:pPr>
          </w:p>
        </w:tc>
        <w:tc>
          <w:tcPr>
            <w:tcW w:w="1580" w:type="dxa"/>
            <w:vAlign w:val="bottom"/>
            <w:tcBorders>
              <w:right w:val="single" w:sz="8" w:color="2360A6"/>
            </w:tcBorders>
            <w:vMerge w:val="continue"/>
          </w:tcPr>
          <w:p>
            <w:pPr>
              <w:spacing w:after="0"/>
              <w:rPr>
                <w:sz w:val="9"/>
                <w:szCs w:val="9"/>
                <w:color w:val="auto"/>
              </w:rPr>
            </w:pPr>
          </w:p>
        </w:tc>
        <w:tc>
          <w:tcPr>
            <w:tcW w:w="1480" w:type="dxa"/>
            <w:vAlign w:val="bottom"/>
            <w:tcBorders>
              <w:right w:val="single" w:sz="8" w:color="2360A6"/>
            </w:tcBorders>
            <w:vMerge w:val="continue"/>
            <w:shd w:val="clear" w:color="auto" w:fill="EDEDE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100" w:type="dxa"/>
            <w:vAlign w:val="bottom"/>
            <w:tcBorders>
              <w:left w:val="single" w:sz="8" w:color="2360A6"/>
              <w:bottom w:val="single" w:sz="8" w:color="2360A6"/>
              <w:right w:val="single" w:sz="8" w:color="2360A6"/>
            </w:tcBorders>
            <w:vMerge w:val="continue"/>
          </w:tcPr>
          <w:p>
            <w:pPr>
              <w:spacing w:after="0"/>
              <w:rPr>
                <w:sz w:val="7"/>
                <w:szCs w:val="7"/>
                <w:color w:val="auto"/>
              </w:rPr>
            </w:pPr>
          </w:p>
        </w:tc>
        <w:tc>
          <w:tcPr>
            <w:tcW w:w="1500" w:type="dxa"/>
            <w:vAlign w:val="bottom"/>
            <w:tcBorders>
              <w:bottom w:val="single" w:sz="8" w:color="2360A6"/>
              <w:right w:val="single" w:sz="8" w:color="2360A6"/>
            </w:tcBorders>
            <w:shd w:val="clear" w:color="auto" w:fill="EDEDEE"/>
          </w:tcPr>
          <w:p>
            <w:pPr>
              <w:spacing w:after="0"/>
              <w:rPr>
                <w:sz w:val="7"/>
                <w:szCs w:val="7"/>
                <w:color w:val="auto"/>
              </w:rPr>
            </w:pPr>
          </w:p>
        </w:tc>
        <w:tc>
          <w:tcPr>
            <w:tcW w:w="1580" w:type="dxa"/>
            <w:vAlign w:val="bottom"/>
            <w:tcBorders>
              <w:bottom w:val="single" w:sz="8" w:color="2360A6"/>
              <w:right w:val="single" w:sz="8" w:color="2360A6"/>
            </w:tcBorders>
          </w:tcPr>
          <w:p>
            <w:pPr>
              <w:spacing w:after="0"/>
              <w:rPr>
                <w:sz w:val="7"/>
                <w:szCs w:val="7"/>
                <w:color w:val="auto"/>
              </w:rPr>
            </w:pPr>
          </w:p>
        </w:tc>
        <w:tc>
          <w:tcPr>
            <w:tcW w:w="1480" w:type="dxa"/>
            <w:vAlign w:val="bottom"/>
            <w:tcBorders>
              <w:bottom w:val="single" w:sz="8" w:color="2360A6"/>
              <w:right w:val="single" w:sz="8" w:color="2360A6"/>
            </w:tcBorders>
            <w:shd w:val="clear" w:color="auto" w:fill="EDEDE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6100" w:type="dxa"/>
            <w:vAlign w:val="bottom"/>
            <w:tcBorders>
              <w:left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Non-Current Provisions (including Pensions and other Long-Term</w:t>
            </w:r>
          </w:p>
        </w:tc>
        <w:tc>
          <w:tcPr>
            <w:tcW w:w="1500" w:type="dxa"/>
            <w:vAlign w:val="bottom"/>
            <w:tcBorders>
              <w:right w:val="single" w:sz="8" w:color="2360A6"/>
            </w:tcBorders>
            <w:vMerge w:val="restart"/>
            <w:shd w:val="clear" w:color="auto" w:fill="EDEDEE"/>
          </w:tcPr>
          <w:p>
            <w:pPr>
              <w:jc w:val="right"/>
              <w:spacing w:after="0"/>
              <w:rPr>
                <w:sz w:val="20"/>
                <w:szCs w:val="20"/>
                <w:color w:val="auto"/>
              </w:rPr>
            </w:pPr>
            <w:r>
              <w:rPr>
                <w:rFonts w:ascii="Arial" w:cs="Arial" w:eastAsia="Arial" w:hAnsi="Arial"/>
                <w:sz w:val="14"/>
                <w:szCs w:val="14"/>
                <w:color w:val="auto"/>
              </w:rPr>
              <w:t>63.3</w:t>
            </w:r>
          </w:p>
        </w:tc>
        <w:tc>
          <w:tcPr>
            <w:tcW w:w="1580" w:type="dxa"/>
            <w:vAlign w:val="bottom"/>
            <w:tcBorders>
              <w:right w:val="single" w:sz="8" w:color="2360A6"/>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2360A6"/>
            </w:tcBorders>
            <w:vMerge w:val="restart"/>
            <w:shd w:val="clear" w:color="auto" w:fill="EDEDEE"/>
          </w:tcPr>
          <w:p>
            <w:pPr>
              <w:jc w:val="right"/>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91"/>
        </w:trPr>
        <w:tc>
          <w:tcPr>
            <w:tcW w:w="6100" w:type="dxa"/>
            <w:vAlign w:val="bottom"/>
            <w:tcBorders>
              <w:left w:val="single" w:sz="8" w:color="2360A6"/>
              <w:right w:val="single" w:sz="8" w:color="2360A6"/>
            </w:tcBorders>
            <w:vMerge w:val="restart"/>
          </w:tcPr>
          <w:p>
            <w:pPr>
              <w:ind w:left="160"/>
              <w:spacing w:after="0"/>
              <w:rPr>
                <w:sz w:val="20"/>
                <w:szCs w:val="20"/>
                <w:color w:val="auto"/>
              </w:rPr>
            </w:pPr>
            <w:r>
              <w:rPr>
                <w:rFonts w:ascii="Arial" w:cs="Arial" w:eastAsia="Arial" w:hAnsi="Arial"/>
                <w:sz w:val="14"/>
                <w:szCs w:val="14"/>
                <w:color w:val="231F20"/>
              </w:rPr>
              <w:t>Employee Benefit Plans)</w:t>
            </w:r>
          </w:p>
        </w:tc>
        <w:tc>
          <w:tcPr>
            <w:tcW w:w="1500" w:type="dxa"/>
            <w:vAlign w:val="bottom"/>
            <w:tcBorders>
              <w:right w:val="single" w:sz="8" w:color="2360A6"/>
            </w:tcBorders>
            <w:vMerge w:val="continue"/>
            <w:shd w:val="clear" w:color="auto" w:fill="EDEDEE"/>
          </w:tcPr>
          <w:p>
            <w:pPr>
              <w:spacing w:after="0"/>
              <w:rPr>
                <w:sz w:val="7"/>
                <w:szCs w:val="7"/>
                <w:color w:val="auto"/>
              </w:rPr>
            </w:pPr>
          </w:p>
        </w:tc>
        <w:tc>
          <w:tcPr>
            <w:tcW w:w="1580" w:type="dxa"/>
            <w:vAlign w:val="bottom"/>
            <w:tcBorders>
              <w:right w:val="single" w:sz="8" w:color="2360A6"/>
            </w:tcBorders>
            <w:vMerge w:val="continue"/>
          </w:tcPr>
          <w:p>
            <w:pPr>
              <w:spacing w:after="0"/>
              <w:rPr>
                <w:sz w:val="7"/>
                <w:szCs w:val="7"/>
                <w:color w:val="auto"/>
              </w:rPr>
            </w:pPr>
          </w:p>
        </w:tc>
        <w:tc>
          <w:tcPr>
            <w:tcW w:w="1480" w:type="dxa"/>
            <w:vAlign w:val="bottom"/>
            <w:tcBorders>
              <w:right w:val="single" w:sz="8" w:color="2360A6"/>
            </w:tcBorders>
            <w:vMerge w:val="continue"/>
            <w:shd w:val="clear" w:color="auto" w:fill="EDEDE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100" w:type="dxa"/>
            <w:vAlign w:val="bottom"/>
            <w:tcBorders>
              <w:left w:val="single" w:sz="8" w:color="2360A6"/>
              <w:bottom w:val="single" w:sz="8" w:color="2360A6"/>
              <w:right w:val="single" w:sz="8" w:color="2360A6"/>
            </w:tcBorders>
            <w:vMerge w:val="continue"/>
          </w:tcPr>
          <w:p>
            <w:pPr>
              <w:spacing w:after="0"/>
              <w:rPr>
                <w:sz w:val="7"/>
                <w:szCs w:val="7"/>
                <w:color w:val="auto"/>
              </w:rPr>
            </w:pPr>
          </w:p>
        </w:tc>
        <w:tc>
          <w:tcPr>
            <w:tcW w:w="1500" w:type="dxa"/>
            <w:vAlign w:val="bottom"/>
            <w:tcBorders>
              <w:bottom w:val="single" w:sz="8" w:color="2360A6"/>
              <w:right w:val="single" w:sz="8" w:color="2360A6"/>
            </w:tcBorders>
            <w:shd w:val="clear" w:color="auto" w:fill="EDEDEE"/>
          </w:tcPr>
          <w:p>
            <w:pPr>
              <w:spacing w:after="0"/>
              <w:rPr>
                <w:sz w:val="7"/>
                <w:szCs w:val="7"/>
                <w:color w:val="auto"/>
              </w:rPr>
            </w:pPr>
          </w:p>
        </w:tc>
        <w:tc>
          <w:tcPr>
            <w:tcW w:w="1580" w:type="dxa"/>
            <w:vAlign w:val="bottom"/>
            <w:tcBorders>
              <w:bottom w:val="single" w:sz="8" w:color="2360A6"/>
              <w:right w:val="single" w:sz="8" w:color="2360A6"/>
            </w:tcBorders>
          </w:tcPr>
          <w:p>
            <w:pPr>
              <w:spacing w:after="0"/>
              <w:rPr>
                <w:sz w:val="7"/>
                <w:szCs w:val="7"/>
                <w:color w:val="auto"/>
              </w:rPr>
            </w:pPr>
          </w:p>
        </w:tc>
        <w:tc>
          <w:tcPr>
            <w:tcW w:w="1480" w:type="dxa"/>
            <w:vAlign w:val="bottom"/>
            <w:tcBorders>
              <w:bottom w:val="single" w:sz="8" w:color="2360A6"/>
              <w:right w:val="single" w:sz="8" w:color="2360A6"/>
            </w:tcBorders>
            <w:shd w:val="clear" w:color="auto" w:fill="EDEDE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Share of (Income)/Loss of Equity Affiliates (net of Distributed Dividends)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(6.0)</w:t>
            </w:r>
          </w:p>
        </w:tc>
        <w:tc>
          <w:tcPr>
            <w:tcW w:w="15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auto"/>
              </w:rPr>
              <w:t>(38.6)</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(44.6)</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Net (Gains)/Losses on Disposal of Assets and Investments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23.8</w:t>
            </w:r>
          </w:p>
        </w:tc>
        <w:tc>
          <w:tcPr>
            <w:tcW w:w="15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auto"/>
              </w:rPr>
              <w:t>(0.1)</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Deferred Income Tax (Credit)/Expense</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(154.8)</w:t>
            </w:r>
          </w:p>
        </w:tc>
        <w:tc>
          <w:tcPr>
            <w:tcW w:w="15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auto"/>
              </w:rPr>
              <w:t>(33.2)</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(188.0)</w:t>
            </w:r>
          </w:p>
        </w:tc>
        <w:tc>
          <w:tcPr>
            <w:tcW w:w="0" w:type="dxa"/>
            <w:vAlign w:val="bottom"/>
          </w:tcPr>
          <w:p>
            <w:pPr>
              <w:spacing w:after="0"/>
              <w:rPr>
                <w:sz w:val="1"/>
                <w:szCs w:val="1"/>
                <w:color w:val="auto"/>
              </w:rPr>
            </w:pPr>
          </w:p>
        </w:tc>
      </w:tr>
      <w:tr>
        <w:trPr>
          <w:trHeight w:val="270"/>
        </w:trPr>
        <w:tc>
          <w:tcPr>
            <w:tcW w:w="6100" w:type="dxa"/>
            <w:vAlign w:val="bottom"/>
            <w:tcBorders>
              <w:left w:val="single" w:sz="8" w:color="2360A6"/>
              <w:right w:val="single" w:sz="8" w:color="2360A6"/>
            </w:tcBorders>
          </w:tcPr>
          <w:p>
            <w:pPr>
              <w:spacing w:after="0"/>
              <w:rPr>
                <w:sz w:val="23"/>
                <w:szCs w:val="23"/>
                <w:color w:val="auto"/>
              </w:rPr>
            </w:pPr>
          </w:p>
        </w:tc>
        <w:tc>
          <w:tcPr>
            <w:tcW w:w="1500" w:type="dxa"/>
            <w:vAlign w:val="bottom"/>
            <w:tcBorders>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auto"/>
              </w:rPr>
              <w:t>529.0</w:t>
            </w:r>
          </w:p>
        </w:tc>
        <w:tc>
          <w:tcPr>
            <w:tcW w:w="1580" w:type="dxa"/>
            <w:vAlign w:val="bottom"/>
            <w:tcBorders>
              <w:right w:val="single" w:sz="8" w:color="2360A6"/>
            </w:tcBorders>
          </w:tcPr>
          <w:p>
            <w:pPr>
              <w:jc w:val="right"/>
              <w:ind w:right="8"/>
              <w:spacing w:after="0"/>
              <w:rPr>
                <w:sz w:val="20"/>
                <w:szCs w:val="20"/>
                <w:color w:val="auto"/>
              </w:rPr>
            </w:pPr>
            <w:r>
              <w:rPr>
                <w:rFonts w:ascii="Arial" w:cs="Arial" w:eastAsia="Arial" w:hAnsi="Arial"/>
                <w:sz w:val="14"/>
                <w:szCs w:val="14"/>
                <w:b w:val="1"/>
                <w:bCs w:val="1"/>
                <w:color w:val="auto"/>
              </w:rPr>
              <w:t>(72.7)</w:t>
            </w:r>
          </w:p>
        </w:tc>
        <w:tc>
          <w:tcPr>
            <w:tcW w:w="1480" w:type="dxa"/>
            <w:vAlign w:val="bottom"/>
            <w:tcBorders>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auto"/>
              </w:rPr>
              <w:t>456.3</w:t>
            </w:r>
          </w:p>
        </w:tc>
        <w:tc>
          <w:tcPr>
            <w:tcW w:w="0" w:type="dxa"/>
            <w:vAlign w:val="bottom"/>
          </w:tcPr>
          <w:p>
            <w:pPr>
              <w:spacing w:after="0"/>
              <w:rPr>
                <w:sz w:val="1"/>
                <w:szCs w:val="1"/>
                <w:color w:val="auto"/>
              </w:rPr>
            </w:pPr>
          </w:p>
        </w:tc>
      </w:tr>
      <w:tr>
        <w:trPr>
          <w:trHeight w:val="204"/>
        </w:trPr>
        <w:tc>
          <w:tcPr>
            <w:tcW w:w="6100" w:type="dxa"/>
            <w:vAlign w:val="bottom"/>
            <w:tcBorders>
              <w:top w:val="single" w:sz="8" w:color="2360A6"/>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(Increase)/Decrease in Working Capital Requirement</w:t>
            </w:r>
          </w:p>
        </w:tc>
        <w:tc>
          <w:tcPr>
            <w:tcW w:w="1500" w:type="dxa"/>
            <w:vAlign w:val="bottom"/>
            <w:tcBorders>
              <w:top w:val="single" w:sz="8" w:color="2360A6"/>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(7.9)</w:t>
            </w:r>
          </w:p>
        </w:tc>
        <w:tc>
          <w:tcPr>
            <w:tcW w:w="1580" w:type="dxa"/>
            <w:vAlign w:val="bottom"/>
            <w:tcBorders>
              <w:top w:val="single" w:sz="8" w:color="2360A6"/>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auto"/>
              </w:rPr>
              <w:t>(2.2)</w:t>
            </w:r>
          </w:p>
        </w:tc>
        <w:tc>
          <w:tcPr>
            <w:tcW w:w="1480" w:type="dxa"/>
            <w:vAlign w:val="bottom"/>
            <w:tcBorders>
              <w:top w:val="single" w:sz="8" w:color="2360A6"/>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Cash Generated from/(Used in) Operating Activities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0046AD"/>
              </w:rPr>
              <w:t>521.1</w:t>
            </w:r>
          </w:p>
        </w:tc>
        <w:tc>
          <w:tcPr>
            <w:tcW w:w="15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b w:val="1"/>
                <w:bCs w:val="1"/>
                <w:color w:val="0046AD"/>
              </w:rPr>
              <w:t>(74.9)</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0046AD"/>
              </w:rPr>
              <w:t>446.2</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Purchases of Property, Plant and Equipment</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(274.4)</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0.7</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(273.7)</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Proceeds from Disposal of Property, Plant and Equipment</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35.9</w:t>
            </w:r>
          </w:p>
        </w:tc>
        <w:tc>
          <w:tcPr>
            <w:tcW w:w="15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auto"/>
              </w:rPr>
              <w:t>(0.2)</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Purchases of Intangible Assets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(9.2)</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0.2</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Proceeds from Disposal of Intangible Assets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0.1</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Acquisitions of Financial Assets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(6.7)</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Proceeds from Disposal of Financial Assets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(80.9)</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Acquisition Costs of Consolidated Companies, net of Cash Acquired</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1,632.5</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1,656.4</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3,288.9</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Cash Generated from/(Used in) Investing Activities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0046AD"/>
              </w:rPr>
              <w:t>1,297.3</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0046AD"/>
              </w:rPr>
              <w:t>1,657.1</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0046AD"/>
              </w:rPr>
              <w:t>2,954.4</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Increase in Borrowings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599.1</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599.1</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Decrease in Borrowings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(814.2)</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(814.2)</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Capital Increase</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1.5</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 Buy-Back</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(168.8)</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Dividends Paid</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(100.8)</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Cash Generated from/(Used in) Financing Activities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0046AD"/>
              </w:rPr>
              <w:t>(483.2)</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0046AD"/>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0046AD"/>
              </w:rPr>
              <w:t>(483.2)</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Net Effects of Foreign Exchange Rate Changes</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168.7</w:t>
            </w:r>
          </w:p>
        </w:tc>
        <w:tc>
          <w:tcPr>
            <w:tcW w:w="15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auto"/>
              </w:rPr>
              <w:t>(57.6)</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INCREASE/(DECREASE) IN CASH AND CASH EQUIVALENTS</w:t>
            </w:r>
          </w:p>
        </w:tc>
        <w:tc>
          <w:tcPr>
            <w:tcW w:w="15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0046AD"/>
              </w:rPr>
              <w:t>1,503.9</w:t>
            </w:r>
          </w:p>
        </w:tc>
        <w:tc>
          <w:tcPr>
            <w:tcW w:w="15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0046AD"/>
              </w:rPr>
              <w:t>1,524.6</w:t>
            </w:r>
          </w:p>
        </w:tc>
        <w:tc>
          <w:tcPr>
            <w:tcW w:w="148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0046AD"/>
              </w:rPr>
              <w:t>3,028.5</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Cash and Cash Equivalents as of January 1</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4,501.4</w:t>
            </w:r>
          </w:p>
        </w:tc>
        <w:tc>
          <w:tcPr>
            <w:tcW w:w="15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auto"/>
              </w:rPr>
              <w:t>(1,582.3)</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2,919.1</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Bank Overdrafts as of January 1</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(0.1)</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Cash and Cash Equivalents as of December 31</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6,005.3</w:t>
            </w:r>
          </w:p>
        </w:tc>
        <w:tc>
          <w:tcPr>
            <w:tcW w:w="15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auto"/>
              </w:rPr>
              <w:t>(57.7)</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5,947.6</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Bank Overdrafts as of December 31</w:t>
            </w:r>
          </w:p>
        </w:tc>
        <w:tc>
          <w:tcPr>
            <w:tcW w:w="15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(0.1)</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0"/>
        </w:trPr>
        <w:tc>
          <w:tcPr>
            <w:tcW w:w="610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INCREASE/(DECREASE) IN CASH AND CASH EQUIVALENTS</w:t>
            </w:r>
          </w:p>
        </w:tc>
        <w:tc>
          <w:tcPr>
            <w:tcW w:w="15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0046AD"/>
              </w:rPr>
              <w:t>1,503.9</w:t>
            </w:r>
          </w:p>
        </w:tc>
        <w:tc>
          <w:tcPr>
            <w:tcW w:w="15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0046AD"/>
              </w:rPr>
              <w:t>1,524.6</w:t>
            </w:r>
          </w:p>
        </w:tc>
        <w:tc>
          <w:tcPr>
            <w:tcW w:w="148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0046AD"/>
              </w:rPr>
              <w:t>3,028.5</w:t>
            </w:r>
          </w:p>
        </w:tc>
        <w:tc>
          <w:tcPr>
            <w:tcW w:w="0" w:type="dxa"/>
            <w:vAlign w:val="bottom"/>
          </w:tcPr>
          <w:p>
            <w:pPr>
              <w:spacing w:after="0"/>
              <w:rPr>
                <w:sz w:val="1"/>
                <w:szCs w:val="1"/>
                <w:color w:val="auto"/>
              </w:rPr>
            </w:pPr>
          </w:p>
        </w:tc>
      </w:tr>
    </w:tbl>
    <w:p>
      <w:pPr>
        <w:sectPr>
          <w:pgSz w:w="11900" w:h="16838" w:orient="portrait"/>
          <w:cols w:equalWidth="0" w:num="1">
            <w:col w:w="10820"/>
          </w:cols>
          <w:pgMar w:left="480" w:top="647" w:right="599" w:bottom="1440" w:gutter="0" w:footer="0" w:header="0"/>
        </w:sectPr>
      </w:pPr>
    </w:p>
    <w:bookmarkStart w:id="108" w:name="page109"/>
    <w:bookmarkEnd w:id="10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6100" w:type="dxa"/>
            <w:vAlign w:val="bottom"/>
            <w:tcBorders>
              <w:top w:val="single" w:sz="8" w:color="2360A6"/>
              <w:left w:val="single" w:sz="8" w:color="2360A6"/>
              <w:right w:val="single" w:sz="8" w:color="2360A6"/>
            </w:tcBorders>
          </w:tcPr>
          <w:p>
            <w:pPr>
              <w:spacing w:after="0"/>
              <w:rPr>
                <w:sz w:val="19"/>
                <w:szCs w:val="19"/>
                <w:color w:val="auto"/>
              </w:rPr>
            </w:pPr>
          </w:p>
        </w:tc>
        <w:tc>
          <w:tcPr>
            <w:tcW w:w="1500" w:type="dxa"/>
            <w:vAlign w:val="bottom"/>
            <w:tcBorders>
              <w:top w:val="single" w:sz="8" w:color="2360A6"/>
              <w:bottom w:val="single" w:sz="8" w:color="2360A6"/>
            </w:tcBorders>
          </w:tcPr>
          <w:p>
            <w:pPr>
              <w:spacing w:after="0"/>
              <w:rPr>
                <w:sz w:val="19"/>
                <w:szCs w:val="19"/>
                <w:color w:val="auto"/>
              </w:rPr>
            </w:pPr>
          </w:p>
        </w:tc>
        <w:tc>
          <w:tcPr>
            <w:tcW w:w="1580" w:type="dxa"/>
            <w:vAlign w:val="bottom"/>
            <w:tcBorders>
              <w:top w:val="single" w:sz="8" w:color="2360A6"/>
              <w:bottom w:val="single" w:sz="8" w:color="2360A6"/>
            </w:tcBorders>
          </w:tcPr>
          <w:p>
            <w:pPr>
              <w:jc w:val="right"/>
              <w:ind w:right="368"/>
              <w:spacing w:after="0"/>
              <w:rPr>
                <w:sz w:val="20"/>
                <w:szCs w:val="20"/>
                <w:color w:val="auto"/>
              </w:rPr>
            </w:pPr>
            <w:r>
              <w:rPr>
                <w:rFonts w:ascii="Arial" w:cs="Arial" w:eastAsia="Arial" w:hAnsi="Arial"/>
                <w:sz w:val="14"/>
                <w:szCs w:val="14"/>
                <w:b w:val="1"/>
                <w:bCs w:val="1"/>
                <w:color w:val="2360A6"/>
              </w:rPr>
              <w:t>12 months</w:t>
            </w:r>
          </w:p>
        </w:tc>
        <w:tc>
          <w:tcPr>
            <w:tcW w:w="1480" w:type="dxa"/>
            <w:vAlign w:val="bottom"/>
            <w:tcBorders>
              <w:top w:val="single" w:sz="8" w:color="2360A6"/>
              <w:bottom w:val="single" w:sz="8" w:color="2360A6"/>
              <w:right w:val="single" w:sz="8" w:color="2360A6"/>
            </w:tcBorders>
          </w:tcPr>
          <w:p>
            <w:pPr>
              <w:spacing w:after="0"/>
              <w:rPr>
                <w:sz w:val="19"/>
                <w:szCs w:val="19"/>
                <w:color w:val="auto"/>
              </w:rPr>
            </w:pPr>
          </w:p>
        </w:tc>
      </w:tr>
      <w:tr>
        <w:trPr>
          <w:trHeight w:val="175"/>
        </w:trPr>
        <w:tc>
          <w:tcPr>
            <w:tcW w:w="6100" w:type="dxa"/>
            <w:vAlign w:val="bottom"/>
            <w:tcBorders>
              <w:left w:val="single" w:sz="8" w:color="2360A6"/>
              <w:right w:val="single" w:sz="8" w:color="2360A6"/>
            </w:tcBorders>
          </w:tcPr>
          <w:p>
            <w:pPr>
              <w:spacing w:after="0"/>
              <w:rPr>
                <w:sz w:val="15"/>
                <w:szCs w:val="15"/>
                <w:color w:val="auto"/>
              </w:rPr>
            </w:pPr>
          </w:p>
        </w:tc>
        <w:tc>
          <w:tcPr>
            <w:tcW w:w="150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2015</w:t>
            </w:r>
          </w:p>
        </w:tc>
        <w:tc>
          <w:tcPr>
            <w:tcW w:w="1580" w:type="dxa"/>
            <w:vAlign w:val="bottom"/>
            <w:tcBorders>
              <w:right w:val="single" w:sz="8" w:color="2360A6"/>
            </w:tcBorders>
          </w:tcPr>
          <w:p>
            <w:pPr>
              <w:spacing w:after="0"/>
              <w:rPr>
                <w:sz w:val="15"/>
                <w:szCs w:val="15"/>
                <w:color w:val="auto"/>
              </w:rPr>
            </w:pPr>
          </w:p>
        </w:tc>
        <w:tc>
          <w:tcPr>
            <w:tcW w:w="148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2015</w:t>
            </w:r>
          </w:p>
        </w:tc>
      </w:tr>
      <w:tr>
        <w:trPr>
          <w:trHeight w:val="196"/>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Adjusted</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Adjustments</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Consolidated</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Net Income/(Loss) for the Year (including Non-Controlling Interests)</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56.2</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56.2</w:t>
            </w:r>
          </w:p>
        </w:tc>
      </w:tr>
      <w:tr>
        <w:trPr>
          <w:trHeight w:val="264"/>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Adjustments for:</w:t>
            </w:r>
          </w:p>
        </w:tc>
        <w:tc>
          <w:tcPr>
            <w:tcW w:w="1500" w:type="dxa"/>
            <w:vAlign w:val="bottom"/>
            <w:tcBorders>
              <w:bottom w:val="single" w:sz="8" w:color="2360A6"/>
              <w:right w:val="single" w:sz="8" w:color="2360A6"/>
            </w:tcBorders>
          </w:tcPr>
          <w:p>
            <w:pPr>
              <w:spacing w:after="0"/>
              <w:rPr>
                <w:sz w:val="22"/>
                <w:szCs w:val="22"/>
                <w:color w:val="auto"/>
              </w:rPr>
            </w:pPr>
          </w:p>
        </w:tc>
        <w:tc>
          <w:tcPr>
            <w:tcW w:w="1580" w:type="dxa"/>
            <w:vAlign w:val="bottom"/>
            <w:tcBorders>
              <w:bottom w:val="single" w:sz="8" w:color="2360A6"/>
              <w:right w:val="single" w:sz="8" w:color="2360A6"/>
            </w:tcBorders>
          </w:tcPr>
          <w:p>
            <w:pPr>
              <w:spacing w:after="0"/>
              <w:rPr>
                <w:sz w:val="22"/>
                <w:szCs w:val="22"/>
                <w:color w:val="auto"/>
              </w:rPr>
            </w:pPr>
          </w:p>
        </w:tc>
        <w:tc>
          <w:tcPr>
            <w:tcW w:w="1480" w:type="dxa"/>
            <w:vAlign w:val="bottom"/>
            <w:tcBorders>
              <w:bottom w:val="single" w:sz="8" w:color="2360A6"/>
              <w:right w:val="single" w:sz="8" w:color="2360A6"/>
            </w:tcBorders>
          </w:tcPr>
          <w:p>
            <w:pPr>
              <w:spacing w:after="0"/>
              <w:rPr>
                <w:sz w:val="22"/>
                <w:szCs w:val="22"/>
                <w:color w:val="auto"/>
              </w:rPr>
            </w:pPr>
          </w:p>
        </w:tc>
      </w:tr>
      <w:tr>
        <w:trPr>
          <w:trHeight w:val="210"/>
        </w:trPr>
        <w:tc>
          <w:tcPr>
            <w:tcW w:w="610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Depreciation and Impairment Losses of Property, Plant and Equipment</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325.1</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(0.2)</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324.9</w:t>
            </w:r>
          </w:p>
        </w:tc>
      </w:tr>
      <w:tr>
        <w:trPr>
          <w:trHeight w:val="210"/>
        </w:trPr>
        <w:tc>
          <w:tcPr>
            <w:tcW w:w="610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Amortization and Impairment Losses of Intangible Assets</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21.2</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(0.1)</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21.1</w:t>
            </w:r>
          </w:p>
        </w:tc>
      </w:tr>
      <w:tr>
        <w:trPr>
          <w:trHeight w:val="210"/>
        </w:trPr>
        <w:tc>
          <w:tcPr>
            <w:tcW w:w="610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Non-Cash Convertible Bond Expense</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30.2</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30.2</w:t>
            </w:r>
          </w:p>
        </w:tc>
      </w:tr>
      <w:tr>
        <w:trPr>
          <w:trHeight w:val="179"/>
        </w:trPr>
        <w:tc>
          <w:tcPr>
            <w:tcW w:w="6100" w:type="dxa"/>
            <w:vAlign w:val="bottom"/>
            <w:tcBorders>
              <w:left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Expense related to Share-based Payment and Employee Savings Plans</w:t>
            </w:r>
          </w:p>
        </w:tc>
        <w:tc>
          <w:tcPr>
            <w:tcW w:w="1500" w:type="dxa"/>
            <w:vAlign w:val="bottom"/>
            <w:tcBorders>
              <w:right w:val="single" w:sz="8" w:color="2360A6"/>
            </w:tcBorders>
          </w:tcPr>
          <w:p>
            <w:pPr>
              <w:spacing w:after="0"/>
              <w:rPr>
                <w:sz w:val="15"/>
                <w:szCs w:val="15"/>
                <w:color w:val="auto"/>
              </w:rPr>
            </w:pPr>
          </w:p>
        </w:tc>
        <w:tc>
          <w:tcPr>
            <w:tcW w:w="1580" w:type="dxa"/>
            <w:vAlign w:val="bottom"/>
            <w:tcBorders>
              <w:right w:val="single" w:sz="8" w:color="2360A6"/>
            </w:tcBorders>
          </w:tcPr>
          <w:p>
            <w:pPr>
              <w:spacing w:after="0"/>
              <w:rPr>
                <w:sz w:val="15"/>
                <w:szCs w:val="15"/>
                <w:color w:val="auto"/>
              </w:rPr>
            </w:pPr>
          </w:p>
        </w:tc>
        <w:tc>
          <w:tcPr>
            <w:tcW w:w="1480" w:type="dxa"/>
            <w:vAlign w:val="bottom"/>
            <w:tcBorders>
              <w:right w:val="single" w:sz="8" w:color="2360A6"/>
            </w:tcBorders>
          </w:tcPr>
          <w:p>
            <w:pPr>
              <w:spacing w:after="0"/>
              <w:rPr>
                <w:sz w:val="15"/>
                <w:szCs w:val="15"/>
                <w:color w:val="auto"/>
              </w:rPr>
            </w:pPr>
          </w:p>
        </w:tc>
      </w:tr>
      <w:tr>
        <w:trPr>
          <w:trHeight w:val="192"/>
        </w:trPr>
        <w:tc>
          <w:tcPr>
            <w:tcW w:w="610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w:t>
            </w:r>
            <w:r>
              <w:rPr>
                <w:rFonts w:ascii="Arial" w:cs="Arial" w:eastAsia="Arial" w:hAnsi="Arial"/>
                <w:sz w:val="14"/>
                <w:szCs w:val="14"/>
                <w:i w:val="1"/>
                <w:iCs w:val="1"/>
                <w:color w:val="231F20"/>
              </w:rPr>
              <w:t>Plans d’Épargne Entreprise</w:t>
            </w:r>
            <w:r>
              <w:rPr>
                <w:rFonts w:ascii="Arial" w:cs="Arial" w:eastAsia="Arial" w:hAnsi="Arial"/>
                <w:sz w:val="14"/>
                <w:szCs w:val="14"/>
                <w:color w:val="231F20"/>
              </w:rPr>
              <w:t>”)</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40.5</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40.5</w:t>
            </w:r>
          </w:p>
        </w:tc>
      </w:tr>
      <w:tr>
        <w:trPr>
          <w:trHeight w:val="193"/>
        </w:trPr>
        <w:tc>
          <w:tcPr>
            <w:tcW w:w="6100" w:type="dxa"/>
            <w:vAlign w:val="bottom"/>
            <w:tcBorders>
              <w:left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Non-Current Provisions (including Pensions and other Long-Term</w:t>
            </w:r>
          </w:p>
        </w:tc>
        <w:tc>
          <w:tcPr>
            <w:tcW w:w="1500" w:type="dxa"/>
            <w:vAlign w:val="bottom"/>
            <w:tcBorders>
              <w:right w:val="single" w:sz="8" w:color="2360A6"/>
            </w:tcBorders>
          </w:tcPr>
          <w:p>
            <w:pPr>
              <w:spacing w:after="0"/>
              <w:rPr>
                <w:sz w:val="16"/>
                <w:szCs w:val="16"/>
                <w:color w:val="auto"/>
              </w:rPr>
            </w:pPr>
          </w:p>
        </w:tc>
        <w:tc>
          <w:tcPr>
            <w:tcW w:w="1580" w:type="dxa"/>
            <w:vAlign w:val="bottom"/>
            <w:tcBorders>
              <w:right w:val="single" w:sz="8" w:color="2360A6"/>
            </w:tcBorders>
          </w:tcPr>
          <w:p>
            <w:pPr>
              <w:spacing w:after="0"/>
              <w:rPr>
                <w:sz w:val="16"/>
                <w:szCs w:val="16"/>
                <w:color w:val="auto"/>
              </w:rPr>
            </w:pPr>
          </w:p>
        </w:tc>
        <w:tc>
          <w:tcPr>
            <w:tcW w:w="1480" w:type="dxa"/>
            <w:vAlign w:val="bottom"/>
            <w:tcBorders>
              <w:right w:val="single" w:sz="8" w:color="2360A6"/>
            </w:tcBorders>
          </w:tcPr>
          <w:p>
            <w:pPr>
              <w:spacing w:after="0"/>
              <w:rPr>
                <w:sz w:val="16"/>
                <w:szCs w:val="16"/>
                <w:color w:val="auto"/>
              </w:rPr>
            </w:pPr>
          </w:p>
        </w:tc>
      </w:tr>
      <w:tr>
        <w:trPr>
          <w:trHeight w:val="178"/>
        </w:trPr>
        <w:tc>
          <w:tcPr>
            <w:tcW w:w="610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Employee Benefit Plans)</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136.5</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(0.1)</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136.4</w:t>
            </w:r>
          </w:p>
        </w:tc>
      </w:tr>
      <w:tr>
        <w:trPr>
          <w:trHeight w:val="210"/>
        </w:trPr>
        <w:tc>
          <w:tcPr>
            <w:tcW w:w="610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Share of (Income)/Loss of Equity Affiliates (net of Distributed Dividends)</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(15.7)</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(20.0)</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(35.7)</w:t>
            </w:r>
          </w:p>
        </w:tc>
      </w:tr>
      <w:tr>
        <w:trPr>
          <w:trHeight w:val="210"/>
        </w:trPr>
        <w:tc>
          <w:tcPr>
            <w:tcW w:w="610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Net (Gains)/Losses on Disposal of Assets and Investments</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(31.8)</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(31.8)</w:t>
            </w:r>
          </w:p>
        </w:tc>
      </w:tr>
      <w:tr>
        <w:trPr>
          <w:trHeight w:val="210"/>
        </w:trPr>
        <w:tc>
          <w:tcPr>
            <w:tcW w:w="610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Deferred Income Tax (Credit)/Expense</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(81.0)</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17.2</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(63.8)</w:t>
            </w:r>
          </w:p>
        </w:tc>
      </w:tr>
      <w:tr>
        <w:trPr>
          <w:trHeight w:val="264"/>
        </w:trPr>
        <w:tc>
          <w:tcPr>
            <w:tcW w:w="6100" w:type="dxa"/>
            <w:vAlign w:val="bottom"/>
            <w:tcBorders>
              <w:left w:val="single" w:sz="8" w:color="2360A6"/>
              <w:bottom w:val="single" w:sz="8" w:color="2360A6"/>
              <w:right w:val="single" w:sz="8" w:color="2360A6"/>
            </w:tcBorders>
          </w:tcPr>
          <w:p>
            <w:pPr>
              <w:spacing w:after="0"/>
              <w:rPr>
                <w:sz w:val="22"/>
                <w:szCs w:val="22"/>
                <w:color w:val="auto"/>
              </w:rPr>
            </w:pP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1F20"/>
              </w:rPr>
              <w:t>481.2</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1F20"/>
              </w:rPr>
              <w:t>(3.2)</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1F20"/>
              </w:rPr>
              <w:t>478.0</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(Increase)/Decrease in Working Capital Requirement</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562.1</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(409.1)</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153.0</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Cash Generated from/(Used in) Operating Activities</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1,043.3</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(412.3)</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631.0</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Purchases of Property, Plant and Equipment</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(281.8)</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1.5</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(280.3)</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Proceeds from Disposal of Property, Plant and Equipment</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23.2</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23.2</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Purchases of Intangible Assets</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(13.1)</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0.1</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(13.0)</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Proceeds from Disposal of Intangible Assets</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0.1</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0.1</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Acquisitions of Financial Assets</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(2.3)</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(2.3)</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Proceeds from Disposal of Financial Assets</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1.2</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1.2</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Acquisition Costs of Consolidated Companies, net of Cash Acquired</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(30.7)</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(30.7)</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Cash Generated from/(Used in) Investing Activities</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(303.4)</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1.6</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b w:val="1"/>
                <w:bCs w:val="1"/>
                <w:color w:val="2360A6"/>
              </w:rPr>
              <w:t>(301.8)</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Increase in Borrowings</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84.4</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84.4</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Decrease in Borrowings</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(197.8)</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(197.8)</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Capital Increase</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94.3</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94.3</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 Buy-Back</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Dividends Paid</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(88.9)</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(88.9)</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Dividends Paid to Non-Controlling Interests</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(5.8)</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(5.8)</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Cash Generated from/(Used in) Financing Activities</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(113.8)</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b w:val="1"/>
                <w:bCs w:val="1"/>
                <w:color w:val="2360A6"/>
              </w:rPr>
              <w:t>(113.8)</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Net Effects of Foreign Exchange Rate Changes</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137.8</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(118.9)</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18.9</w:t>
            </w:r>
          </w:p>
        </w:tc>
      </w:tr>
      <w:tr>
        <w:trPr>
          <w:trHeight w:val="210"/>
        </w:trPr>
        <w:tc>
          <w:tcPr>
            <w:tcW w:w="610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INCREASE/(DECREASE) IN CASH AND CASH EQUIVALENTS</w:t>
            </w:r>
          </w:p>
        </w:tc>
        <w:tc>
          <w:tcPr>
            <w:tcW w:w="150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763.9</w:t>
            </w:r>
          </w:p>
        </w:tc>
        <w:tc>
          <w:tcPr>
            <w:tcW w:w="158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(529.6)</w:t>
            </w:r>
          </w:p>
        </w:tc>
        <w:tc>
          <w:tcPr>
            <w:tcW w:w="14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234.3</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Cash and Cash Equivalents as of January 1</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3,738.3</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(1,052.7)</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2,685.6</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Bank Overdrafts as of January 1</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(0.9)</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(0.9)</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Cash and Cash Equivalents as of December 31</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4,501.4</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(1,582.3)</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2,919.1</w:t>
            </w:r>
          </w:p>
        </w:tc>
      </w:tr>
      <w:tr>
        <w:trPr>
          <w:trHeight w:val="210"/>
        </w:trPr>
        <w:tc>
          <w:tcPr>
            <w:tcW w:w="61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Bank Overdrafts as of December 31</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(0.1)</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(0.1)</w:t>
            </w:r>
          </w:p>
        </w:tc>
      </w:tr>
      <w:tr>
        <w:trPr>
          <w:trHeight w:val="210"/>
        </w:trPr>
        <w:tc>
          <w:tcPr>
            <w:tcW w:w="610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INCREASE/(DECREASE) IN CASH AND CASH EQUIVALENTS</w:t>
            </w:r>
          </w:p>
        </w:tc>
        <w:tc>
          <w:tcPr>
            <w:tcW w:w="150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763.9</w:t>
            </w:r>
          </w:p>
        </w:tc>
        <w:tc>
          <w:tcPr>
            <w:tcW w:w="158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(529.6)</w:t>
            </w:r>
          </w:p>
        </w:tc>
        <w:tc>
          <w:tcPr>
            <w:tcW w:w="14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234.3</w:t>
            </w:r>
          </w:p>
        </w:tc>
      </w:tr>
    </w:tbl>
    <w:p>
      <w:pPr>
        <w:sectPr>
          <w:pgSz w:w="11900" w:h="16838" w:orient="portrait"/>
          <w:cols w:equalWidth="0" w:num="1">
            <w:col w:w="10660"/>
          </w:cols>
          <w:pgMar w:left="640" w:top="930" w:right="599" w:bottom="1440" w:gutter="0" w:footer="0" w:header="0"/>
        </w:sectPr>
      </w:pPr>
    </w:p>
    <w:bookmarkStart w:id="109" w:name="page110"/>
    <w:bookmarkEnd w:id="1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5980" w:type="dxa"/>
            <w:vAlign w:val="bottom"/>
            <w:tcBorders>
              <w:top w:val="single" w:sz="8" w:color="2360A6"/>
              <w:left w:val="single" w:sz="8" w:color="2360A6"/>
              <w:right w:val="single" w:sz="8" w:color="2360A6"/>
            </w:tcBorders>
          </w:tcPr>
          <w:p>
            <w:pPr>
              <w:spacing w:after="0"/>
              <w:rPr>
                <w:sz w:val="19"/>
                <w:szCs w:val="19"/>
                <w:color w:val="auto"/>
              </w:rPr>
            </w:pPr>
          </w:p>
        </w:tc>
        <w:tc>
          <w:tcPr>
            <w:tcW w:w="1620" w:type="dxa"/>
            <w:vAlign w:val="bottom"/>
            <w:tcBorders>
              <w:top w:val="single" w:sz="8" w:color="2360A6"/>
              <w:bottom w:val="single" w:sz="8" w:color="2360A6"/>
            </w:tcBorders>
          </w:tcPr>
          <w:p>
            <w:pPr>
              <w:spacing w:after="0"/>
              <w:rPr>
                <w:sz w:val="19"/>
                <w:szCs w:val="19"/>
                <w:color w:val="auto"/>
              </w:rPr>
            </w:pPr>
          </w:p>
        </w:tc>
        <w:tc>
          <w:tcPr>
            <w:tcW w:w="1580" w:type="dxa"/>
            <w:vAlign w:val="bottom"/>
            <w:tcBorders>
              <w:top w:val="single" w:sz="8" w:color="2360A6"/>
              <w:bottom w:val="single" w:sz="8" w:color="2360A6"/>
            </w:tcBorders>
          </w:tcPr>
          <w:p>
            <w:pPr>
              <w:jc w:val="right"/>
              <w:ind w:right="428"/>
              <w:spacing w:after="0"/>
              <w:rPr>
                <w:sz w:val="20"/>
                <w:szCs w:val="20"/>
                <w:color w:val="auto"/>
              </w:rPr>
            </w:pPr>
            <w:r>
              <w:rPr>
                <w:rFonts w:ascii="Arial" w:cs="Arial" w:eastAsia="Arial" w:hAnsi="Arial"/>
                <w:sz w:val="14"/>
                <w:szCs w:val="14"/>
                <w:b w:val="1"/>
                <w:bCs w:val="1"/>
                <w:color w:val="2360A6"/>
              </w:rPr>
              <w:t>12 months</w:t>
            </w:r>
          </w:p>
        </w:tc>
        <w:tc>
          <w:tcPr>
            <w:tcW w:w="1480" w:type="dxa"/>
            <w:vAlign w:val="bottom"/>
            <w:tcBorders>
              <w:top w:val="single" w:sz="8" w:color="2360A6"/>
              <w:bottom w:val="single" w:sz="8" w:color="2360A6"/>
              <w:right w:val="single" w:sz="8" w:color="2360A6"/>
            </w:tcBorders>
          </w:tcPr>
          <w:p>
            <w:pPr>
              <w:spacing w:after="0"/>
              <w:rPr>
                <w:sz w:val="19"/>
                <w:szCs w:val="19"/>
                <w:color w:val="auto"/>
              </w:rPr>
            </w:pPr>
          </w:p>
        </w:tc>
      </w:tr>
      <w:tr>
        <w:trPr>
          <w:trHeight w:val="229"/>
        </w:trPr>
        <w:tc>
          <w:tcPr>
            <w:tcW w:w="5980" w:type="dxa"/>
            <w:vAlign w:val="bottom"/>
            <w:tcBorders>
              <w:left w:val="single" w:sz="8" w:color="2360A6"/>
              <w:right w:val="single" w:sz="8" w:color="2360A6"/>
            </w:tcBorders>
          </w:tcPr>
          <w:p>
            <w:pPr>
              <w:spacing w:after="0"/>
              <w:rPr>
                <w:sz w:val="19"/>
                <w:szCs w:val="19"/>
                <w:color w:val="auto"/>
              </w:rPr>
            </w:pPr>
          </w:p>
        </w:tc>
        <w:tc>
          <w:tcPr>
            <w:tcW w:w="162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2014</w:t>
            </w:r>
          </w:p>
        </w:tc>
        <w:tc>
          <w:tcPr>
            <w:tcW w:w="1580" w:type="dxa"/>
            <w:vAlign w:val="bottom"/>
            <w:tcBorders>
              <w:right w:val="single" w:sz="8" w:color="2360A6"/>
            </w:tcBorders>
          </w:tcPr>
          <w:p>
            <w:pPr>
              <w:spacing w:after="0"/>
              <w:rPr>
                <w:sz w:val="19"/>
                <w:szCs w:val="19"/>
                <w:color w:val="auto"/>
              </w:rPr>
            </w:pPr>
          </w:p>
        </w:tc>
        <w:tc>
          <w:tcPr>
            <w:tcW w:w="148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2014</w:t>
            </w:r>
          </w:p>
        </w:tc>
      </w:tr>
      <w:tr>
        <w:trPr>
          <w:trHeight w:val="196"/>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Adjusted</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Adjustments</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Consolidated</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Net Income/(Loss) for the Year (including Non-Controlling Interests)</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442.4</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442.4</w:t>
            </w:r>
          </w:p>
        </w:tc>
      </w:tr>
      <w:tr>
        <w:trPr>
          <w:trHeight w:val="264"/>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Adjustments for:</w:t>
            </w:r>
          </w:p>
        </w:tc>
        <w:tc>
          <w:tcPr>
            <w:tcW w:w="1620" w:type="dxa"/>
            <w:vAlign w:val="bottom"/>
            <w:tcBorders>
              <w:bottom w:val="single" w:sz="8" w:color="2360A6"/>
              <w:right w:val="single" w:sz="8" w:color="2360A6"/>
            </w:tcBorders>
          </w:tcPr>
          <w:p>
            <w:pPr>
              <w:spacing w:after="0"/>
              <w:rPr>
                <w:sz w:val="22"/>
                <w:szCs w:val="22"/>
                <w:color w:val="auto"/>
              </w:rPr>
            </w:pPr>
          </w:p>
        </w:tc>
        <w:tc>
          <w:tcPr>
            <w:tcW w:w="1580" w:type="dxa"/>
            <w:vAlign w:val="bottom"/>
            <w:tcBorders>
              <w:bottom w:val="single" w:sz="8" w:color="2360A6"/>
              <w:right w:val="single" w:sz="8" w:color="2360A6"/>
            </w:tcBorders>
          </w:tcPr>
          <w:p>
            <w:pPr>
              <w:spacing w:after="0"/>
              <w:rPr>
                <w:sz w:val="22"/>
                <w:szCs w:val="22"/>
                <w:color w:val="auto"/>
              </w:rPr>
            </w:pPr>
          </w:p>
        </w:tc>
        <w:tc>
          <w:tcPr>
            <w:tcW w:w="1480" w:type="dxa"/>
            <w:vAlign w:val="bottom"/>
            <w:tcBorders>
              <w:bottom w:val="single" w:sz="8" w:color="2360A6"/>
              <w:right w:val="single" w:sz="8" w:color="2360A6"/>
            </w:tcBorders>
          </w:tcPr>
          <w:p>
            <w:pPr>
              <w:spacing w:after="0"/>
              <w:rPr>
                <w:sz w:val="22"/>
                <w:szCs w:val="22"/>
                <w:color w:val="auto"/>
              </w:rPr>
            </w:pPr>
          </w:p>
        </w:tc>
      </w:tr>
      <w:tr>
        <w:trPr>
          <w:trHeight w:val="210"/>
        </w:trPr>
        <w:tc>
          <w:tcPr>
            <w:tcW w:w="598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Depreciation and Impairment Losses of Property, Plant and Equipment</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263.8</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263.8</w:t>
            </w:r>
          </w:p>
        </w:tc>
      </w:tr>
      <w:tr>
        <w:trPr>
          <w:trHeight w:val="210"/>
        </w:trPr>
        <w:tc>
          <w:tcPr>
            <w:tcW w:w="598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Amortization and Impairment Losses of Intangible Assets</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19.5</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19.5</w:t>
            </w:r>
          </w:p>
        </w:tc>
      </w:tr>
      <w:tr>
        <w:trPr>
          <w:trHeight w:val="210"/>
        </w:trPr>
        <w:tc>
          <w:tcPr>
            <w:tcW w:w="598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Non-Cash Convertible Bond Expense</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29.2</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29.2</w:t>
            </w:r>
          </w:p>
        </w:tc>
      </w:tr>
      <w:tr>
        <w:trPr>
          <w:trHeight w:val="179"/>
        </w:trPr>
        <w:tc>
          <w:tcPr>
            <w:tcW w:w="5980" w:type="dxa"/>
            <w:vAlign w:val="bottom"/>
            <w:tcBorders>
              <w:left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Expense related to Share-based Payment and Employee Savings Plans</w:t>
            </w:r>
          </w:p>
        </w:tc>
        <w:tc>
          <w:tcPr>
            <w:tcW w:w="1620" w:type="dxa"/>
            <w:vAlign w:val="bottom"/>
            <w:tcBorders>
              <w:right w:val="single" w:sz="8" w:color="2360A6"/>
            </w:tcBorders>
          </w:tcPr>
          <w:p>
            <w:pPr>
              <w:spacing w:after="0"/>
              <w:rPr>
                <w:sz w:val="15"/>
                <w:szCs w:val="15"/>
                <w:color w:val="auto"/>
              </w:rPr>
            </w:pPr>
          </w:p>
        </w:tc>
        <w:tc>
          <w:tcPr>
            <w:tcW w:w="1580" w:type="dxa"/>
            <w:vAlign w:val="bottom"/>
            <w:tcBorders>
              <w:right w:val="single" w:sz="8" w:color="2360A6"/>
            </w:tcBorders>
          </w:tcPr>
          <w:p>
            <w:pPr>
              <w:spacing w:after="0"/>
              <w:rPr>
                <w:sz w:val="15"/>
                <w:szCs w:val="15"/>
                <w:color w:val="auto"/>
              </w:rPr>
            </w:pPr>
          </w:p>
        </w:tc>
        <w:tc>
          <w:tcPr>
            <w:tcW w:w="1480" w:type="dxa"/>
            <w:vAlign w:val="bottom"/>
            <w:tcBorders>
              <w:right w:val="single" w:sz="8" w:color="2360A6"/>
            </w:tcBorders>
          </w:tcPr>
          <w:p>
            <w:pPr>
              <w:spacing w:after="0"/>
              <w:rPr>
                <w:sz w:val="15"/>
                <w:szCs w:val="15"/>
                <w:color w:val="auto"/>
              </w:rPr>
            </w:pPr>
          </w:p>
        </w:tc>
      </w:tr>
      <w:tr>
        <w:trPr>
          <w:trHeight w:val="192"/>
        </w:trPr>
        <w:tc>
          <w:tcPr>
            <w:tcW w:w="598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w:t>
            </w:r>
            <w:r>
              <w:rPr>
                <w:rFonts w:ascii="Arial" w:cs="Arial" w:eastAsia="Arial" w:hAnsi="Arial"/>
                <w:sz w:val="14"/>
                <w:szCs w:val="14"/>
                <w:i w:val="1"/>
                <w:iCs w:val="1"/>
                <w:color w:val="231F20"/>
              </w:rPr>
              <w:t>Plans d’Épargne Entreprise</w:t>
            </w:r>
            <w:r>
              <w:rPr>
                <w:rFonts w:ascii="Arial" w:cs="Arial" w:eastAsia="Arial" w:hAnsi="Arial"/>
                <w:sz w:val="14"/>
                <w:szCs w:val="14"/>
                <w:color w:val="231F20"/>
              </w:rPr>
              <w:t>”)</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40.0</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40.0</w:t>
            </w:r>
          </w:p>
        </w:tc>
      </w:tr>
      <w:tr>
        <w:trPr>
          <w:trHeight w:val="193"/>
        </w:trPr>
        <w:tc>
          <w:tcPr>
            <w:tcW w:w="5980" w:type="dxa"/>
            <w:vAlign w:val="bottom"/>
            <w:tcBorders>
              <w:left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Non-Current Provisions (including Pensions and other Long-Term</w:t>
            </w:r>
          </w:p>
        </w:tc>
        <w:tc>
          <w:tcPr>
            <w:tcW w:w="1620" w:type="dxa"/>
            <w:vAlign w:val="bottom"/>
            <w:tcBorders>
              <w:right w:val="single" w:sz="8" w:color="2360A6"/>
            </w:tcBorders>
          </w:tcPr>
          <w:p>
            <w:pPr>
              <w:spacing w:after="0"/>
              <w:rPr>
                <w:sz w:val="16"/>
                <w:szCs w:val="16"/>
                <w:color w:val="auto"/>
              </w:rPr>
            </w:pPr>
          </w:p>
        </w:tc>
        <w:tc>
          <w:tcPr>
            <w:tcW w:w="1580" w:type="dxa"/>
            <w:vAlign w:val="bottom"/>
            <w:tcBorders>
              <w:right w:val="single" w:sz="8" w:color="2360A6"/>
            </w:tcBorders>
          </w:tcPr>
          <w:p>
            <w:pPr>
              <w:spacing w:after="0"/>
              <w:rPr>
                <w:sz w:val="16"/>
                <w:szCs w:val="16"/>
                <w:color w:val="auto"/>
              </w:rPr>
            </w:pPr>
          </w:p>
        </w:tc>
        <w:tc>
          <w:tcPr>
            <w:tcW w:w="1480" w:type="dxa"/>
            <w:vAlign w:val="bottom"/>
            <w:tcBorders>
              <w:right w:val="single" w:sz="8" w:color="2360A6"/>
            </w:tcBorders>
          </w:tcPr>
          <w:p>
            <w:pPr>
              <w:spacing w:after="0"/>
              <w:rPr>
                <w:sz w:val="16"/>
                <w:szCs w:val="16"/>
                <w:color w:val="auto"/>
              </w:rPr>
            </w:pPr>
          </w:p>
        </w:tc>
      </w:tr>
      <w:tr>
        <w:trPr>
          <w:trHeight w:val="178"/>
        </w:trPr>
        <w:tc>
          <w:tcPr>
            <w:tcW w:w="598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Employee Benefit Plans)</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(35.4)</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(35.4)</w:t>
            </w:r>
          </w:p>
        </w:tc>
      </w:tr>
      <w:tr>
        <w:trPr>
          <w:trHeight w:val="210"/>
        </w:trPr>
        <w:tc>
          <w:tcPr>
            <w:tcW w:w="598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Share of (Income)/Loss of Equity Affiliates (net of Distributed Dividends)</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(11.2)</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(20.7)</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(31.9)</w:t>
            </w:r>
          </w:p>
        </w:tc>
      </w:tr>
      <w:tr>
        <w:trPr>
          <w:trHeight w:val="210"/>
        </w:trPr>
        <w:tc>
          <w:tcPr>
            <w:tcW w:w="598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Net (Gains)/Losses on Disposal of Assets and Investments</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(7.1)</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(7.1)</w:t>
            </w:r>
          </w:p>
        </w:tc>
      </w:tr>
      <w:tr>
        <w:trPr>
          <w:trHeight w:val="210"/>
        </w:trPr>
        <w:tc>
          <w:tcPr>
            <w:tcW w:w="5980" w:type="dxa"/>
            <w:vAlign w:val="bottom"/>
            <w:tcBorders>
              <w:left w:val="single" w:sz="8" w:color="2360A6"/>
              <w:bottom w:val="single" w:sz="8" w:color="2360A6"/>
              <w:right w:val="single" w:sz="8" w:color="2360A6"/>
            </w:tcBorders>
          </w:tcPr>
          <w:p>
            <w:pPr>
              <w:ind w:left="160"/>
              <w:spacing w:after="0"/>
              <w:rPr>
                <w:sz w:val="20"/>
                <w:szCs w:val="20"/>
                <w:color w:val="auto"/>
              </w:rPr>
            </w:pPr>
            <w:r>
              <w:rPr>
                <w:rFonts w:ascii="Arial" w:cs="Arial" w:eastAsia="Arial" w:hAnsi="Arial"/>
                <w:sz w:val="14"/>
                <w:szCs w:val="14"/>
                <w:color w:val="231F20"/>
              </w:rPr>
              <w:t>Deferred Income Tax (Credit)/Expense</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21.4</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(19.6)</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1.8</w:t>
            </w:r>
          </w:p>
        </w:tc>
      </w:tr>
      <w:tr>
        <w:trPr>
          <w:trHeight w:val="264"/>
        </w:trPr>
        <w:tc>
          <w:tcPr>
            <w:tcW w:w="5980" w:type="dxa"/>
            <w:vAlign w:val="bottom"/>
            <w:tcBorders>
              <w:left w:val="single" w:sz="8" w:color="2360A6"/>
              <w:bottom w:val="single" w:sz="8" w:color="2360A6"/>
              <w:right w:val="single" w:sz="8" w:color="2360A6"/>
            </w:tcBorders>
          </w:tcPr>
          <w:p>
            <w:pPr>
              <w:spacing w:after="0"/>
              <w:rPr>
                <w:sz w:val="22"/>
                <w:szCs w:val="22"/>
                <w:color w:val="auto"/>
              </w:rPr>
            </w:pP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762.6</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(40.3)</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722.3</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(Increase)/Decrease in Working Capital Requirement</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104.9</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(702.2)</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(597.3)</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Cash Generated from/(Used in) Operating Activities</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867.5</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(742.5)</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125.0</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Purchases of Property, Plant and Equipment</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(360.2)</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0.6</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(359.6)</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Proceeds from Disposal of Property, Plant and Equipment</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56.7</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(0.1)</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56.6</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Purchases of Intangible Assets</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(15.4)</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(15.4)</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Proceeds from Disposal of Intangible Assets</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4.7</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4.7</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Acquisitions of Financial Assets</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(36.7)</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(36.7)</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Proceeds from Disposal of Financial Assets</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24.6</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24.6</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Acquisition Costs of Consolidated Companies, net of Cash Acquired</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(58.8)</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(58.8)</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Cash Generated from/(Used in) Investing Activities</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(385.1)</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0.5</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b w:val="1"/>
                <w:bCs w:val="1"/>
                <w:color w:val="2360A6"/>
              </w:rPr>
              <w:t>(384.6)</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Increase in Borrowings</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216.9</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216.9</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Decrease in Borrowings</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(136.9)</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(136.9)</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Capital Increase</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11.7</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11.7</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 Buy-Back</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(41.8)</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(41.8)</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Dividends Paid</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(206.5)</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(206.5)</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Dividends Paid to minority interests</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(2.8)</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(2.8)</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Cash Generated from/(Used in) Financing Activities</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(159.4)</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b w:val="1"/>
                <w:bCs w:val="1"/>
                <w:color w:val="2360A6"/>
              </w:rPr>
              <w:t>(159.4)</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Net Effects of Foreign Exchange Rate Changes</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211.4</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(94.4)</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117.0</w:t>
            </w:r>
          </w:p>
        </w:tc>
      </w:tr>
      <w:tr>
        <w:trPr>
          <w:trHeight w:val="210"/>
        </w:trPr>
        <w:tc>
          <w:tcPr>
            <w:tcW w:w="598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INCREASE/(DECREASE) IN CASH AND CASH EQUIVALENTS</w:t>
            </w:r>
          </w:p>
        </w:tc>
        <w:tc>
          <w:tcPr>
            <w:tcW w:w="162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534.4</w:t>
            </w:r>
          </w:p>
        </w:tc>
        <w:tc>
          <w:tcPr>
            <w:tcW w:w="158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(836.4)</w:t>
            </w:r>
          </w:p>
        </w:tc>
        <w:tc>
          <w:tcPr>
            <w:tcW w:w="1480" w:type="dxa"/>
            <w:vAlign w:val="bottom"/>
            <w:tcBorders>
              <w:bottom w:val="single" w:sz="8" w:color="2360A6"/>
              <w:right w:val="single" w:sz="8" w:color="2360A6"/>
            </w:tcBorders>
            <w:shd w:val="clear" w:color="auto" w:fill="D2DEEC"/>
          </w:tcPr>
          <w:p>
            <w:pPr>
              <w:jc w:val="right"/>
              <w:ind w:right="8"/>
              <w:spacing w:after="0"/>
              <w:rPr>
                <w:sz w:val="20"/>
                <w:szCs w:val="20"/>
                <w:color w:val="auto"/>
              </w:rPr>
            </w:pPr>
            <w:r>
              <w:rPr>
                <w:rFonts w:ascii="Arial" w:cs="Arial" w:eastAsia="Arial" w:hAnsi="Arial"/>
                <w:sz w:val="14"/>
                <w:szCs w:val="14"/>
                <w:b w:val="1"/>
                <w:bCs w:val="1"/>
                <w:color w:val="2360A6"/>
              </w:rPr>
              <w:t>(302.0)</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Cash and Cash Equivalents as of January 1</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3,205.4</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(216.3)</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2,989.1</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Bank Overdrafts as of January 1</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(2.4)</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(2.4)</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Cash and Cash Equivalents as of December 31</w:t>
            </w:r>
          </w:p>
        </w:tc>
        <w:tc>
          <w:tcPr>
            <w:tcW w:w="1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3,738.3</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(1,052.7)</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2,685.6</w:t>
            </w:r>
          </w:p>
        </w:tc>
      </w:tr>
      <w:tr>
        <w:trPr>
          <w:trHeight w:val="210"/>
        </w:trPr>
        <w:tc>
          <w:tcPr>
            <w:tcW w:w="59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Bank Overdrafts as of December 31</w:t>
            </w:r>
          </w:p>
        </w:tc>
        <w:tc>
          <w:tcPr>
            <w:tcW w:w="162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(0.9)</w:t>
            </w:r>
          </w:p>
        </w:tc>
        <w:tc>
          <w:tcPr>
            <w:tcW w:w="15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(0.9)</w:t>
            </w:r>
          </w:p>
        </w:tc>
      </w:tr>
      <w:tr>
        <w:trPr>
          <w:trHeight w:val="210"/>
        </w:trPr>
        <w:tc>
          <w:tcPr>
            <w:tcW w:w="598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INCREASE/(DECREASE) IN CASH AND CASH EQUIVALENTS</w:t>
            </w:r>
          </w:p>
        </w:tc>
        <w:tc>
          <w:tcPr>
            <w:tcW w:w="162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534.4</w:t>
            </w:r>
          </w:p>
        </w:tc>
        <w:tc>
          <w:tcPr>
            <w:tcW w:w="15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(836.4)</w:t>
            </w:r>
          </w:p>
        </w:tc>
        <w:tc>
          <w:tcPr>
            <w:tcW w:w="14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(302.0)</w:t>
            </w:r>
          </w:p>
        </w:tc>
      </w:tr>
    </w:tbl>
    <w:p>
      <w:pPr>
        <w:sectPr>
          <w:pgSz w:w="11900" w:h="16838" w:orient="portrait"/>
          <w:cols w:equalWidth="0" w:num="1">
            <w:col w:w="10660"/>
          </w:cols>
          <w:pgMar w:left="640" w:top="930" w:right="599" w:bottom="1440" w:gutter="0" w:footer="0" w:header="0"/>
        </w:sectPr>
      </w:pPr>
    </w:p>
    <w:bookmarkStart w:id="110" w:name="page111"/>
    <w:bookmarkEnd w:id="110"/>
    <w:p>
      <w:pPr>
        <w:spacing w:after="0"/>
        <w:rPr>
          <w:sz w:val="20"/>
          <w:szCs w:val="20"/>
          <w:color w:val="auto"/>
        </w:rPr>
      </w:pPr>
      <w:r>
        <w:rPr>
          <w:rFonts w:ascii="Arial" w:cs="Arial" w:eastAsia="Arial" w:hAnsi="Arial"/>
          <w:sz w:val="29"/>
          <w:szCs w:val="29"/>
          <w:b w:val="1"/>
          <w:bCs w:val="1"/>
          <w:color w:val="2360A6"/>
        </w:rPr>
        <w:t>Note 4 Operating Income/(Loss)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31F20"/>
        </w:rPr>
        <w:t>The breakdown of the different items of operating income/(loss) by nature is as follows:</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Revenues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Revenues break down as follows:</w:t>
      </w:r>
    </w:p>
    <w:p>
      <w:pPr>
        <w:spacing w:after="0" w:line="118" w:lineRule="exact"/>
        <w:rPr>
          <w:sz w:val="20"/>
          <w:szCs w:val="20"/>
          <w:color w:val="auto"/>
        </w:rPr>
      </w:pPr>
    </w:p>
    <w:tbl>
      <w:tblPr>
        <w:tblLayout w:type="fixed"/>
        <w:tblInd w:w="290" w:type="dxa"/>
        <w:tblCellMar>
          <w:top w:w="0" w:type="dxa"/>
          <w:left w:w="0" w:type="dxa"/>
          <w:bottom w:w="0" w:type="dxa"/>
          <w:right w:w="0" w:type="dxa"/>
        </w:tblCellMar>
      </w:tblPr>
      <w:tr>
        <w:trPr>
          <w:trHeight w:val="224"/>
        </w:trPr>
        <w:tc>
          <w:tcPr>
            <w:tcW w:w="5600" w:type="dxa"/>
            <w:vAlign w:val="bottom"/>
            <w:tcBorders>
              <w:top w:val="single" w:sz="8" w:color="2360A6"/>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720" w:type="dxa"/>
            <w:vAlign w:val="bottom"/>
            <w:tcBorders>
              <w:top w:val="single" w:sz="8" w:color="2360A6"/>
              <w:bottom w:val="single" w:sz="8" w:color="2360A6"/>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700" w:type="dxa"/>
            <w:vAlign w:val="bottom"/>
            <w:tcBorders>
              <w:top w:val="single" w:sz="8" w:color="2360A6"/>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2015</w:t>
            </w:r>
          </w:p>
        </w:tc>
        <w:tc>
          <w:tcPr>
            <w:tcW w:w="1700" w:type="dxa"/>
            <w:vAlign w:val="bottom"/>
            <w:tcBorders>
              <w:top w:val="single" w:sz="8" w:color="2360A6"/>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560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Rendering of Services</w:t>
            </w:r>
          </w:p>
        </w:tc>
        <w:tc>
          <w:tcPr>
            <w:tcW w:w="172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8,249.4</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10,203.8</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9,931.0</w:t>
            </w:r>
          </w:p>
        </w:tc>
      </w:tr>
      <w:tr>
        <w:trPr>
          <w:trHeight w:val="210"/>
        </w:trPr>
        <w:tc>
          <w:tcPr>
            <w:tcW w:w="560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Sales of Goods</w:t>
            </w:r>
          </w:p>
        </w:tc>
        <w:tc>
          <w:tcPr>
            <w:tcW w:w="172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64.0</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134.1</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142.9</w:t>
            </w:r>
          </w:p>
        </w:tc>
      </w:tr>
      <w:tr>
        <w:trPr>
          <w:trHeight w:val="210"/>
        </w:trPr>
        <w:tc>
          <w:tcPr>
            <w:tcW w:w="560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REVENUES</w:t>
            </w:r>
          </w:p>
        </w:tc>
        <w:tc>
          <w:tcPr>
            <w:tcW w:w="172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8,313.4</w:t>
            </w:r>
          </w:p>
        </w:tc>
        <w:tc>
          <w:tcPr>
            <w:tcW w:w="17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10,337.9</w:t>
            </w:r>
          </w:p>
        </w:tc>
        <w:tc>
          <w:tcPr>
            <w:tcW w:w="17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10,073.9</w:t>
            </w:r>
          </w:p>
        </w:tc>
      </w:tr>
    </w:tbl>
    <w:p>
      <w:pPr>
        <w:spacing w:after="0" w:line="258"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231F20"/>
        </w:rPr>
        <w:t>In 2016, two clients represented each more than 10% of Group consolidated revenues. In 2015, one client represented more than 10% of Group consolidated revenues. In 2014, no client represented more than 10% of Group consolidated revenues.</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231F20"/>
        </w:rPr>
        <w:t>(B) Cost of Sales by Nature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Cost of sales comprises the following items:</w:t>
      </w:r>
    </w:p>
    <w:p>
      <w:pPr>
        <w:spacing w:after="0" w:line="118" w:lineRule="exact"/>
        <w:rPr>
          <w:sz w:val="20"/>
          <w:szCs w:val="20"/>
          <w:color w:val="auto"/>
        </w:rPr>
      </w:pPr>
    </w:p>
    <w:tbl>
      <w:tblPr>
        <w:tblLayout w:type="fixed"/>
        <w:tblInd w:w="330" w:type="dxa"/>
        <w:tblCellMar>
          <w:top w:w="0" w:type="dxa"/>
          <w:left w:w="0" w:type="dxa"/>
          <w:bottom w:w="0" w:type="dxa"/>
          <w:right w:w="0" w:type="dxa"/>
        </w:tblCellMar>
      </w:tblPr>
      <w:tr>
        <w:trPr>
          <w:trHeight w:val="224"/>
        </w:trPr>
        <w:tc>
          <w:tcPr>
            <w:tcW w:w="5560" w:type="dxa"/>
            <w:vAlign w:val="bottom"/>
            <w:tcBorders>
              <w:top w:val="single" w:sz="8" w:color="2360A6"/>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700" w:type="dxa"/>
            <w:vAlign w:val="bottom"/>
            <w:tcBorders>
              <w:top w:val="single" w:sz="8" w:color="2360A6"/>
              <w:bottom w:val="single" w:sz="8" w:color="2360A6"/>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700" w:type="dxa"/>
            <w:vAlign w:val="bottom"/>
            <w:tcBorders>
              <w:top w:val="single" w:sz="8" w:color="2360A6"/>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2015</w:t>
            </w:r>
          </w:p>
        </w:tc>
        <w:tc>
          <w:tcPr>
            <w:tcW w:w="1680" w:type="dxa"/>
            <w:vAlign w:val="bottom"/>
            <w:tcBorders>
              <w:top w:val="single" w:sz="8" w:color="2360A6"/>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Employee Expenses</w:t>
            </w:r>
          </w:p>
        </w:tc>
        <w:tc>
          <w:tcPr>
            <w:tcW w:w="17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(1,647.0)</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(2,208.5)</w:t>
            </w:r>
          </w:p>
        </w:tc>
        <w:tc>
          <w:tcPr>
            <w:tcW w:w="16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(1,897.2)</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Operating Leases</w:t>
            </w:r>
          </w:p>
        </w:tc>
        <w:tc>
          <w:tcPr>
            <w:tcW w:w="17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(240.5)</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(296.5)</w:t>
            </w:r>
          </w:p>
        </w:tc>
        <w:tc>
          <w:tcPr>
            <w:tcW w:w="16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(247.2)</w:t>
            </w:r>
          </w:p>
        </w:tc>
      </w:tr>
      <w:tr>
        <w:trPr>
          <w:trHeight w:val="193"/>
        </w:trPr>
        <w:tc>
          <w:tcPr>
            <w:tcW w:w="5560" w:type="dxa"/>
            <w:vAlign w:val="bottom"/>
            <w:tcBorders>
              <w:left w:val="single" w:sz="8" w:color="231F20"/>
              <w:right w:val="single" w:sz="8" w:color="231F20"/>
            </w:tcBorders>
          </w:tcPr>
          <w:p>
            <w:pPr>
              <w:ind w:left="40"/>
              <w:spacing w:after="0"/>
              <w:rPr>
                <w:sz w:val="20"/>
                <w:szCs w:val="20"/>
                <w:color w:val="auto"/>
              </w:rPr>
            </w:pPr>
            <w:r>
              <w:rPr>
                <w:rFonts w:ascii="Arial" w:cs="Arial" w:eastAsia="Arial" w:hAnsi="Arial"/>
                <w:sz w:val="14"/>
                <w:szCs w:val="14"/>
                <w:color w:val="231F20"/>
              </w:rPr>
              <w:t>Depreciation and Impairment Losses of Property, Plant and</w:t>
            </w:r>
          </w:p>
        </w:tc>
        <w:tc>
          <w:tcPr>
            <w:tcW w:w="1700" w:type="dxa"/>
            <w:vAlign w:val="bottom"/>
            <w:tcBorders>
              <w:right w:val="single" w:sz="8" w:color="231F20"/>
            </w:tcBorders>
            <w:shd w:val="clear" w:color="auto" w:fill="EDEDEE"/>
          </w:tcPr>
          <w:p>
            <w:pPr>
              <w:spacing w:after="0"/>
              <w:rPr>
                <w:sz w:val="16"/>
                <w:szCs w:val="16"/>
                <w:color w:val="auto"/>
              </w:rPr>
            </w:pPr>
          </w:p>
        </w:tc>
        <w:tc>
          <w:tcPr>
            <w:tcW w:w="1700" w:type="dxa"/>
            <w:vAlign w:val="bottom"/>
            <w:tcBorders>
              <w:right w:val="single" w:sz="8" w:color="231F20"/>
            </w:tcBorders>
          </w:tcPr>
          <w:p>
            <w:pPr>
              <w:spacing w:after="0"/>
              <w:rPr>
                <w:sz w:val="16"/>
                <w:szCs w:val="16"/>
                <w:color w:val="auto"/>
              </w:rPr>
            </w:pPr>
          </w:p>
        </w:tc>
        <w:tc>
          <w:tcPr>
            <w:tcW w:w="1680" w:type="dxa"/>
            <w:vAlign w:val="bottom"/>
            <w:tcBorders>
              <w:right w:val="single" w:sz="8" w:color="231F20"/>
            </w:tcBorders>
          </w:tcPr>
          <w:p>
            <w:pPr>
              <w:spacing w:after="0"/>
              <w:rPr>
                <w:sz w:val="16"/>
                <w:szCs w:val="16"/>
                <w:color w:val="auto"/>
              </w:rPr>
            </w:pPr>
          </w:p>
        </w:tc>
      </w:tr>
      <w:tr>
        <w:trPr>
          <w:trHeight w:val="178"/>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Equipment</w:t>
            </w:r>
          </w:p>
        </w:tc>
        <w:tc>
          <w:tcPr>
            <w:tcW w:w="17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(253.6)</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(281.5)</w:t>
            </w:r>
          </w:p>
        </w:tc>
        <w:tc>
          <w:tcPr>
            <w:tcW w:w="16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(262.1)</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Amortization and Impairment Losses of Intangible Assets</w:t>
            </w:r>
          </w:p>
        </w:tc>
        <w:tc>
          <w:tcPr>
            <w:tcW w:w="17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(9.5)</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(14.8)</w:t>
            </w:r>
          </w:p>
        </w:tc>
        <w:tc>
          <w:tcPr>
            <w:tcW w:w="16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(11.6)</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Purchases, External Charges and Other Expenses</w:t>
            </w:r>
          </w:p>
        </w:tc>
        <w:tc>
          <w:tcPr>
            <w:tcW w:w="17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(4,744.6)</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(6,090.9)</w:t>
            </w:r>
          </w:p>
        </w:tc>
        <w:tc>
          <w:tcPr>
            <w:tcW w:w="16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(6,188.2)</w:t>
            </w:r>
          </w:p>
        </w:tc>
      </w:tr>
      <w:tr>
        <w:trPr>
          <w:trHeight w:val="210"/>
        </w:trPr>
        <w:tc>
          <w:tcPr>
            <w:tcW w:w="556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COST OF SALES</w:t>
            </w:r>
          </w:p>
        </w:tc>
        <w:tc>
          <w:tcPr>
            <w:tcW w:w="17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(6,895.2)</w:t>
            </w:r>
          </w:p>
        </w:tc>
        <w:tc>
          <w:tcPr>
            <w:tcW w:w="17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(8,892.2)</w:t>
            </w:r>
          </w:p>
        </w:tc>
        <w:tc>
          <w:tcPr>
            <w:tcW w:w="168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(8,606.3)</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 Research and Development Costs</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Research and development costs amounted to €(95.3) million in 2016 compared to €(86.1) million in 2015 and €(82.6) million in 2014. No development costs were capitalized during the three financial years disclosed as no project met the requirements for capitalization (see Note 1-C (k) - Intangible assets).</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(D) Administrative Costs by Nature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Administrative costs by nature break down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87630</wp:posOffset>
            </wp:positionV>
            <wp:extent cx="6766560" cy="12522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66560" cy="1252220"/>
                    </a:xfrm>
                    <a:prstGeom prst="rect">
                      <a:avLst/>
                    </a:prstGeom>
                    <a:noFill/>
                  </pic:spPr>
                </pic:pic>
              </a:graphicData>
            </a:graphic>
          </wp:anchor>
        </w:drawing>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5660" w:type="dxa"/>
            <w:vAlign w:val="bottom"/>
            <w:tcBorders>
              <w:top w:val="single" w:sz="8" w:color="2360A6"/>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700" w:type="dxa"/>
            <w:vAlign w:val="bottom"/>
            <w:tcBorders>
              <w:top w:val="single" w:sz="8" w:color="2360A6"/>
              <w:bottom w:val="single" w:sz="8" w:color="2360A6"/>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700" w:type="dxa"/>
            <w:vAlign w:val="bottom"/>
            <w:tcBorders>
              <w:top w:val="single" w:sz="8" w:color="2360A6"/>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2015</w:t>
            </w:r>
          </w:p>
        </w:tc>
        <w:tc>
          <w:tcPr>
            <w:tcW w:w="1580" w:type="dxa"/>
            <w:vAlign w:val="bottom"/>
            <w:tcBorders>
              <w:top w:val="single" w:sz="8" w:color="2360A6"/>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c>
          <w:tcPr>
            <w:tcW w:w="20" w:type="dxa"/>
            <w:vAlign w:val="bottom"/>
            <w:tcBorders>
              <w:top w:val="single" w:sz="8" w:color="2360A6"/>
              <w:bottom w:val="single" w:sz="8" w:color="2360A6"/>
            </w:tcBorders>
          </w:tcPr>
          <w:p>
            <w:pPr>
              <w:spacing w:after="0"/>
              <w:rPr>
                <w:sz w:val="19"/>
                <w:szCs w:val="19"/>
                <w:color w:val="auto"/>
              </w:rPr>
            </w:pPr>
          </w:p>
        </w:tc>
      </w:tr>
      <w:tr>
        <w:trPr>
          <w:trHeight w:val="216"/>
        </w:trPr>
        <w:tc>
          <w:tcPr>
            <w:tcW w:w="566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 xml:space="preserve">Employee Expenses </w:t>
            </w:r>
            <w:r>
              <w:rPr>
                <w:rFonts w:ascii="Arial" w:cs="Arial" w:eastAsia="Arial" w:hAnsi="Arial"/>
                <w:sz w:val="17"/>
                <w:szCs w:val="17"/>
                <w:color w:val="231F20"/>
                <w:vertAlign w:val="superscript"/>
              </w:rPr>
              <w:t>(*)</w:t>
            </w:r>
          </w:p>
        </w:tc>
        <w:tc>
          <w:tcPr>
            <w:tcW w:w="17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(197.8)</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(248.6)</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(239.0)</w:t>
            </w:r>
          </w:p>
        </w:tc>
        <w:tc>
          <w:tcPr>
            <w:tcW w:w="20" w:type="dxa"/>
            <w:vAlign w:val="bottom"/>
            <w:tcBorders>
              <w:bottom w:val="single" w:sz="8" w:color="2360A6"/>
            </w:tcBorders>
          </w:tcPr>
          <w:p>
            <w:pPr>
              <w:spacing w:after="0"/>
              <w:rPr>
                <w:sz w:val="18"/>
                <w:szCs w:val="18"/>
                <w:color w:val="auto"/>
              </w:rPr>
            </w:pPr>
          </w:p>
        </w:tc>
      </w:tr>
      <w:tr>
        <w:trPr>
          <w:trHeight w:val="204"/>
        </w:trPr>
        <w:tc>
          <w:tcPr>
            <w:tcW w:w="566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Operating Leases</w:t>
            </w:r>
          </w:p>
        </w:tc>
        <w:tc>
          <w:tcPr>
            <w:tcW w:w="17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(40.7)</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(46.6)</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(41.4)</w:t>
            </w:r>
          </w:p>
        </w:tc>
        <w:tc>
          <w:tcPr>
            <w:tcW w:w="20" w:type="dxa"/>
            <w:vAlign w:val="bottom"/>
            <w:tcBorders>
              <w:bottom w:val="single" w:sz="8" w:color="2360A6"/>
            </w:tcBorders>
          </w:tcPr>
          <w:p>
            <w:pPr>
              <w:spacing w:after="0"/>
              <w:rPr>
                <w:sz w:val="17"/>
                <w:szCs w:val="17"/>
                <w:color w:val="auto"/>
              </w:rPr>
            </w:pPr>
          </w:p>
        </w:tc>
      </w:tr>
      <w:tr>
        <w:trPr>
          <w:trHeight w:val="210"/>
        </w:trPr>
        <w:tc>
          <w:tcPr>
            <w:tcW w:w="566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Amortization and Depreciation of Property, Plant and Equipment</w:t>
            </w:r>
          </w:p>
        </w:tc>
        <w:tc>
          <w:tcPr>
            <w:tcW w:w="17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(1.1)</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(1.6)</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(1.7)</w:t>
            </w:r>
          </w:p>
        </w:tc>
        <w:tc>
          <w:tcPr>
            <w:tcW w:w="20" w:type="dxa"/>
            <w:vAlign w:val="bottom"/>
            <w:tcBorders>
              <w:bottom w:val="single" w:sz="8" w:color="2360A6"/>
            </w:tcBorders>
          </w:tcPr>
          <w:p>
            <w:pPr>
              <w:spacing w:after="0"/>
              <w:rPr>
                <w:sz w:val="18"/>
                <w:szCs w:val="18"/>
                <w:color w:val="auto"/>
              </w:rPr>
            </w:pPr>
          </w:p>
        </w:tc>
      </w:tr>
      <w:tr>
        <w:trPr>
          <w:trHeight w:val="210"/>
        </w:trPr>
        <w:tc>
          <w:tcPr>
            <w:tcW w:w="566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Amortization of Intangible Assets</w:t>
            </w:r>
          </w:p>
        </w:tc>
        <w:tc>
          <w:tcPr>
            <w:tcW w:w="17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(6.3)</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(6.3)</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(7.9)</w:t>
            </w:r>
          </w:p>
        </w:tc>
        <w:tc>
          <w:tcPr>
            <w:tcW w:w="20" w:type="dxa"/>
            <w:vAlign w:val="bottom"/>
            <w:tcBorders>
              <w:bottom w:val="single" w:sz="8" w:color="2360A6"/>
            </w:tcBorders>
          </w:tcPr>
          <w:p>
            <w:pPr>
              <w:spacing w:after="0"/>
              <w:rPr>
                <w:sz w:val="18"/>
                <w:szCs w:val="18"/>
                <w:color w:val="auto"/>
              </w:rPr>
            </w:pPr>
          </w:p>
        </w:tc>
      </w:tr>
      <w:tr>
        <w:trPr>
          <w:trHeight w:val="210"/>
        </w:trPr>
        <w:tc>
          <w:tcPr>
            <w:tcW w:w="5660" w:type="dxa"/>
            <w:vAlign w:val="bottom"/>
            <w:tcBorders>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Purchases, External Charges and Other Expenses</w:t>
            </w:r>
          </w:p>
        </w:tc>
        <w:tc>
          <w:tcPr>
            <w:tcW w:w="17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(59.1)</w:t>
            </w:r>
          </w:p>
        </w:tc>
        <w:tc>
          <w:tcPr>
            <w:tcW w:w="17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(100.8)</w:t>
            </w:r>
          </w:p>
        </w:tc>
        <w:tc>
          <w:tcPr>
            <w:tcW w:w="15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(133.6)</w:t>
            </w:r>
          </w:p>
        </w:tc>
        <w:tc>
          <w:tcPr>
            <w:tcW w:w="20" w:type="dxa"/>
            <w:vAlign w:val="bottom"/>
            <w:tcBorders>
              <w:bottom w:val="single" w:sz="8" w:color="2360A6"/>
            </w:tcBorders>
          </w:tcPr>
          <w:p>
            <w:pPr>
              <w:spacing w:after="0"/>
              <w:rPr>
                <w:sz w:val="18"/>
                <w:szCs w:val="18"/>
                <w:color w:val="auto"/>
              </w:rPr>
            </w:pPr>
          </w:p>
        </w:tc>
      </w:tr>
      <w:tr>
        <w:trPr>
          <w:trHeight w:val="210"/>
        </w:trPr>
        <w:tc>
          <w:tcPr>
            <w:tcW w:w="5660" w:type="dxa"/>
            <w:vAlign w:val="bottom"/>
            <w:tcBorders>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ADMINISTRATIVE COSTS</w:t>
            </w:r>
          </w:p>
        </w:tc>
        <w:tc>
          <w:tcPr>
            <w:tcW w:w="17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(305.0)</w:t>
            </w:r>
          </w:p>
        </w:tc>
        <w:tc>
          <w:tcPr>
            <w:tcW w:w="17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(403.9)</w:t>
            </w:r>
          </w:p>
        </w:tc>
        <w:tc>
          <w:tcPr>
            <w:tcW w:w="158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(423.6)</w:t>
            </w:r>
          </w:p>
        </w:tc>
        <w:tc>
          <w:tcPr>
            <w:tcW w:w="20" w:type="dxa"/>
            <w:vAlign w:val="bottom"/>
            <w:tcBorders>
              <w:bottom w:val="single" w:sz="8" w:color="2360A6"/>
            </w:tcBorders>
          </w:tcPr>
          <w:p>
            <w:pPr>
              <w:spacing w:after="0"/>
              <w:rPr>
                <w:sz w:val="18"/>
                <w:szCs w:val="18"/>
                <w:color w:val="auto"/>
              </w:rPr>
            </w:pPr>
          </w:p>
        </w:tc>
      </w:tr>
    </w:tbl>
    <w:p>
      <w:pPr>
        <w:spacing w:after="0" w:line="21"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(*)Include charges for share subscription and performance share grants: €(19.9) million in 2016 compared to €(32.6) million in 2015 and €(40.0) million in 2014.</w:t>
      </w:r>
    </w:p>
    <w:p>
      <w:pPr>
        <w:sectPr>
          <w:pgSz w:w="11900" w:h="16838" w:orient="portrait"/>
          <w:cols w:equalWidth="0" w:num="1">
            <w:col w:w="11320"/>
          </w:cols>
          <w:pgMar w:left="320" w:top="694" w:right="259" w:bottom="1440" w:gutter="0" w:footer="0" w:header="0"/>
        </w:sectPr>
      </w:pPr>
    </w:p>
    <w:bookmarkStart w:id="111" w:name="page112"/>
    <w:bookmarkEnd w:id="111"/>
    <w:p>
      <w:pPr>
        <w:spacing w:after="0"/>
        <w:rPr>
          <w:sz w:val="20"/>
          <w:szCs w:val="20"/>
          <w:color w:val="auto"/>
        </w:rPr>
      </w:pPr>
      <w:r>
        <w:rPr>
          <w:rFonts w:ascii="Arial" w:cs="Arial" w:eastAsia="Arial" w:hAnsi="Arial"/>
          <w:sz w:val="25"/>
          <w:szCs w:val="25"/>
          <w:b w:val="1"/>
          <w:bCs w:val="1"/>
          <w:color w:val="231F20"/>
        </w:rPr>
        <w:t>(E) Other Operating Income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Other operating income break down as follows:</w:t>
      </w:r>
    </w:p>
    <w:p>
      <w:pPr>
        <w:spacing w:after="0" w:line="118" w:lineRule="exact"/>
        <w:rPr>
          <w:sz w:val="20"/>
          <w:szCs w:val="20"/>
          <w:color w:val="auto"/>
        </w:rPr>
      </w:pPr>
    </w:p>
    <w:tbl>
      <w:tblPr>
        <w:tblLayout w:type="fixed"/>
        <w:tblInd w:w="330" w:type="dxa"/>
        <w:tblCellMar>
          <w:top w:w="0" w:type="dxa"/>
          <w:left w:w="0" w:type="dxa"/>
          <w:bottom w:w="0" w:type="dxa"/>
          <w:right w:w="0" w:type="dxa"/>
        </w:tblCellMar>
      </w:tblPr>
      <w:tr>
        <w:trPr>
          <w:trHeight w:val="224"/>
        </w:trPr>
        <w:tc>
          <w:tcPr>
            <w:tcW w:w="5560" w:type="dxa"/>
            <w:vAlign w:val="bottom"/>
            <w:tcBorders>
              <w:top w:val="single" w:sz="8" w:color="2360A6"/>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720" w:type="dxa"/>
            <w:vAlign w:val="bottom"/>
            <w:tcBorders>
              <w:top w:val="single" w:sz="8" w:color="2360A6"/>
              <w:bottom w:val="single" w:sz="8" w:color="2360A6"/>
              <w:right w:val="single" w:sz="8" w:color="231F20"/>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2016</w:t>
            </w:r>
          </w:p>
        </w:tc>
        <w:tc>
          <w:tcPr>
            <w:tcW w:w="1680" w:type="dxa"/>
            <w:vAlign w:val="bottom"/>
            <w:tcBorders>
              <w:top w:val="single" w:sz="8" w:color="2360A6"/>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2015</w:t>
            </w:r>
          </w:p>
        </w:tc>
        <w:tc>
          <w:tcPr>
            <w:tcW w:w="1680" w:type="dxa"/>
            <w:vAlign w:val="bottom"/>
            <w:tcBorders>
              <w:top w:val="single" w:sz="8" w:color="2360A6"/>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b w:val="1"/>
                <w:bCs w:val="1"/>
                <w:color w:val="2360A6"/>
              </w:rPr>
              <w:t>2014</w:t>
            </w:r>
          </w:p>
        </w:tc>
      </w:tr>
      <w:tr>
        <w:trPr>
          <w:trHeight w:val="216"/>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 xml:space="preserve">Net Proceeds from Disposal of Property, Plant and Equipment </w:t>
            </w:r>
            <w:r>
              <w:rPr>
                <w:rFonts w:ascii="Arial" w:cs="Arial" w:eastAsia="Arial" w:hAnsi="Arial"/>
                <w:sz w:val="17"/>
                <w:szCs w:val="17"/>
                <w:color w:val="231F20"/>
                <w:vertAlign w:val="superscript"/>
              </w:rPr>
              <w:t>(1)</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3.1</w:t>
            </w:r>
          </w:p>
        </w:tc>
        <w:tc>
          <w:tcPr>
            <w:tcW w:w="168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231F20"/>
              </w:rPr>
              <w:t>7.9</w:t>
            </w:r>
          </w:p>
        </w:tc>
      </w:tr>
      <w:tr>
        <w:trPr>
          <w:trHeight w:val="204"/>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Net Proceeds from Disposal of Intangible Assets</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68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231F20"/>
              </w:rPr>
              <w:t>4.7</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Reinsurance Income</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10.7</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11.3</w:t>
            </w:r>
          </w:p>
        </w:tc>
        <w:tc>
          <w:tcPr>
            <w:tcW w:w="168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231F20"/>
              </w:rPr>
              <w:t>11.5</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Other</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7.6</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5.9</w:t>
            </w:r>
          </w:p>
        </w:tc>
        <w:tc>
          <w:tcPr>
            <w:tcW w:w="1680" w:type="dxa"/>
            <w:vAlign w:val="bottom"/>
            <w:tcBorders>
              <w:bottom w:val="single" w:sz="8" w:color="2360A6"/>
              <w:right w:val="single" w:sz="8" w:color="231F20"/>
            </w:tcBorders>
          </w:tcPr>
          <w:p>
            <w:pPr>
              <w:jc w:val="right"/>
              <w:ind w:right="28"/>
              <w:spacing w:after="0"/>
              <w:rPr>
                <w:sz w:val="20"/>
                <w:szCs w:val="20"/>
                <w:color w:val="auto"/>
              </w:rPr>
            </w:pPr>
            <w:r>
              <w:rPr>
                <w:rFonts w:ascii="Arial" w:cs="Arial" w:eastAsia="Arial" w:hAnsi="Arial"/>
                <w:sz w:val="14"/>
                <w:szCs w:val="14"/>
                <w:color w:val="231F20"/>
              </w:rPr>
              <w:t>6.9</w:t>
            </w:r>
          </w:p>
        </w:tc>
      </w:tr>
      <w:tr>
        <w:trPr>
          <w:trHeight w:val="237"/>
        </w:trPr>
        <w:tc>
          <w:tcPr>
            <w:tcW w:w="556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OTHER OPERATING INCOME</w:t>
            </w:r>
          </w:p>
        </w:tc>
        <w:tc>
          <w:tcPr>
            <w:tcW w:w="1720" w:type="dxa"/>
            <w:vAlign w:val="bottom"/>
            <w:tcBorders>
              <w:bottom w:val="single" w:sz="8" w:color="2360A6"/>
              <w:right w:val="single" w:sz="8" w:color="231F20"/>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18.3</w:t>
            </w:r>
          </w:p>
        </w:tc>
        <w:tc>
          <w:tcPr>
            <w:tcW w:w="168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20.3</w:t>
            </w:r>
          </w:p>
        </w:tc>
        <w:tc>
          <w:tcPr>
            <w:tcW w:w="1680" w:type="dxa"/>
            <w:vAlign w:val="bottom"/>
            <w:tcBorders>
              <w:bottom w:val="single" w:sz="8" w:color="2360A6"/>
              <w:right w:val="single" w:sz="8" w:color="231F20"/>
            </w:tcBorders>
            <w:shd w:val="clear" w:color="auto" w:fill="D2DEEC"/>
          </w:tcPr>
          <w:p>
            <w:pPr>
              <w:jc w:val="right"/>
              <w:ind w:right="28"/>
              <w:spacing w:after="0"/>
              <w:rPr>
                <w:sz w:val="20"/>
                <w:szCs w:val="20"/>
                <w:color w:val="auto"/>
              </w:rPr>
            </w:pPr>
            <w:r>
              <w:rPr>
                <w:rFonts w:ascii="Arial" w:cs="Arial" w:eastAsia="Arial" w:hAnsi="Arial"/>
                <w:sz w:val="14"/>
                <w:szCs w:val="14"/>
                <w:b w:val="1"/>
                <w:bCs w:val="1"/>
                <w:color w:val="2360A6"/>
              </w:rPr>
              <w:t>31.0</w:t>
            </w:r>
          </w:p>
        </w:tc>
      </w:tr>
      <w:tr>
        <w:trPr>
          <w:trHeight w:val="156"/>
        </w:trPr>
        <w:tc>
          <w:tcPr>
            <w:tcW w:w="5560" w:type="dxa"/>
            <w:vAlign w:val="bottom"/>
            <w:tcBorders>
              <w:left w:val="single" w:sz="8" w:color="231F20"/>
            </w:tcBorders>
          </w:tcPr>
          <w:p>
            <w:pPr>
              <w:ind w:left="40"/>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2"/>
                <w:szCs w:val="12"/>
                <w:color w:val="231F20"/>
              </w:rPr>
              <w:t>Includes €23.2 million of proceeds of tangible assets as of December 31, 2015.</w:t>
            </w:r>
          </w:p>
        </w:tc>
        <w:tc>
          <w:tcPr>
            <w:tcW w:w="1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80" w:type="dxa"/>
            <w:vAlign w:val="bottom"/>
            <w:tcBorders>
              <w:right w:val="single" w:sz="8" w:color="231F20"/>
            </w:tcBorders>
          </w:tcPr>
          <w:p>
            <w:pPr>
              <w:spacing w:after="0"/>
              <w:rPr>
                <w:sz w:val="13"/>
                <w:szCs w:val="13"/>
                <w:color w:val="auto"/>
              </w:rPr>
            </w:pPr>
          </w:p>
        </w:tc>
      </w:tr>
      <w:tr>
        <w:trPr>
          <w:trHeight w:val="162"/>
        </w:trPr>
        <w:tc>
          <w:tcPr>
            <w:tcW w:w="5560" w:type="dxa"/>
            <w:vAlign w:val="bottom"/>
            <w:tcBorders>
              <w:left w:val="single" w:sz="8" w:color="231F20"/>
              <w:bottom w:val="single" w:sz="8" w:color="2360A6"/>
            </w:tcBorders>
          </w:tcPr>
          <w:p>
            <w:pPr>
              <w:ind w:left="180"/>
              <w:spacing w:after="0"/>
              <w:rPr>
                <w:sz w:val="20"/>
                <w:szCs w:val="20"/>
                <w:color w:val="auto"/>
              </w:rPr>
            </w:pPr>
            <w:r>
              <w:rPr>
                <w:rFonts w:ascii="Arial" w:cs="Arial" w:eastAsia="Arial" w:hAnsi="Arial"/>
                <w:sz w:val="13"/>
                <w:szCs w:val="13"/>
                <w:color w:val="231F20"/>
              </w:rPr>
              <w:t>Includes €56.6 million of proceeds of tangible assets as of December 31, 2014.</w:t>
            </w:r>
          </w:p>
        </w:tc>
        <w:tc>
          <w:tcPr>
            <w:tcW w:w="1720" w:type="dxa"/>
            <w:vAlign w:val="bottom"/>
            <w:tcBorders>
              <w:bottom w:val="single" w:sz="8" w:color="2360A6"/>
            </w:tcBorders>
          </w:tcPr>
          <w:p>
            <w:pPr>
              <w:spacing w:after="0"/>
              <w:rPr>
                <w:sz w:val="14"/>
                <w:szCs w:val="14"/>
                <w:color w:val="auto"/>
              </w:rPr>
            </w:pPr>
          </w:p>
        </w:tc>
        <w:tc>
          <w:tcPr>
            <w:tcW w:w="1680" w:type="dxa"/>
            <w:vAlign w:val="bottom"/>
            <w:tcBorders>
              <w:bottom w:val="single" w:sz="8" w:color="2360A6"/>
            </w:tcBorders>
          </w:tcPr>
          <w:p>
            <w:pPr>
              <w:spacing w:after="0"/>
              <w:rPr>
                <w:sz w:val="14"/>
                <w:szCs w:val="14"/>
                <w:color w:val="auto"/>
              </w:rPr>
            </w:pPr>
          </w:p>
        </w:tc>
        <w:tc>
          <w:tcPr>
            <w:tcW w:w="1680" w:type="dxa"/>
            <w:vAlign w:val="bottom"/>
            <w:tcBorders>
              <w:bottom w:val="single" w:sz="8" w:color="2360A6"/>
              <w:right w:val="single" w:sz="8" w:color="231F20"/>
            </w:tcBorders>
          </w:tcPr>
          <w:p>
            <w:pPr>
              <w:spacing w:after="0"/>
              <w:rPr>
                <w:sz w:val="14"/>
                <w:szCs w:val="14"/>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(F) Other Operating Expenses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Other operating expenses break down as follows:</w:t>
      </w:r>
    </w:p>
    <w:p>
      <w:pPr>
        <w:spacing w:after="0" w:line="118" w:lineRule="exact"/>
        <w:rPr>
          <w:sz w:val="20"/>
          <w:szCs w:val="20"/>
          <w:color w:val="auto"/>
        </w:rPr>
      </w:pPr>
    </w:p>
    <w:tbl>
      <w:tblPr>
        <w:tblLayout w:type="fixed"/>
        <w:tblInd w:w="330" w:type="dxa"/>
        <w:tblCellMar>
          <w:top w:w="0" w:type="dxa"/>
          <w:left w:w="0" w:type="dxa"/>
          <w:bottom w:w="0" w:type="dxa"/>
          <w:right w:w="0" w:type="dxa"/>
        </w:tblCellMar>
      </w:tblPr>
      <w:tr>
        <w:trPr>
          <w:trHeight w:val="224"/>
        </w:trPr>
        <w:tc>
          <w:tcPr>
            <w:tcW w:w="5520" w:type="dxa"/>
            <w:vAlign w:val="bottom"/>
            <w:tcBorders>
              <w:top w:val="single" w:sz="8" w:color="2360A6"/>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620" w:type="dxa"/>
            <w:vAlign w:val="bottom"/>
            <w:tcBorders>
              <w:top w:val="single" w:sz="8" w:color="2360A6"/>
              <w:bottom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40" w:type="dxa"/>
            <w:vAlign w:val="bottom"/>
            <w:tcBorders>
              <w:top w:val="single" w:sz="8" w:color="2360A6"/>
              <w:bottom w:val="single" w:sz="8" w:color="2360A6"/>
              <w:right w:val="single" w:sz="8" w:color="231F20"/>
            </w:tcBorders>
            <w:shd w:val="clear" w:color="auto" w:fill="2360A6"/>
          </w:tcPr>
          <w:p>
            <w:pPr>
              <w:spacing w:after="0"/>
              <w:rPr>
                <w:sz w:val="19"/>
                <w:szCs w:val="19"/>
                <w:color w:val="auto"/>
              </w:rPr>
            </w:pPr>
          </w:p>
        </w:tc>
        <w:tc>
          <w:tcPr>
            <w:tcW w:w="1680" w:type="dxa"/>
            <w:vAlign w:val="bottom"/>
            <w:tcBorders>
              <w:top w:val="single" w:sz="8" w:color="2360A6"/>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2015</w:t>
            </w:r>
          </w:p>
        </w:tc>
        <w:tc>
          <w:tcPr>
            <w:tcW w:w="1680" w:type="dxa"/>
            <w:vAlign w:val="bottom"/>
            <w:tcBorders>
              <w:top w:val="single" w:sz="8" w:color="2360A6"/>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55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Reinsurance Costs</w:t>
            </w:r>
          </w:p>
        </w:tc>
        <w:tc>
          <w:tcPr>
            <w:tcW w:w="162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(23.7)</w:t>
            </w:r>
          </w:p>
        </w:tc>
        <w:tc>
          <w:tcPr>
            <w:tcW w:w="140" w:type="dxa"/>
            <w:vAlign w:val="bottom"/>
            <w:tcBorders>
              <w:bottom w:val="single" w:sz="8" w:color="2360A6"/>
              <w:right w:val="single" w:sz="8" w:color="231F20"/>
            </w:tcBorders>
            <w:shd w:val="clear" w:color="auto" w:fill="EDEDEE"/>
          </w:tcPr>
          <w:p>
            <w:pPr>
              <w:spacing w:after="0"/>
              <w:rPr>
                <w:sz w:val="18"/>
                <w:szCs w:val="18"/>
                <w:color w:val="auto"/>
              </w:rPr>
            </w:pP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(12.4)</w:t>
            </w:r>
          </w:p>
        </w:tc>
        <w:tc>
          <w:tcPr>
            <w:tcW w:w="16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(7.2)</w:t>
            </w:r>
          </w:p>
        </w:tc>
      </w:tr>
      <w:tr>
        <w:trPr>
          <w:trHeight w:val="216"/>
        </w:trPr>
        <w:tc>
          <w:tcPr>
            <w:tcW w:w="55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 xml:space="preserve">Net Loss from Disposal of Property, Plant and Equipment </w:t>
            </w:r>
            <w:r>
              <w:rPr>
                <w:rFonts w:ascii="Arial" w:cs="Arial" w:eastAsia="Arial" w:hAnsi="Arial"/>
                <w:sz w:val="17"/>
                <w:szCs w:val="17"/>
                <w:color w:val="231F20"/>
                <w:vertAlign w:val="superscript"/>
              </w:rPr>
              <w:t>(1)</w:t>
            </w:r>
          </w:p>
        </w:tc>
        <w:tc>
          <w:tcPr>
            <w:tcW w:w="162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(2.6)</w:t>
            </w:r>
          </w:p>
        </w:tc>
        <w:tc>
          <w:tcPr>
            <w:tcW w:w="140" w:type="dxa"/>
            <w:vAlign w:val="bottom"/>
            <w:tcBorders>
              <w:bottom w:val="single" w:sz="8" w:color="2360A6"/>
              <w:right w:val="single" w:sz="8" w:color="231F20"/>
            </w:tcBorders>
            <w:shd w:val="clear" w:color="auto" w:fill="EDEDEE"/>
          </w:tcPr>
          <w:p>
            <w:pPr>
              <w:spacing w:after="0"/>
              <w:rPr>
                <w:sz w:val="18"/>
                <w:szCs w:val="18"/>
                <w:color w:val="auto"/>
              </w:rPr>
            </w:pP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6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4.7</w:t>
            </w:r>
          </w:p>
        </w:tc>
      </w:tr>
      <w:tr>
        <w:trPr>
          <w:trHeight w:val="204"/>
        </w:trPr>
        <w:tc>
          <w:tcPr>
            <w:tcW w:w="55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Net Loss from Disposal of Intangible Assets</w:t>
            </w:r>
          </w:p>
        </w:tc>
        <w:tc>
          <w:tcPr>
            <w:tcW w:w="162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(1.6)</w:t>
            </w:r>
          </w:p>
        </w:tc>
        <w:tc>
          <w:tcPr>
            <w:tcW w:w="140" w:type="dxa"/>
            <w:vAlign w:val="bottom"/>
            <w:tcBorders>
              <w:bottom w:val="single" w:sz="8" w:color="2360A6"/>
              <w:right w:val="single" w:sz="8" w:color="231F20"/>
            </w:tcBorders>
            <w:shd w:val="clear" w:color="auto" w:fill="EDEDEE"/>
          </w:tcPr>
          <w:p>
            <w:pPr>
              <w:spacing w:after="0"/>
              <w:rPr>
                <w:sz w:val="17"/>
                <w:szCs w:val="17"/>
                <w:color w:val="auto"/>
              </w:rPr>
            </w:pP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6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4.7</w:t>
            </w:r>
          </w:p>
        </w:tc>
      </w:tr>
      <w:tr>
        <w:trPr>
          <w:trHeight w:val="210"/>
        </w:trPr>
        <w:tc>
          <w:tcPr>
            <w:tcW w:w="55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Other</w:t>
            </w:r>
          </w:p>
        </w:tc>
        <w:tc>
          <w:tcPr>
            <w:tcW w:w="162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(5.7)</w:t>
            </w:r>
          </w:p>
        </w:tc>
        <w:tc>
          <w:tcPr>
            <w:tcW w:w="140" w:type="dxa"/>
            <w:vAlign w:val="bottom"/>
            <w:tcBorders>
              <w:bottom w:val="single" w:sz="8" w:color="2360A6"/>
              <w:right w:val="single" w:sz="8" w:color="231F20"/>
            </w:tcBorders>
            <w:shd w:val="clear" w:color="auto" w:fill="EDEDEE"/>
          </w:tcPr>
          <w:p>
            <w:pPr>
              <w:spacing w:after="0"/>
              <w:rPr>
                <w:sz w:val="18"/>
                <w:szCs w:val="18"/>
                <w:color w:val="auto"/>
              </w:rPr>
            </w:pP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(3.1)</w:t>
            </w:r>
          </w:p>
        </w:tc>
        <w:tc>
          <w:tcPr>
            <w:tcW w:w="16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(4.2)</w:t>
            </w:r>
          </w:p>
        </w:tc>
      </w:tr>
      <w:tr>
        <w:trPr>
          <w:trHeight w:val="237"/>
        </w:trPr>
        <w:tc>
          <w:tcPr>
            <w:tcW w:w="552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OTHER OPERATING EXPENSES</w:t>
            </w:r>
          </w:p>
        </w:tc>
        <w:tc>
          <w:tcPr>
            <w:tcW w:w="162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(33.6</w:t>
            </w:r>
          </w:p>
        </w:tc>
        <w:tc>
          <w:tcPr>
            <w:tcW w:w="14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w:t>
            </w:r>
          </w:p>
        </w:tc>
        <w:tc>
          <w:tcPr>
            <w:tcW w:w="168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(15.5)</w:t>
            </w:r>
          </w:p>
        </w:tc>
        <w:tc>
          <w:tcPr>
            <w:tcW w:w="168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(11.4)</w:t>
            </w:r>
          </w:p>
        </w:tc>
      </w:tr>
      <w:tr>
        <w:trPr>
          <w:trHeight w:val="182"/>
        </w:trPr>
        <w:tc>
          <w:tcPr>
            <w:tcW w:w="5520" w:type="dxa"/>
            <w:vAlign w:val="bottom"/>
            <w:tcBorders>
              <w:left w:val="single" w:sz="8" w:color="231F20"/>
              <w:bottom w:val="single" w:sz="8" w:color="2360A6"/>
            </w:tcBorders>
          </w:tcPr>
          <w:p>
            <w:pPr>
              <w:ind w:left="40"/>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2"/>
                <w:szCs w:val="12"/>
                <w:color w:val="231F20"/>
              </w:rPr>
              <w:t>Includes €35.7 million of proceeds of tangible assets as of December 31, 2016.</w:t>
            </w:r>
          </w:p>
        </w:tc>
        <w:tc>
          <w:tcPr>
            <w:tcW w:w="1620" w:type="dxa"/>
            <w:vAlign w:val="bottom"/>
            <w:tcBorders>
              <w:bottom w:val="single" w:sz="8" w:color="2360A6"/>
            </w:tcBorders>
          </w:tcPr>
          <w:p>
            <w:pPr>
              <w:spacing w:after="0"/>
              <w:rPr>
                <w:sz w:val="15"/>
                <w:szCs w:val="15"/>
                <w:color w:val="auto"/>
              </w:rPr>
            </w:pPr>
          </w:p>
        </w:tc>
        <w:tc>
          <w:tcPr>
            <w:tcW w:w="140" w:type="dxa"/>
            <w:vAlign w:val="bottom"/>
            <w:tcBorders>
              <w:bottom w:val="single" w:sz="8" w:color="2360A6"/>
            </w:tcBorders>
          </w:tcPr>
          <w:p>
            <w:pPr>
              <w:spacing w:after="0"/>
              <w:rPr>
                <w:sz w:val="15"/>
                <w:szCs w:val="15"/>
                <w:color w:val="auto"/>
              </w:rPr>
            </w:pPr>
          </w:p>
        </w:tc>
        <w:tc>
          <w:tcPr>
            <w:tcW w:w="1680" w:type="dxa"/>
            <w:vAlign w:val="bottom"/>
            <w:tcBorders>
              <w:bottom w:val="single" w:sz="8" w:color="2360A6"/>
            </w:tcBorders>
          </w:tcPr>
          <w:p>
            <w:pPr>
              <w:spacing w:after="0"/>
              <w:rPr>
                <w:sz w:val="15"/>
                <w:szCs w:val="15"/>
                <w:color w:val="auto"/>
              </w:rPr>
            </w:pPr>
          </w:p>
        </w:tc>
        <w:tc>
          <w:tcPr>
            <w:tcW w:w="1680" w:type="dxa"/>
            <w:vAlign w:val="bottom"/>
            <w:tcBorders>
              <w:bottom w:val="single" w:sz="8" w:color="2360A6"/>
              <w:right w:val="single" w:sz="8" w:color="231F20"/>
            </w:tcBorders>
          </w:tcPr>
          <w:p>
            <w:pPr>
              <w:spacing w:after="0"/>
              <w:rPr>
                <w:sz w:val="15"/>
                <w:szCs w:val="15"/>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(G) Income/(Charges) from Disposals of Activities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In 2016 and in 2015, the Group has not concluded any sale of activities that could belong to this category.</w:t>
      </w:r>
    </w:p>
    <w:p>
      <w:pPr>
        <w:spacing w:after="0" w:line="113" w:lineRule="exact"/>
        <w:rPr>
          <w:sz w:val="20"/>
          <w:szCs w:val="20"/>
          <w:color w:val="auto"/>
        </w:rPr>
      </w:pPr>
    </w:p>
    <w:p>
      <w:pPr>
        <w:ind w:left="40"/>
        <w:spacing w:after="0" w:line="244" w:lineRule="auto"/>
        <w:rPr>
          <w:sz w:val="20"/>
          <w:szCs w:val="20"/>
          <w:color w:val="auto"/>
        </w:rPr>
      </w:pPr>
      <w:r>
        <w:rPr>
          <w:rFonts w:ascii="Arial" w:cs="Arial" w:eastAsia="Arial" w:hAnsi="Arial"/>
          <w:sz w:val="16"/>
          <w:szCs w:val="16"/>
          <w:color w:val="231F20"/>
        </w:rPr>
        <w:t>In 2014, the result from sales of activities for a total amount of €(5.5) million is exclusively composed of impacts of disposals of the following consolidated investments:</w:t>
      </w:r>
    </w:p>
    <w:p>
      <w:pPr>
        <w:spacing w:after="0" w:line="5" w:lineRule="exact"/>
        <w:rPr>
          <w:sz w:val="20"/>
          <w:szCs w:val="20"/>
          <w:color w:val="auto"/>
        </w:rPr>
      </w:pPr>
    </w:p>
    <w:p>
      <w:pPr>
        <w:ind w:left="260" w:hanging="170"/>
        <w:spacing w:after="0"/>
        <w:tabs>
          <w:tab w:leader="none" w:pos="260" w:val="left"/>
        </w:tabs>
        <w:numPr>
          <w:ilvl w:val="0"/>
          <w:numId w:val="49"/>
        </w:numPr>
        <w:rPr>
          <w:rFonts w:ascii="Arial" w:cs="Arial" w:eastAsia="Arial" w:hAnsi="Arial"/>
          <w:sz w:val="18"/>
          <w:szCs w:val="18"/>
          <w:color w:val="006EBF"/>
        </w:rPr>
      </w:pPr>
      <w:r>
        <w:rPr>
          <w:rFonts w:ascii="Arial" w:cs="Arial" w:eastAsia="Arial" w:hAnsi="Arial"/>
          <w:sz w:val="16"/>
          <w:szCs w:val="16"/>
          <w:color w:val="231F20"/>
        </w:rPr>
        <w:t>Technip TPS, fully-owned French subsidiary totally disposed on April 30, 2014, and</w:t>
      </w:r>
    </w:p>
    <w:p>
      <w:pPr>
        <w:spacing w:after="0" w:line="9" w:lineRule="exact"/>
        <w:rPr>
          <w:rFonts w:ascii="Arial" w:cs="Arial" w:eastAsia="Arial" w:hAnsi="Arial"/>
          <w:sz w:val="18"/>
          <w:szCs w:val="18"/>
          <w:color w:val="006EBF"/>
        </w:rPr>
      </w:pPr>
    </w:p>
    <w:p>
      <w:pPr>
        <w:ind w:left="260" w:hanging="170"/>
        <w:spacing w:after="0"/>
        <w:tabs>
          <w:tab w:leader="none" w:pos="260" w:val="left"/>
        </w:tabs>
        <w:numPr>
          <w:ilvl w:val="0"/>
          <w:numId w:val="49"/>
        </w:numPr>
        <w:rPr>
          <w:rFonts w:ascii="Arial" w:cs="Arial" w:eastAsia="Arial" w:hAnsi="Arial"/>
          <w:sz w:val="18"/>
          <w:szCs w:val="18"/>
          <w:color w:val="006EBF"/>
        </w:rPr>
      </w:pPr>
      <w:r>
        <w:rPr>
          <w:rFonts w:ascii="Arial" w:cs="Arial" w:eastAsia="Arial" w:hAnsi="Arial"/>
          <w:sz w:val="16"/>
          <w:szCs w:val="16"/>
          <w:color w:val="231F20"/>
        </w:rPr>
        <w:t>Seamec, which all of Group investment share of 75% was sold successively on June 3, on September 26, then on December 4, 2014.</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The proceeds from these operations, net of cash disposal, amounted to €24.6 million in 2014.</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231F20"/>
        </w:rPr>
        <w:t>(H) Income/(Charges) from Non-Current Activities</w:t>
      </w:r>
    </w:p>
    <w:p>
      <w:pPr>
        <w:spacing w:after="0" w:line="150" w:lineRule="exact"/>
        <w:rPr>
          <w:sz w:val="20"/>
          <w:szCs w:val="20"/>
          <w:color w:val="auto"/>
        </w:rPr>
      </w:pPr>
    </w:p>
    <w:p>
      <w:pPr>
        <w:jc w:val="both"/>
        <w:ind w:left="40" w:right="20"/>
        <w:spacing w:after="0" w:line="260" w:lineRule="auto"/>
        <w:rPr>
          <w:sz w:val="20"/>
          <w:szCs w:val="20"/>
          <w:color w:val="auto"/>
        </w:rPr>
      </w:pPr>
      <w:r>
        <w:rPr>
          <w:rFonts w:ascii="Arial" w:cs="Arial" w:eastAsia="Arial" w:hAnsi="Arial"/>
          <w:sz w:val="16"/>
          <w:szCs w:val="16"/>
          <w:color w:val="231F20"/>
        </w:rPr>
        <w:t>For the financial years ended December 31, 2016 and 2015, non-current expenses for respective aggregate amounts of €(441.0) million and €(469.8) million were recognized.</w:t>
      </w:r>
    </w:p>
    <w:p>
      <w:pPr>
        <w:spacing w:after="0" w:line="88" w:lineRule="exact"/>
        <w:rPr>
          <w:sz w:val="20"/>
          <w:szCs w:val="20"/>
          <w:color w:val="auto"/>
        </w:rPr>
      </w:pPr>
    </w:p>
    <w:p>
      <w:pPr>
        <w:jc w:val="both"/>
        <w:ind w:left="40"/>
        <w:spacing w:after="0" w:line="251" w:lineRule="auto"/>
        <w:rPr>
          <w:sz w:val="20"/>
          <w:szCs w:val="20"/>
          <w:color w:val="auto"/>
        </w:rPr>
      </w:pPr>
      <w:r>
        <w:rPr>
          <w:rFonts w:ascii="Arial" w:cs="Arial" w:eastAsia="Arial" w:hAnsi="Arial"/>
          <w:sz w:val="16"/>
          <w:szCs w:val="16"/>
          <w:color w:val="231F20"/>
        </w:rPr>
        <w:t>Total non-current expenses respectively included €(297.0) million in 2016 and €(450.9) million 2015 in reference to the restructuring plan announced on July 6, 2015. This one-off charge comprised all direct and indirect consequences of the restructuring plan, for example asset impairments, lease overhangs, appropriate amounts for disputes with some clients and additional amounts on ongoing projects impacted by this restructuring plan. It also included the closure costs of affiliates, mainly German entities, for which total losses generated from disposals, net of cash, amounted to €(80.9) million in 2016.</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In 2016, a total of €(142.3) million of costs related to the merger with FMC Technologies was accounted for as charges from non-current activities.</w:t>
      </w:r>
    </w:p>
    <w:p>
      <w:pPr>
        <w:spacing w:after="0" w:line="113" w:lineRule="exact"/>
        <w:rPr>
          <w:sz w:val="20"/>
          <w:szCs w:val="20"/>
          <w:color w:val="auto"/>
        </w:rPr>
      </w:pPr>
    </w:p>
    <w:p>
      <w:pPr>
        <w:jc w:val="both"/>
        <w:ind w:left="40"/>
        <w:spacing w:after="0" w:line="260" w:lineRule="auto"/>
        <w:rPr>
          <w:sz w:val="20"/>
          <w:szCs w:val="20"/>
          <w:color w:val="auto"/>
        </w:rPr>
      </w:pPr>
      <w:r>
        <w:rPr>
          <w:rFonts w:ascii="Arial" w:cs="Arial" w:eastAsia="Arial" w:hAnsi="Arial"/>
          <w:sz w:val="16"/>
          <w:szCs w:val="16"/>
          <w:color w:val="231F20"/>
        </w:rPr>
        <w:t>In 2014, non-current expenses for an aggregate amount of €(68.1) million were mainly recognized for the closure costs of the Group Offshore Wind activity, restructuring costs and a transaction paid within the framework of a negotiation concerning a claim on contracts dating more than five years.</w:t>
      </w:r>
    </w:p>
    <w:p>
      <w:pPr>
        <w:sectPr>
          <w:pgSz w:w="11900" w:h="16838" w:orient="portrait"/>
          <w:cols w:equalWidth="0" w:num="1">
            <w:col w:w="11340"/>
          </w:cols>
          <w:pgMar w:left="320" w:top="676" w:right="239" w:bottom="1440" w:gutter="0" w:footer="0" w:header="0"/>
        </w:sectPr>
      </w:pPr>
    </w:p>
    <w:bookmarkStart w:id="112" w:name="page113"/>
    <w:bookmarkEnd w:id="112"/>
    <w:p>
      <w:pPr>
        <w:spacing w:after="0"/>
        <w:rPr>
          <w:sz w:val="20"/>
          <w:szCs w:val="20"/>
          <w:color w:val="auto"/>
        </w:rPr>
      </w:pPr>
      <w:r>
        <w:rPr>
          <w:rFonts w:ascii="Arial" w:cs="Arial" w:eastAsia="Arial" w:hAnsi="Arial"/>
          <w:sz w:val="25"/>
          <w:szCs w:val="25"/>
          <w:b w:val="1"/>
          <w:bCs w:val="1"/>
          <w:color w:val="231F20"/>
        </w:rPr>
        <w:t>(I) Employee Expenses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Employee expenses break down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40" w:type="dxa"/>
            <w:vAlign w:val="bottom"/>
            <w:tcBorders>
              <w:right w:val="single" w:sz="8" w:color="2360A6"/>
            </w:tcBorders>
          </w:tcPr>
          <w:p>
            <w:pPr>
              <w:spacing w:after="0"/>
              <w:rPr>
                <w:sz w:val="19"/>
                <w:szCs w:val="19"/>
                <w:color w:val="auto"/>
              </w:rPr>
            </w:pPr>
          </w:p>
        </w:tc>
        <w:tc>
          <w:tcPr>
            <w:tcW w:w="5540" w:type="dxa"/>
            <w:vAlign w:val="bottom"/>
            <w:tcBorders>
              <w:top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800" w:type="dxa"/>
            <w:vAlign w:val="bottom"/>
            <w:tcBorders>
              <w:top w:val="single" w:sz="8" w:color="2360A6"/>
              <w:bottom w:val="single" w:sz="8" w:color="2360A6"/>
            </w:tcBorders>
            <w:shd w:val="clear" w:color="auto" w:fill="2360A6"/>
          </w:tcPr>
          <w:p>
            <w:pPr>
              <w:spacing w:after="0"/>
              <w:rPr>
                <w:sz w:val="19"/>
                <w:szCs w:val="19"/>
                <w:color w:val="auto"/>
              </w:rPr>
            </w:pPr>
          </w:p>
        </w:tc>
        <w:tc>
          <w:tcPr>
            <w:tcW w:w="920" w:type="dxa"/>
            <w:vAlign w:val="bottom"/>
            <w:tcBorders>
              <w:top w:val="single" w:sz="8" w:color="2360A6"/>
              <w:bottom w:val="single" w:sz="8" w:color="2360A6"/>
              <w:right w:val="single" w:sz="8" w:color="2360A6"/>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2016</w:t>
            </w:r>
          </w:p>
        </w:tc>
        <w:tc>
          <w:tcPr>
            <w:tcW w:w="170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2015</w:t>
            </w:r>
          </w:p>
        </w:tc>
        <w:tc>
          <w:tcPr>
            <w:tcW w:w="1680" w:type="dxa"/>
            <w:vAlign w:val="bottom"/>
            <w:tcBorders>
              <w:top w:val="single" w:sz="8" w:color="2360A6"/>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2014</w:t>
            </w:r>
          </w:p>
        </w:tc>
      </w:tr>
      <w:tr>
        <w:trPr>
          <w:trHeight w:val="210"/>
        </w:trPr>
        <w:tc>
          <w:tcPr>
            <w:tcW w:w="340" w:type="dxa"/>
            <w:vAlign w:val="bottom"/>
            <w:tcBorders>
              <w:right w:val="single" w:sz="8" w:color="2360A6"/>
            </w:tcBorders>
          </w:tcPr>
          <w:p>
            <w:pPr>
              <w:spacing w:after="0"/>
              <w:rPr>
                <w:sz w:val="18"/>
                <w:szCs w:val="18"/>
                <w:color w:val="auto"/>
              </w:rPr>
            </w:pPr>
          </w:p>
        </w:tc>
        <w:tc>
          <w:tcPr>
            <w:tcW w:w="554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Wages and Salaries</w:t>
            </w:r>
          </w:p>
        </w:tc>
        <w:tc>
          <w:tcPr>
            <w:tcW w:w="800" w:type="dxa"/>
            <w:vAlign w:val="bottom"/>
            <w:tcBorders>
              <w:bottom w:val="single" w:sz="8" w:color="2360A6"/>
            </w:tcBorders>
            <w:shd w:val="clear" w:color="auto" w:fill="EDEDEE"/>
          </w:tcPr>
          <w:p>
            <w:pPr>
              <w:spacing w:after="0"/>
              <w:rPr>
                <w:sz w:val="18"/>
                <w:szCs w:val="18"/>
                <w:color w:val="auto"/>
              </w:rPr>
            </w:pPr>
          </w:p>
        </w:tc>
        <w:tc>
          <w:tcPr>
            <w:tcW w:w="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(1,643.9)</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(2,018.4)</w:t>
            </w:r>
          </w:p>
        </w:tc>
        <w:tc>
          <w:tcPr>
            <w:tcW w:w="16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(1,769.8)</w:t>
            </w:r>
          </w:p>
        </w:tc>
      </w:tr>
      <w:tr>
        <w:trPr>
          <w:trHeight w:val="210"/>
        </w:trPr>
        <w:tc>
          <w:tcPr>
            <w:tcW w:w="340" w:type="dxa"/>
            <w:vAlign w:val="bottom"/>
            <w:tcBorders>
              <w:right w:val="single" w:sz="8" w:color="2360A6"/>
            </w:tcBorders>
          </w:tcPr>
          <w:p>
            <w:pPr>
              <w:spacing w:after="0"/>
              <w:rPr>
                <w:sz w:val="18"/>
                <w:szCs w:val="18"/>
                <w:color w:val="auto"/>
              </w:rPr>
            </w:pPr>
          </w:p>
        </w:tc>
        <w:tc>
          <w:tcPr>
            <w:tcW w:w="554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Social Security Costs</w:t>
            </w:r>
          </w:p>
        </w:tc>
        <w:tc>
          <w:tcPr>
            <w:tcW w:w="800" w:type="dxa"/>
            <w:vAlign w:val="bottom"/>
            <w:tcBorders>
              <w:bottom w:val="single" w:sz="8" w:color="2360A6"/>
            </w:tcBorders>
            <w:shd w:val="clear" w:color="auto" w:fill="EDEDEE"/>
          </w:tcPr>
          <w:p>
            <w:pPr>
              <w:spacing w:after="0"/>
              <w:rPr>
                <w:sz w:val="18"/>
                <w:szCs w:val="18"/>
                <w:color w:val="auto"/>
              </w:rPr>
            </w:pPr>
          </w:p>
        </w:tc>
        <w:tc>
          <w:tcPr>
            <w:tcW w:w="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(303.9)</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(404.7)</w:t>
            </w:r>
          </w:p>
        </w:tc>
        <w:tc>
          <w:tcPr>
            <w:tcW w:w="16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(315.4)</w:t>
            </w:r>
          </w:p>
        </w:tc>
      </w:tr>
      <w:tr>
        <w:trPr>
          <w:trHeight w:val="210"/>
        </w:trPr>
        <w:tc>
          <w:tcPr>
            <w:tcW w:w="340" w:type="dxa"/>
            <w:vAlign w:val="bottom"/>
            <w:tcBorders>
              <w:right w:val="single" w:sz="8" w:color="2360A6"/>
            </w:tcBorders>
          </w:tcPr>
          <w:p>
            <w:pPr>
              <w:spacing w:after="0"/>
              <w:rPr>
                <w:sz w:val="18"/>
                <w:szCs w:val="18"/>
                <w:color w:val="auto"/>
              </w:rPr>
            </w:pPr>
          </w:p>
        </w:tc>
        <w:tc>
          <w:tcPr>
            <w:tcW w:w="554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Pension Costs - Defined Contribution Plans</w:t>
            </w:r>
          </w:p>
        </w:tc>
        <w:tc>
          <w:tcPr>
            <w:tcW w:w="800" w:type="dxa"/>
            <w:vAlign w:val="bottom"/>
            <w:tcBorders>
              <w:bottom w:val="single" w:sz="8" w:color="2360A6"/>
            </w:tcBorders>
            <w:shd w:val="clear" w:color="auto" w:fill="EDEDEE"/>
          </w:tcPr>
          <w:p>
            <w:pPr>
              <w:spacing w:after="0"/>
              <w:rPr>
                <w:sz w:val="18"/>
                <w:szCs w:val="18"/>
                <w:color w:val="auto"/>
              </w:rPr>
            </w:pPr>
          </w:p>
        </w:tc>
        <w:tc>
          <w:tcPr>
            <w:tcW w:w="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(59.5)</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(59.5)</w:t>
            </w:r>
          </w:p>
        </w:tc>
        <w:tc>
          <w:tcPr>
            <w:tcW w:w="16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(55.8)</w:t>
            </w:r>
          </w:p>
        </w:tc>
      </w:tr>
      <w:tr>
        <w:trPr>
          <w:trHeight w:val="210"/>
        </w:trPr>
        <w:tc>
          <w:tcPr>
            <w:tcW w:w="340" w:type="dxa"/>
            <w:vAlign w:val="bottom"/>
            <w:tcBorders>
              <w:right w:val="single" w:sz="8" w:color="2360A6"/>
            </w:tcBorders>
          </w:tcPr>
          <w:p>
            <w:pPr>
              <w:spacing w:after="0"/>
              <w:rPr>
                <w:sz w:val="18"/>
                <w:szCs w:val="18"/>
                <w:color w:val="auto"/>
              </w:rPr>
            </w:pPr>
          </w:p>
        </w:tc>
        <w:tc>
          <w:tcPr>
            <w:tcW w:w="554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Pension Costs - Defined Benefit Plans</w:t>
            </w:r>
          </w:p>
        </w:tc>
        <w:tc>
          <w:tcPr>
            <w:tcW w:w="800" w:type="dxa"/>
            <w:vAlign w:val="bottom"/>
            <w:tcBorders>
              <w:bottom w:val="single" w:sz="8" w:color="2360A6"/>
            </w:tcBorders>
            <w:shd w:val="clear" w:color="auto" w:fill="EDEDEE"/>
          </w:tcPr>
          <w:p>
            <w:pPr>
              <w:spacing w:after="0"/>
              <w:rPr>
                <w:sz w:val="18"/>
                <w:szCs w:val="18"/>
                <w:color w:val="auto"/>
              </w:rPr>
            </w:pPr>
          </w:p>
        </w:tc>
        <w:tc>
          <w:tcPr>
            <w:tcW w:w="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(2.4)</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(10.9)</w:t>
            </w:r>
          </w:p>
        </w:tc>
        <w:tc>
          <w:tcPr>
            <w:tcW w:w="16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(23.6)</w:t>
            </w:r>
          </w:p>
        </w:tc>
      </w:tr>
      <w:tr>
        <w:trPr>
          <w:trHeight w:val="210"/>
        </w:trPr>
        <w:tc>
          <w:tcPr>
            <w:tcW w:w="340" w:type="dxa"/>
            <w:vAlign w:val="bottom"/>
            <w:tcBorders>
              <w:right w:val="single" w:sz="8" w:color="2360A6"/>
            </w:tcBorders>
          </w:tcPr>
          <w:p>
            <w:pPr>
              <w:spacing w:after="0"/>
              <w:rPr>
                <w:sz w:val="18"/>
                <w:szCs w:val="18"/>
                <w:color w:val="auto"/>
              </w:rPr>
            </w:pPr>
          </w:p>
        </w:tc>
        <w:tc>
          <w:tcPr>
            <w:tcW w:w="554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Share Subscription or Purchase Options and Performance Shares</w:t>
            </w:r>
          </w:p>
        </w:tc>
        <w:tc>
          <w:tcPr>
            <w:tcW w:w="800" w:type="dxa"/>
            <w:vAlign w:val="bottom"/>
            <w:tcBorders>
              <w:bottom w:val="single" w:sz="8" w:color="2360A6"/>
            </w:tcBorders>
            <w:shd w:val="clear" w:color="auto" w:fill="EDEDEE"/>
          </w:tcPr>
          <w:p>
            <w:pPr>
              <w:spacing w:after="0"/>
              <w:rPr>
                <w:sz w:val="18"/>
                <w:szCs w:val="18"/>
                <w:color w:val="auto"/>
              </w:rPr>
            </w:pPr>
          </w:p>
        </w:tc>
        <w:tc>
          <w:tcPr>
            <w:tcW w:w="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(19.9)</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(32.6)</w:t>
            </w:r>
          </w:p>
        </w:tc>
        <w:tc>
          <w:tcPr>
            <w:tcW w:w="16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(40.0)</w:t>
            </w:r>
          </w:p>
        </w:tc>
      </w:tr>
      <w:tr>
        <w:trPr>
          <w:trHeight w:val="210"/>
        </w:trPr>
        <w:tc>
          <w:tcPr>
            <w:tcW w:w="340" w:type="dxa"/>
            <w:vAlign w:val="bottom"/>
            <w:tcBorders>
              <w:right w:val="single" w:sz="8" w:color="2360A6"/>
            </w:tcBorders>
          </w:tcPr>
          <w:p>
            <w:pPr>
              <w:spacing w:after="0"/>
              <w:rPr>
                <w:sz w:val="18"/>
                <w:szCs w:val="18"/>
                <w:color w:val="auto"/>
              </w:rPr>
            </w:pPr>
          </w:p>
        </w:tc>
        <w:tc>
          <w:tcPr>
            <w:tcW w:w="554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Cash Incentive Plans</w:t>
            </w:r>
          </w:p>
        </w:tc>
        <w:tc>
          <w:tcPr>
            <w:tcW w:w="800" w:type="dxa"/>
            <w:vAlign w:val="bottom"/>
            <w:tcBorders>
              <w:bottom w:val="single" w:sz="8" w:color="2360A6"/>
            </w:tcBorders>
            <w:shd w:val="clear" w:color="auto" w:fill="EDEDEE"/>
          </w:tcPr>
          <w:p>
            <w:pPr>
              <w:spacing w:after="0"/>
              <w:rPr>
                <w:sz w:val="18"/>
                <w:szCs w:val="18"/>
                <w:color w:val="auto"/>
              </w:rPr>
            </w:pPr>
          </w:p>
        </w:tc>
        <w:tc>
          <w:tcPr>
            <w:tcW w:w="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(59.4)</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(34.4)</w:t>
            </w:r>
          </w:p>
        </w:tc>
        <w:tc>
          <w:tcPr>
            <w:tcW w:w="16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(36.7)</w:t>
            </w:r>
          </w:p>
        </w:tc>
      </w:tr>
      <w:tr>
        <w:trPr>
          <w:trHeight w:val="210"/>
        </w:trPr>
        <w:tc>
          <w:tcPr>
            <w:tcW w:w="340" w:type="dxa"/>
            <w:vAlign w:val="bottom"/>
            <w:tcBorders>
              <w:right w:val="single" w:sz="8" w:color="2360A6"/>
            </w:tcBorders>
          </w:tcPr>
          <w:p>
            <w:pPr>
              <w:spacing w:after="0"/>
              <w:rPr>
                <w:sz w:val="18"/>
                <w:szCs w:val="18"/>
                <w:color w:val="auto"/>
              </w:rPr>
            </w:pPr>
          </w:p>
        </w:tc>
        <w:tc>
          <w:tcPr>
            <w:tcW w:w="554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Capital Increase Reserved for Employees</w:t>
            </w:r>
          </w:p>
        </w:tc>
        <w:tc>
          <w:tcPr>
            <w:tcW w:w="800" w:type="dxa"/>
            <w:vAlign w:val="bottom"/>
            <w:tcBorders>
              <w:bottom w:val="single" w:sz="8" w:color="2360A6"/>
            </w:tcBorders>
            <w:shd w:val="clear" w:color="auto" w:fill="EDEDEE"/>
          </w:tcPr>
          <w:p>
            <w:pPr>
              <w:spacing w:after="0"/>
              <w:rPr>
                <w:sz w:val="18"/>
                <w:szCs w:val="18"/>
                <w:color w:val="auto"/>
              </w:rPr>
            </w:pPr>
          </w:p>
        </w:tc>
        <w:tc>
          <w:tcPr>
            <w:tcW w:w="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(13.0)</w:t>
            </w:r>
          </w:p>
        </w:tc>
        <w:tc>
          <w:tcPr>
            <w:tcW w:w="16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340" w:type="dxa"/>
            <w:vAlign w:val="bottom"/>
            <w:tcBorders>
              <w:right w:val="single" w:sz="8" w:color="2360A6"/>
            </w:tcBorders>
          </w:tcPr>
          <w:p>
            <w:pPr>
              <w:spacing w:after="0"/>
              <w:rPr>
                <w:sz w:val="18"/>
                <w:szCs w:val="18"/>
                <w:color w:val="auto"/>
              </w:rPr>
            </w:pPr>
          </w:p>
        </w:tc>
        <w:tc>
          <w:tcPr>
            <w:tcW w:w="554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w:t>
            </w:r>
          </w:p>
        </w:tc>
        <w:tc>
          <w:tcPr>
            <w:tcW w:w="800" w:type="dxa"/>
            <w:vAlign w:val="bottom"/>
            <w:tcBorders>
              <w:bottom w:val="single" w:sz="8" w:color="2360A6"/>
            </w:tcBorders>
            <w:shd w:val="clear" w:color="auto" w:fill="EDEDEE"/>
          </w:tcPr>
          <w:p>
            <w:pPr>
              <w:spacing w:after="0"/>
              <w:rPr>
                <w:sz w:val="18"/>
                <w:szCs w:val="18"/>
                <w:color w:val="auto"/>
              </w:rPr>
            </w:pPr>
          </w:p>
        </w:tc>
        <w:tc>
          <w:tcPr>
            <w:tcW w:w="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(10.9)</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(41.4)</w:t>
            </w:r>
          </w:p>
        </w:tc>
        <w:tc>
          <w:tcPr>
            <w:tcW w:w="16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(7.3)</w:t>
            </w:r>
          </w:p>
        </w:tc>
      </w:tr>
      <w:tr>
        <w:trPr>
          <w:trHeight w:val="210"/>
        </w:trPr>
        <w:tc>
          <w:tcPr>
            <w:tcW w:w="340" w:type="dxa"/>
            <w:vAlign w:val="bottom"/>
            <w:tcBorders>
              <w:right w:val="single" w:sz="8" w:color="2360A6"/>
            </w:tcBorders>
          </w:tcPr>
          <w:p>
            <w:pPr>
              <w:spacing w:after="0"/>
              <w:rPr>
                <w:sz w:val="18"/>
                <w:szCs w:val="18"/>
                <w:color w:val="auto"/>
              </w:rPr>
            </w:pPr>
          </w:p>
        </w:tc>
        <w:tc>
          <w:tcPr>
            <w:tcW w:w="5540" w:type="dxa"/>
            <w:vAlign w:val="bottom"/>
            <w:tcBorders>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EMPLOYEE EXPENSES</w:t>
            </w:r>
          </w:p>
        </w:tc>
        <w:tc>
          <w:tcPr>
            <w:tcW w:w="800" w:type="dxa"/>
            <w:vAlign w:val="bottom"/>
            <w:tcBorders>
              <w:bottom w:val="single" w:sz="8" w:color="2360A6"/>
            </w:tcBorders>
            <w:shd w:val="clear" w:color="auto" w:fill="D2DEEC"/>
          </w:tcPr>
          <w:p>
            <w:pPr>
              <w:spacing w:after="0"/>
              <w:rPr>
                <w:sz w:val="18"/>
                <w:szCs w:val="18"/>
                <w:color w:val="auto"/>
              </w:rPr>
            </w:pPr>
          </w:p>
        </w:tc>
        <w:tc>
          <w:tcPr>
            <w:tcW w:w="920" w:type="dxa"/>
            <w:vAlign w:val="bottom"/>
            <w:tcBorders>
              <w:bottom w:val="single" w:sz="8" w:color="2360A6"/>
              <w:right w:val="single" w:sz="8" w:color="2360A6"/>
            </w:tcBorders>
            <w:shd w:val="clear" w:color="auto" w:fill="D2DEEC"/>
          </w:tcPr>
          <w:p>
            <w:pPr>
              <w:jc w:val="right"/>
              <w:ind w:right="28"/>
              <w:spacing w:after="0"/>
              <w:rPr>
                <w:sz w:val="20"/>
                <w:szCs w:val="20"/>
                <w:color w:val="auto"/>
              </w:rPr>
            </w:pPr>
            <w:r>
              <w:rPr>
                <w:rFonts w:ascii="Arial" w:cs="Arial" w:eastAsia="Arial" w:hAnsi="Arial"/>
                <w:sz w:val="14"/>
                <w:szCs w:val="14"/>
                <w:b w:val="1"/>
                <w:bCs w:val="1"/>
                <w:color w:val="006EBF"/>
              </w:rPr>
              <w:t>(2,099.9)</w:t>
            </w:r>
          </w:p>
        </w:tc>
        <w:tc>
          <w:tcPr>
            <w:tcW w:w="17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(2,614.9)</w:t>
            </w:r>
          </w:p>
        </w:tc>
        <w:tc>
          <w:tcPr>
            <w:tcW w:w="16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(2,248.6)</w:t>
            </w:r>
          </w:p>
        </w:tc>
      </w:tr>
      <w:tr>
        <w:trPr>
          <w:trHeight w:val="412"/>
        </w:trPr>
        <w:tc>
          <w:tcPr>
            <w:tcW w:w="6680" w:type="dxa"/>
            <w:vAlign w:val="bottom"/>
            <w:gridSpan w:val="3"/>
          </w:tcPr>
          <w:p>
            <w:pPr>
              <w:spacing w:after="0"/>
              <w:rPr>
                <w:sz w:val="20"/>
                <w:szCs w:val="20"/>
                <w:color w:val="auto"/>
              </w:rPr>
            </w:pPr>
            <w:r>
              <w:rPr>
                <w:rFonts w:ascii="Arial" w:cs="Arial" w:eastAsia="Arial" w:hAnsi="Arial"/>
                <w:sz w:val="16"/>
                <w:szCs w:val="16"/>
                <w:color w:val="231F20"/>
              </w:rPr>
              <w:t>Employee expenses only relate to Group employees. Subcontractors’ costs are excluded.</w:t>
            </w: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5 Financial Income and Expenses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31F20"/>
        </w:rPr>
        <w:t>Net financial result as of December 31, 2016 amounted to €(71.0) million compared to €(157.6) million as of December 31, 2015 and €(127.3) million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December 31, 2014. It breaks down as follows:</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25"/>
          <w:szCs w:val="25"/>
          <w:b w:val="1"/>
          <w:bCs w:val="1"/>
          <w:color w:val="231F20"/>
        </w:rPr>
        <w:t>Financial Income</w:t>
      </w:r>
    </w:p>
    <w:p>
      <w:pPr>
        <w:spacing w:after="0" w:line="155" w:lineRule="exact"/>
        <w:rPr>
          <w:sz w:val="20"/>
          <w:szCs w:val="20"/>
          <w:color w:val="auto"/>
        </w:rPr>
      </w:pPr>
    </w:p>
    <w:tbl>
      <w:tblPr>
        <w:tblLayout w:type="fixed"/>
        <w:tblInd w:w="330" w:type="dxa"/>
        <w:tblCellMar>
          <w:top w:w="0" w:type="dxa"/>
          <w:left w:w="0" w:type="dxa"/>
          <w:bottom w:w="0" w:type="dxa"/>
          <w:right w:w="0" w:type="dxa"/>
        </w:tblCellMar>
      </w:tblPr>
      <w:tr>
        <w:trPr>
          <w:trHeight w:val="224"/>
        </w:trPr>
        <w:tc>
          <w:tcPr>
            <w:tcW w:w="5560" w:type="dxa"/>
            <w:vAlign w:val="bottom"/>
            <w:tcBorders>
              <w:top w:val="single" w:sz="8" w:color="2360A6"/>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720" w:type="dxa"/>
            <w:vAlign w:val="bottom"/>
            <w:tcBorders>
              <w:top w:val="single" w:sz="8" w:color="2360A6"/>
              <w:bottom w:val="single" w:sz="8" w:color="2360A6"/>
              <w:right w:val="single" w:sz="8" w:color="231F20"/>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2016</w:t>
            </w:r>
          </w:p>
        </w:tc>
        <w:tc>
          <w:tcPr>
            <w:tcW w:w="1700" w:type="dxa"/>
            <w:vAlign w:val="bottom"/>
            <w:tcBorders>
              <w:top w:val="single" w:sz="8" w:color="2360A6"/>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2015</w:t>
            </w:r>
          </w:p>
        </w:tc>
        <w:tc>
          <w:tcPr>
            <w:tcW w:w="1680" w:type="dxa"/>
            <w:vAlign w:val="bottom"/>
            <w:tcBorders>
              <w:top w:val="single" w:sz="8" w:color="2360A6"/>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2014</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 xml:space="preserve">Interest Income from Treasury Management </w:t>
            </w:r>
            <w:r>
              <w:rPr>
                <w:rFonts w:ascii="Arial" w:cs="Arial" w:eastAsia="Arial" w:hAnsi="Arial"/>
                <w:sz w:val="8"/>
                <w:szCs w:val="8"/>
                <w:color w:val="231F20"/>
              </w:rPr>
              <w:t>(1)</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74.9</w:t>
            </w:r>
          </w:p>
        </w:tc>
        <w:tc>
          <w:tcPr>
            <w:tcW w:w="17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41.5</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37.8</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Dividends from Non-Consolidated Investments</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7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0.3</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1.6</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Financial Income related to Long-Term Employee Benefit Plans</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1.6</w:t>
            </w:r>
          </w:p>
        </w:tc>
        <w:tc>
          <w:tcPr>
            <w:tcW w:w="17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3.2</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7.7</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Foreign Currency Translation Gains</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552.0</w:t>
            </w:r>
          </w:p>
        </w:tc>
        <w:tc>
          <w:tcPr>
            <w:tcW w:w="17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552.4</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395.4</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Changes in Derivative Fair Value, Net</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29.6</w:t>
            </w:r>
          </w:p>
        </w:tc>
        <w:tc>
          <w:tcPr>
            <w:tcW w:w="17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43"/>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 xml:space="preserve">Inefficient Part of Derivative Instruments, Net </w:t>
            </w:r>
            <w:r>
              <w:rPr>
                <w:rFonts w:ascii="Arial" w:cs="Arial" w:eastAsia="Arial" w:hAnsi="Arial"/>
                <w:sz w:val="17"/>
                <w:szCs w:val="17"/>
                <w:color w:val="231F20"/>
                <w:vertAlign w:val="superscript"/>
              </w:rPr>
              <w:t>(2)</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7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7.5</w:t>
            </w:r>
          </w:p>
        </w:tc>
      </w:tr>
      <w:tr>
        <w:trPr>
          <w:trHeight w:val="204"/>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Net Proceeds from Disposal of Financial Assets</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2.1</w:t>
            </w:r>
          </w:p>
        </w:tc>
        <w:tc>
          <w:tcPr>
            <w:tcW w:w="17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28.1</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Total Financial Income</w:t>
            </w:r>
          </w:p>
        </w:tc>
        <w:tc>
          <w:tcPr>
            <w:tcW w:w="17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660.2</w:t>
            </w:r>
          </w:p>
        </w:tc>
        <w:tc>
          <w:tcPr>
            <w:tcW w:w="170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625.5</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450.0</w:t>
            </w:r>
          </w:p>
        </w:tc>
      </w:tr>
      <w:tr>
        <w:trPr>
          <w:trHeight w:val="156"/>
        </w:trPr>
        <w:tc>
          <w:tcPr>
            <w:tcW w:w="5560" w:type="dxa"/>
            <w:vAlign w:val="bottom"/>
            <w:tcBorders>
              <w:left w:val="single" w:sz="8" w:color="231F20"/>
            </w:tcBorders>
          </w:tcPr>
          <w:p>
            <w:pPr>
              <w:ind w:left="100"/>
              <w:spacing w:after="0"/>
              <w:rPr>
                <w:sz w:val="20"/>
                <w:szCs w:val="20"/>
                <w:color w:val="auto"/>
              </w:rPr>
            </w:pPr>
            <w:r>
              <w:rPr>
                <w:rFonts w:ascii="Arial" w:cs="Arial" w:eastAsia="Arial" w:hAnsi="Arial"/>
                <w:sz w:val="13"/>
                <w:szCs w:val="13"/>
                <w:color w:val="231F20"/>
              </w:rPr>
              <w:t>(1) Mainly results from interest income from short-term security deposits.</w:t>
            </w:r>
          </w:p>
        </w:tc>
        <w:tc>
          <w:tcPr>
            <w:tcW w:w="17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80" w:type="dxa"/>
            <w:vAlign w:val="bottom"/>
            <w:tcBorders>
              <w:right w:val="single" w:sz="8" w:color="231F20"/>
            </w:tcBorders>
          </w:tcPr>
          <w:p>
            <w:pPr>
              <w:spacing w:after="0"/>
              <w:rPr>
                <w:sz w:val="13"/>
                <w:szCs w:val="13"/>
                <w:color w:val="auto"/>
              </w:rPr>
            </w:pPr>
          </w:p>
        </w:tc>
      </w:tr>
      <w:tr>
        <w:trPr>
          <w:trHeight w:val="162"/>
        </w:trPr>
        <w:tc>
          <w:tcPr>
            <w:tcW w:w="5560" w:type="dxa"/>
            <w:vAlign w:val="bottom"/>
            <w:tcBorders>
              <w:left w:val="single" w:sz="8" w:color="231F20"/>
              <w:bottom w:val="single" w:sz="8" w:color="2360A6"/>
            </w:tcBorders>
          </w:tcPr>
          <w:p>
            <w:pPr>
              <w:ind w:left="100"/>
              <w:spacing w:after="0"/>
              <w:rPr>
                <w:sz w:val="20"/>
                <w:szCs w:val="20"/>
                <w:color w:val="auto"/>
              </w:rPr>
            </w:pPr>
            <w:r>
              <w:rPr>
                <w:rFonts w:ascii="Arial" w:cs="Arial" w:eastAsia="Arial" w:hAnsi="Arial"/>
                <w:sz w:val="13"/>
                <w:szCs w:val="13"/>
                <w:color w:val="231F20"/>
              </w:rPr>
              <w:t>(2) Mainly includes swap points on derivative financial instruments.</w:t>
            </w:r>
          </w:p>
        </w:tc>
        <w:tc>
          <w:tcPr>
            <w:tcW w:w="1720" w:type="dxa"/>
            <w:vAlign w:val="bottom"/>
            <w:tcBorders>
              <w:bottom w:val="single" w:sz="8" w:color="2360A6"/>
            </w:tcBorders>
          </w:tcPr>
          <w:p>
            <w:pPr>
              <w:spacing w:after="0"/>
              <w:rPr>
                <w:sz w:val="14"/>
                <w:szCs w:val="14"/>
                <w:color w:val="auto"/>
              </w:rPr>
            </w:pPr>
          </w:p>
        </w:tc>
        <w:tc>
          <w:tcPr>
            <w:tcW w:w="1700" w:type="dxa"/>
            <w:vAlign w:val="bottom"/>
            <w:tcBorders>
              <w:bottom w:val="single" w:sz="8" w:color="2360A6"/>
            </w:tcBorders>
          </w:tcPr>
          <w:p>
            <w:pPr>
              <w:spacing w:after="0"/>
              <w:rPr>
                <w:sz w:val="14"/>
                <w:szCs w:val="14"/>
                <w:color w:val="auto"/>
              </w:rPr>
            </w:pPr>
          </w:p>
        </w:tc>
        <w:tc>
          <w:tcPr>
            <w:tcW w:w="1680" w:type="dxa"/>
            <w:vAlign w:val="bottom"/>
            <w:tcBorders>
              <w:bottom w:val="single" w:sz="8" w:color="2360A6"/>
              <w:right w:val="single" w:sz="8" w:color="231F20"/>
            </w:tcBorders>
          </w:tcPr>
          <w:p>
            <w:pPr>
              <w:spacing w:after="0"/>
              <w:rPr>
                <w:sz w:val="14"/>
                <w:szCs w:val="14"/>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(B) Financial Expenses</w:t>
      </w:r>
    </w:p>
    <w:p>
      <w:pPr>
        <w:spacing w:after="0" w:line="155" w:lineRule="exact"/>
        <w:rPr>
          <w:sz w:val="20"/>
          <w:szCs w:val="20"/>
          <w:color w:val="auto"/>
        </w:rPr>
      </w:pPr>
    </w:p>
    <w:tbl>
      <w:tblPr>
        <w:tblLayout w:type="fixed"/>
        <w:tblInd w:w="330" w:type="dxa"/>
        <w:tblCellMar>
          <w:top w:w="0" w:type="dxa"/>
          <w:left w:w="0" w:type="dxa"/>
          <w:bottom w:w="0" w:type="dxa"/>
          <w:right w:w="0" w:type="dxa"/>
        </w:tblCellMar>
      </w:tblPr>
      <w:tr>
        <w:trPr>
          <w:trHeight w:val="224"/>
        </w:trPr>
        <w:tc>
          <w:tcPr>
            <w:tcW w:w="5540" w:type="dxa"/>
            <w:vAlign w:val="bottom"/>
            <w:tcBorders>
              <w:top w:val="single" w:sz="8" w:color="2360A6"/>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580" w:type="dxa"/>
            <w:vAlign w:val="bottom"/>
            <w:tcBorders>
              <w:top w:val="single" w:sz="8" w:color="2360A6"/>
              <w:bottom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6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1700" w:type="dxa"/>
            <w:vAlign w:val="bottom"/>
            <w:tcBorders>
              <w:top w:val="single" w:sz="8" w:color="2360A6"/>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2015</w:t>
            </w:r>
          </w:p>
        </w:tc>
        <w:tc>
          <w:tcPr>
            <w:tcW w:w="1680" w:type="dxa"/>
            <w:vAlign w:val="bottom"/>
            <w:tcBorders>
              <w:top w:val="single" w:sz="8" w:color="2360A6"/>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2014</w:t>
            </w:r>
          </w:p>
        </w:tc>
      </w:tr>
      <w:tr>
        <w:trPr>
          <w:trHeight w:val="210"/>
        </w:trPr>
        <w:tc>
          <w:tcPr>
            <w:tcW w:w="554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Interest Expenses on Private Placements</w:t>
            </w:r>
          </w:p>
        </w:tc>
        <w:tc>
          <w:tcPr>
            <w:tcW w:w="15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(34.9)</w:t>
            </w:r>
          </w:p>
        </w:tc>
        <w:tc>
          <w:tcPr>
            <w:tcW w:w="160" w:type="dxa"/>
            <w:vAlign w:val="bottom"/>
            <w:tcBorders>
              <w:bottom w:val="single" w:sz="8" w:color="2360A6"/>
              <w:right w:val="single" w:sz="8" w:color="2360A6"/>
            </w:tcBorders>
            <w:shd w:val="clear" w:color="auto" w:fill="EDEDEE"/>
          </w:tcPr>
          <w:p>
            <w:pPr>
              <w:spacing w:after="0"/>
              <w:rPr>
                <w:sz w:val="18"/>
                <w:szCs w:val="18"/>
                <w:color w:val="auto"/>
              </w:rPr>
            </w:pP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(34.8)</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(34.9)</w:t>
            </w:r>
          </w:p>
        </w:tc>
      </w:tr>
      <w:tr>
        <w:trPr>
          <w:trHeight w:val="210"/>
        </w:trPr>
        <w:tc>
          <w:tcPr>
            <w:tcW w:w="554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Interest Expenses on Convertible Bonds</w:t>
            </w:r>
          </w:p>
        </w:tc>
        <w:tc>
          <w:tcPr>
            <w:tcW w:w="15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(18.0)</w:t>
            </w:r>
          </w:p>
        </w:tc>
        <w:tc>
          <w:tcPr>
            <w:tcW w:w="160" w:type="dxa"/>
            <w:vAlign w:val="bottom"/>
            <w:tcBorders>
              <w:bottom w:val="single" w:sz="8" w:color="2360A6"/>
              <w:right w:val="single" w:sz="8" w:color="2360A6"/>
            </w:tcBorders>
            <w:shd w:val="clear" w:color="auto" w:fill="EDEDEE"/>
          </w:tcPr>
          <w:p>
            <w:pPr>
              <w:spacing w:after="0"/>
              <w:rPr>
                <w:sz w:val="18"/>
                <w:szCs w:val="18"/>
                <w:color w:val="auto"/>
              </w:rPr>
            </w:pP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(34.2)</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(33.2)</w:t>
            </w:r>
          </w:p>
        </w:tc>
      </w:tr>
      <w:tr>
        <w:trPr>
          <w:trHeight w:val="210"/>
        </w:trPr>
        <w:tc>
          <w:tcPr>
            <w:tcW w:w="554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Interest Expenses on Synthetic Bonds</w:t>
            </w:r>
          </w:p>
        </w:tc>
        <w:tc>
          <w:tcPr>
            <w:tcW w:w="15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(12.9)</w:t>
            </w:r>
          </w:p>
        </w:tc>
        <w:tc>
          <w:tcPr>
            <w:tcW w:w="160" w:type="dxa"/>
            <w:vAlign w:val="bottom"/>
            <w:tcBorders>
              <w:bottom w:val="single" w:sz="8" w:color="2360A6"/>
              <w:right w:val="single" w:sz="8" w:color="2360A6"/>
            </w:tcBorders>
            <w:shd w:val="clear" w:color="auto" w:fill="EDEDEE"/>
          </w:tcPr>
          <w:p>
            <w:pPr>
              <w:spacing w:after="0"/>
              <w:rPr>
                <w:sz w:val="18"/>
                <w:szCs w:val="18"/>
                <w:color w:val="auto"/>
              </w:rPr>
            </w:pP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554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Fees Related to Credit Facilities</w:t>
            </w:r>
          </w:p>
        </w:tc>
        <w:tc>
          <w:tcPr>
            <w:tcW w:w="15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(1.9)</w:t>
            </w:r>
          </w:p>
        </w:tc>
        <w:tc>
          <w:tcPr>
            <w:tcW w:w="160" w:type="dxa"/>
            <w:vAlign w:val="bottom"/>
            <w:tcBorders>
              <w:bottom w:val="single" w:sz="8" w:color="2360A6"/>
              <w:right w:val="single" w:sz="8" w:color="2360A6"/>
            </w:tcBorders>
            <w:shd w:val="clear" w:color="auto" w:fill="EDEDEE"/>
          </w:tcPr>
          <w:p>
            <w:pPr>
              <w:spacing w:after="0"/>
              <w:rPr>
                <w:sz w:val="18"/>
                <w:szCs w:val="18"/>
                <w:color w:val="auto"/>
              </w:rPr>
            </w:pP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(1.4)</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(2.5)</w:t>
            </w:r>
          </w:p>
        </w:tc>
      </w:tr>
      <w:tr>
        <w:trPr>
          <w:trHeight w:val="210"/>
        </w:trPr>
        <w:tc>
          <w:tcPr>
            <w:tcW w:w="554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 Expenses related to Long-Term Employee Benefit Plans</w:t>
            </w:r>
          </w:p>
        </w:tc>
        <w:tc>
          <w:tcPr>
            <w:tcW w:w="15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(5.4)</w:t>
            </w:r>
          </w:p>
        </w:tc>
        <w:tc>
          <w:tcPr>
            <w:tcW w:w="160" w:type="dxa"/>
            <w:vAlign w:val="bottom"/>
            <w:tcBorders>
              <w:bottom w:val="single" w:sz="8" w:color="2360A6"/>
              <w:right w:val="single" w:sz="8" w:color="2360A6"/>
            </w:tcBorders>
            <w:shd w:val="clear" w:color="auto" w:fill="EDEDEE"/>
          </w:tcPr>
          <w:p>
            <w:pPr>
              <w:spacing w:after="0"/>
              <w:rPr>
                <w:sz w:val="18"/>
                <w:szCs w:val="18"/>
                <w:color w:val="auto"/>
              </w:rPr>
            </w:pP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(7.4)</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(15.8)</w:t>
            </w:r>
          </w:p>
        </w:tc>
      </w:tr>
      <w:tr>
        <w:trPr>
          <w:trHeight w:val="210"/>
        </w:trPr>
        <w:tc>
          <w:tcPr>
            <w:tcW w:w="554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Interest Expenses on Bank Borrowings and Overdrafts</w:t>
            </w:r>
          </w:p>
        </w:tc>
        <w:tc>
          <w:tcPr>
            <w:tcW w:w="15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(40.5)</w:t>
            </w:r>
          </w:p>
        </w:tc>
        <w:tc>
          <w:tcPr>
            <w:tcW w:w="160" w:type="dxa"/>
            <w:vAlign w:val="bottom"/>
            <w:tcBorders>
              <w:bottom w:val="single" w:sz="8" w:color="2360A6"/>
              <w:right w:val="single" w:sz="8" w:color="2360A6"/>
            </w:tcBorders>
            <w:shd w:val="clear" w:color="auto" w:fill="EDEDEE"/>
          </w:tcPr>
          <w:p>
            <w:pPr>
              <w:spacing w:after="0"/>
              <w:rPr>
                <w:sz w:val="18"/>
                <w:szCs w:val="18"/>
                <w:color w:val="auto"/>
              </w:rPr>
            </w:pP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(47.9)</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(32.1)</w:t>
            </w:r>
          </w:p>
        </w:tc>
      </w:tr>
      <w:tr>
        <w:trPr>
          <w:trHeight w:val="210"/>
        </w:trPr>
        <w:tc>
          <w:tcPr>
            <w:tcW w:w="554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Impairment of Financial Assets</w:t>
            </w:r>
          </w:p>
        </w:tc>
        <w:tc>
          <w:tcPr>
            <w:tcW w:w="15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(2.4)</w:t>
            </w:r>
          </w:p>
        </w:tc>
        <w:tc>
          <w:tcPr>
            <w:tcW w:w="160" w:type="dxa"/>
            <w:vAlign w:val="bottom"/>
            <w:tcBorders>
              <w:bottom w:val="single" w:sz="8" w:color="2360A6"/>
              <w:right w:val="single" w:sz="8" w:color="2360A6"/>
            </w:tcBorders>
            <w:shd w:val="clear" w:color="auto" w:fill="EDEDEE"/>
          </w:tcPr>
          <w:p>
            <w:pPr>
              <w:spacing w:after="0"/>
              <w:rPr>
                <w:sz w:val="18"/>
                <w:szCs w:val="18"/>
                <w:color w:val="auto"/>
              </w:rPr>
            </w:pP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(28.4)</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(68.4)</w:t>
            </w:r>
          </w:p>
        </w:tc>
      </w:tr>
      <w:tr>
        <w:trPr>
          <w:trHeight w:val="210"/>
        </w:trPr>
        <w:tc>
          <w:tcPr>
            <w:tcW w:w="554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Foreign Currency Translation Losses</w:t>
            </w:r>
          </w:p>
        </w:tc>
        <w:tc>
          <w:tcPr>
            <w:tcW w:w="15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(604.4)</w:t>
            </w:r>
          </w:p>
        </w:tc>
        <w:tc>
          <w:tcPr>
            <w:tcW w:w="160" w:type="dxa"/>
            <w:vAlign w:val="bottom"/>
            <w:tcBorders>
              <w:bottom w:val="single" w:sz="8" w:color="2360A6"/>
              <w:right w:val="single" w:sz="8" w:color="2360A6"/>
            </w:tcBorders>
            <w:shd w:val="clear" w:color="auto" w:fill="EDEDEE"/>
          </w:tcPr>
          <w:p>
            <w:pPr>
              <w:spacing w:after="0"/>
              <w:rPr>
                <w:sz w:val="18"/>
                <w:szCs w:val="18"/>
                <w:color w:val="auto"/>
              </w:rPr>
            </w:pP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(597.1)</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(318.7)</w:t>
            </w:r>
          </w:p>
        </w:tc>
      </w:tr>
      <w:tr>
        <w:trPr>
          <w:trHeight w:val="210"/>
        </w:trPr>
        <w:tc>
          <w:tcPr>
            <w:tcW w:w="554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Changes in Derivative Fair Value, Net</w:t>
            </w:r>
          </w:p>
        </w:tc>
        <w:tc>
          <w:tcPr>
            <w:tcW w:w="15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w:t>
            </w:r>
          </w:p>
        </w:tc>
        <w:tc>
          <w:tcPr>
            <w:tcW w:w="160" w:type="dxa"/>
            <w:vAlign w:val="bottom"/>
            <w:tcBorders>
              <w:bottom w:val="single" w:sz="8" w:color="2360A6"/>
              <w:right w:val="single" w:sz="8" w:color="2360A6"/>
            </w:tcBorders>
            <w:shd w:val="clear" w:color="auto" w:fill="EDEDEE"/>
          </w:tcPr>
          <w:p>
            <w:pPr>
              <w:spacing w:after="0"/>
              <w:rPr>
                <w:sz w:val="18"/>
                <w:szCs w:val="18"/>
                <w:color w:val="auto"/>
              </w:rPr>
            </w:pP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(9.2)</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(58.3)</w:t>
            </w:r>
          </w:p>
        </w:tc>
      </w:tr>
      <w:tr>
        <w:trPr>
          <w:trHeight w:val="243"/>
        </w:trPr>
        <w:tc>
          <w:tcPr>
            <w:tcW w:w="554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 xml:space="preserve">Inefficient Part of Derivative Instruments, Net </w:t>
            </w:r>
            <w:r>
              <w:rPr>
                <w:rFonts w:ascii="Arial" w:cs="Arial" w:eastAsia="Arial" w:hAnsi="Arial"/>
                <w:sz w:val="14"/>
                <w:szCs w:val="14"/>
                <w:color w:val="231F20"/>
                <w:vertAlign w:val="superscript"/>
              </w:rPr>
              <w:t>(*)</w:t>
            </w:r>
          </w:p>
        </w:tc>
        <w:tc>
          <w:tcPr>
            <w:tcW w:w="15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(2.6)</w:t>
            </w:r>
          </w:p>
        </w:tc>
        <w:tc>
          <w:tcPr>
            <w:tcW w:w="160" w:type="dxa"/>
            <w:vAlign w:val="bottom"/>
            <w:tcBorders>
              <w:bottom w:val="single" w:sz="8" w:color="2360A6"/>
              <w:right w:val="single" w:sz="8" w:color="2360A6"/>
            </w:tcBorders>
            <w:shd w:val="clear" w:color="auto" w:fill="EDEDEE"/>
          </w:tcPr>
          <w:p>
            <w:pPr>
              <w:spacing w:after="0"/>
              <w:rPr>
                <w:sz w:val="21"/>
                <w:szCs w:val="21"/>
                <w:color w:val="auto"/>
              </w:rPr>
            </w:pP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(7.1)</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04"/>
        </w:trPr>
        <w:tc>
          <w:tcPr>
            <w:tcW w:w="554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w:t>
            </w:r>
          </w:p>
        </w:tc>
        <w:tc>
          <w:tcPr>
            <w:tcW w:w="15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(8.2)</w:t>
            </w:r>
          </w:p>
        </w:tc>
        <w:tc>
          <w:tcPr>
            <w:tcW w:w="160" w:type="dxa"/>
            <w:vAlign w:val="bottom"/>
            <w:tcBorders>
              <w:bottom w:val="single" w:sz="8" w:color="2360A6"/>
              <w:right w:val="single" w:sz="8" w:color="2360A6"/>
            </w:tcBorders>
            <w:shd w:val="clear" w:color="auto" w:fill="EDEDEE"/>
          </w:tcPr>
          <w:p>
            <w:pPr>
              <w:spacing w:after="0"/>
              <w:rPr>
                <w:sz w:val="17"/>
                <w:szCs w:val="17"/>
                <w:color w:val="auto"/>
              </w:rPr>
            </w:pP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(15.6)</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(13.4)</w:t>
            </w:r>
          </w:p>
        </w:tc>
      </w:tr>
      <w:tr>
        <w:trPr>
          <w:trHeight w:val="210"/>
        </w:trPr>
        <w:tc>
          <w:tcPr>
            <w:tcW w:w="5540" w:type="dxa"/>
            <w:vAlign w:val="bottom"/>
            <w:tcBorders>
              <w:left w:val="single" w:sz="8" w:color="231F20"/>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Total Financial Expenses</w:t>
            </w:r>
          </w:p>
        </w:tc>
        <w:tc>
          <w:tcPr>
            <w:tcW w:w="15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(731.2)</w:t>
            </w:r>
          </w:p>
        </w:tc>
        <w:tc>
          <w:tcPr>
            <w:tcW w:w="160" w:type="dxa"/>
            <w:vAlign w:val="bottom"/>
            <w:tcBorders>
              <w:bottom w:val="single" w:sz="8" w:color="2360A6"/>
              <w:right w:val="single" w:sz="8" w:color="2360A6"/>
            </w:tcBorders>
            <w:shd w:val="clear" w:color="auto" w:fill="EDEDEE"/>
          </w:tcPr>
          <w:p>
            <w:pPr>
              <w:spacing w:after="0"/>
              <w:rPr>
                <w:sz w:val="18"/>
                <w:szCs w:val="18"/>
                <w:color w:val="auto"/>
              </w:rPr>
            </w:pP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(783.1)</w:t>
            </w:r>
          </w:p>
        </w:tc>
        <w:tc>
          <w:tcPr>
            <w:tcW w:w="16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(577.3)</w:t>
            </w:r>
          </w:p>
        </w:tc>
      </w:tr>
      <w:tr>
        <w:trPr>
          <w:trHeight w:val="237"/>
        </w:trPr>
        <w:tc>
          <w:tcPr>
            <w:tcW w:w="5540" w:type="dxa"/>
            <w:vAlign w:val="bottom"/>
            <w:tcBorders>
              <w:left w:val="single" w:sz="8" w:color="231F20"/>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FINANCIAL RESULT</w:t>
            </w:r>
          </w:p>
        </w:tc>
        <w:tc>
          <w:tcPr>
            <w:tcW w:w="158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(71.0</w:t>
            </w:r>
          </w:p>
        </w:tc>
        <w:tc>
          <w:tcPr>
            <w:tcW w:w="1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w:t>
            </w:r>
          </w:p>
        </w:tc>
        <w:tc>
          <w:tcPr>
            <w:tcW w:w="170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(157.6)</w:t>
            </w:r>
          </w:p>
        </w:tc>
        <w:tc>
          <w:tcPr>
            <w:tcW w:w="168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(127.3)</w:t>
            </w:r>
          </w:p>
        </w:tc>
      </w:tr>
      <w:tr>
        <w:trPr>
          <w:trHeight w:val="182"/>
        </w:trPr>
        <w:tc>
          <w:tcPr>
            <w:tcW w:w="5540" w:type="dxa"/>
            <w:vAlign w:val="bottom"/>
            <w:tcBorders>
              <w:left w:val="single" w:sz="8" w:color="231F20"/>
              <w:bottom w:val="single" w:sz="8" w:color="2360A6"/>
            </w:tcBorders>
          </w:tcPr>
          <w:p>
            <w:pPr>
              <w:ind w:left="40"/>
              <w:spacing w:after="0"/>
              <w:rPr>
                <w:sz w:val="20"/>
                <w:szCs w:val="20"/>
                <w:color w:val="auto"/>
              </w:rPr>
            </w:pPr>
            <w:r>
              <w:rPr>
                <w:rFonts w:ascii="Arial" w:cs="Arial" w:eastAsia="Arial" w:hAnsi="Arial"/>
                <w:sz w:val="13"/>
                <w:szCs w:val="13"/>
                <w:color w:val="231F20"/>
              </w:rPr>
              <w:t>(*) Mainly includes swap points on derivative financial instruments.</w:t>
            </w:r>
          </w:p>
        </w:tc>
        <w:tc>
          <w:tcPr>
            <w:tcW w:w="1580" w:type="dxa"/>
            <w:vAlign w:val="bottom"/>
            <w:tcBorders>
              <w:bottom w:val="single" w:sz="8" w:color="2360A6"/>
            </w:tcBorders>
          </w:tcPr>
          <w:p>
            <w:pPr>
              <w:spacing w:after="0"/>
              <w:rPr>
                <w:sz w:val="15"/>
                <w:szCs w:val="15"/>
                <w:color w:val="auto"/>
              </w:rPr>
            </w:pPr>
          </w:p>
        </w:tc>
        <w:tc>
          <w:tcPr>
            <w:tcW w:w="160" w:type="dxa"/>
            <w:vAlign w:val="bottom"/>
            <w:tcBorders>
              <w:bottom w:val="single" w:sz="8" w:color="2360A6"/>
            </w:tcBorders>
          </w:tcPr>
          <w:p>
            <w:pPr>
              <w:spacing w:after="0"/>
              <w:rPr>
                <w:sz w:val="15"/>
                <w:szCs w:val="15"/>
                <w:color w:val="auto"/>
              </w:rPr>
            </w:pPr>
          </w:p>
        </w:tc>
        <w:tc>
          <w:tcPr>
            <w:tcW w:w="1700" w:type="dxa"/>
            <w:vAlign w:val="bottom"/>
            <w:tcBorders>
              <w:bottom w:val="single" w:sz="8" w:color="2360A6"/>
            </w:tcBorders>
          </w:tcPr>
          <w:p>
            <w:pPr>
              <w:spacing w:after="0"/>
              <w:rPr>
                <w:sz w:val="15"/>
                <w:szCs w:val="15"/>
                <w:color w:val="auto"/>
              </w:rPr>
            </w:pPr>
          </w:p>
        </w:tc>
        <w:tc>
          <w:tcPr>
            <w:tcW w:w="1680" w:type="dxa"/>
            <w:vAlign w:val="bottom"/>
            <w:tcBorders>
              <w:bottom w:val="single" w:sz="8" w:color="2360A6"/>
              <w:right w:val="single" w:sz="8" w:color="231F20"/>
            </w:tcBorders>
          </w:tcPr>
          <w:p>
            <w:pPr>
              <w:spacing w:after="0"/>
              <w:rPr>
                <w:sz w:val="15"/>
                <w:szCs w:val="15"/>
                <w:color w:val="auto"/>
              </w:rPr>
            </w:pPr>
          </w:p>
        </w:tc>
      </w:tr>
    </w:tbl>
    <w:p>
      <w:pPr>
        <w:sectPr>
          <w:pgSz w:w="11900" w:h="16838" w:orient="portrait"/>
          <w:cols w:equalWidth="0" w:num="1">
            <w:col w:w="11040"/>
          </w:cols>
          <w:pgMar w:left="320" w:top="676" w:right="539" w:bottom="1440" w:gutter="0" w:footer="0" w:header="0"/>
        </w:sectPr>
      </w:pPr>
    </w:p>
    <w:bookmarkStart w:id="113" w:name="page114"/>
    <w:bookmarkEnd w:id="113"/>
    <w:p>
      <w:pPr>
        <w:spacing w:after="0"/>
        <w:rPr>
          <w:sz w:val="20"/>
          <w:szCs w:val="20"/>
          <w:color w:val="auto"/>
        </w:rPr>
      </w:pPr>
      <w:r>
        <w:rPr>
          <w:rFonts w:ascii="Arial" w:cs="Arial" w:eastAsia="Arial" w:hAnsi="Arial"/>
          <w:sz w:val="29"/>
          <w:szCs w:val="29"/>
          <w:b w:val="1"/>
          <w:bCs w:val="1"/>
          <w:color w:val="2360A6"/>
        </w:rPr>
        <w:t>Note 6 Income Tax</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231F20"/>
        </w:rPr>
        <w:t>(A) Income Tax Expense</w:t>
      </w:r>
    </w:p>
    <w:p>
      <w:pPr>
        <w:spacing w:after="0" w:line="15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231F20"/>
        </w:rPr>
        <w:t>The income tax expense booked in the statement of income for an amount of €(130.7) million in 2016, €(117.0) million in 2015 and €(156.9) million in 2014 is explained as follows:</w:t>
      </w:r>
    </w:p>
    <w:p>
      <w:pPr>
        <w:spacing w:after="0" w:line="93" w:lineRule="exact"/>
        <w:rPr>
          <w:sz w:val="20"/>
          <w:szCs w:val="20"/>
          <w:color w:val="auto"/>
        </w:rPr>
      </w:pPr>
    </w:p>
    <w:tbl>
      <w:tblPr>
        <w:tblLayout w:type="fixed"/>
        <w:tblInd w:w="330" w:type="dxa"/>
        <w:tblCellMar>
          <w:top w:w="0" w:type="dxa"/>
          <w:left w:w="0" w:type="dxa"/>
          <w:bottom w:w="0" w:type="dxa"/>
          <w:right w:w="0" w:type="dxa"/>
        </w:tblCellMar>
      </w:tblPr>
      <w:tr>
        <w:trPr>
          <w:trHeight w:val="224"/>
        </w:trPr>
        <w:tc>
          <w:tcPr>
            <w:tcW w:w="5560" w:type="dxa"/>
            <w:vAlign w:val="bottom"/>
            <w:tcBorders>
              <w:top w:val="single" w:sz="8" w:color="2360A6"/>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720" w:type="dxa"/>
            <w:vAlign w:val="bottom"/>
            <w:tcBorders>
              <w:top w:val="single" w:sz="8" w:color="2360A6"/>
              <w:bottom w:val="single" w:sz="8" w:color="2360A6"/>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580" w:type="dxa"/>
            <w:vAlign w:val="bottom"/>
            <w:tcBorders>
              <w:top w:val="single" w:sz="8" w:color="2360A6"/>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2015</w:t>
            </w:r>
          </w:p>
        </w:tc>
        <w:tc>
          <w:tcPr>
            <w:tcW w:w="1800" w:type="dxa"/>
            <w:vAlign w:val="bottom"/>
            <w:tcBorders>
              <w:top w:val="single" w:sz="8" w:color="2360A6"/>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Current Income Tax Credit/(Expense)</w:t>
            </w:r>
          </w:p>
        </w:tc>
        <w:tc>
          <w:tcPr>
            <w:tcW w:w="172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(318.7)</w:t>
            </w:r>
          </w:p>
        </w:tc>
        <w:tc>
          <w:tcPr>
            <w:tcW w:w="15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(180.8)</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(155.1)</w:t>
            </w:r>
          </w:p>
        </w:tc>
      </w:tr>
      <w:tr>
        <w:trPr>
          <w:trHeight w:val="210"/>
        </w:trPr>
        <w:tc>
          <w:tcPr>
            <w:tcW w:w="5560" w:type="dxa"/>
            <w:vAlign w:val="bottom"/>
            <w:tcBorders>
              <w:left w:val="single" w:sz="8" w:color="231F20"/>
              <w:bottom w:val="single" w:sz="8" w:color="auto"/>
              <w:right w:val="single" w:sz="8" w:color="231F20"/>
            </w:tcBorders>
          </w:tcPr>
          <w:p>
            <w:pPr>
              <w:ind w:left="40"/>
              <w:spacing w:after="0"/>
              <w:rPr>
                <w:sz w:val="20"/>
                <w:szCs w:val="20"/>
                <w:color w:val="auto"/>
              </w:rPr>
            </w:pPr>
            <w:r>
              <w:rPr>
                <w:rFonts w:ascii="Arial" w:cs="Arial" w:eastAsia="Arial" w:hAnsi="Arial"/>
                <w:sz w:val="14"/>
                <w:szCs w:val="14"/>
                <w:color w:val="231F20"/>
              </w:rPr>
              <w:t>Deferred Income Tax Credit/(Expense)</w:t>
            </w:r>
          </w:p>
        </w:tc>
        <w:tc>
          <w:tcPr>
            <w:tcW w:w="1720" w:type="dxa"/>
            <w:vAlign w:val="bottom"/>
            <w:tcBorders>
              <w:bottom w:val="single" w:sz="8" w:color="auto"/>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188.0</w:t>
            </w:r>
          </w:p>
        </w:tc>
        <w:tc>
          <w:tcPr>
            <w:tcW w:w="1580" w:type="dxa"/>
            <w:vAlign w:val="bottom"/>
            <w:tcBorders>
              <w:bottom w:val="single" w:sz="8" w:color="auto"/>
              <w:right w:val="single" w:sz="8" w:color="231F20"/>
            </w:tcBorders>
          </w:tcPr>
          <w:p>
            <w:pPr>
              <w:jc w:val="right"/>
              <w:spacing w:after="0"/>
              <w:rPr>
                <w:sz w:val="20"/>
                <w:szCs w:val="20"/>
                <w:color w:val="auto"/>
              </w:rPr>
            </w:pPr>
            <w:r>
              <w:rPr>
                <w:rFonts w:ascii="Arial" w:cs="Arial" w:eastAsia="Arial" w:hAnsi="Arial"/>
                <w:sz w:val="14"/>
                <w:szCs w:val="14"/>
                <w:color w:val="231F20"/>
              </w:rPr>
              <w:t>63.8</w:t>
            </w:r>
          </w:p>
        </w:tc>
        <w:tc>
          <w:tcPr>
            <w:tcW w:w="1800" w:type="dxa"/>
            <w:vAlign w:val="bottom"/>
            <w:tcBorders>
              <w:bottom w:val="single" w:sz="8" w:color="auto"/>
              <w:right w:val="single" w:sz="8" w:color="231F20"/>
            </w:tcBorders>
          </w:tcPr>
          <w:p>
            <w:pPr>
              <w:jc w:val="right"/>
              <w:spacing w:after="0"/>
              <w:rPr>
                <w:sz w:val="20"/>
                <w:szCs w:val="20"/>
                <w:color w:val="auto"/>
              </w:rPr>
            </w:pPr>
            <w:r>
              <w:rPr>
                <w:rFonts w:ascii="Arial" w:cs="Arial" w:eastAsia="Arial" w:hAnsi="Arial"/>
                <w:sz w:val="14"/>
                <w:szCs w:val="14"/>
                <w:color w:val="231F20"/>
              </w:rPr>
              <w:t>(1.8)</w:t>
            </w:r>
          </w:p>
        </w:tc>
      </w:tr>
      <w:tr>
        <w:trPr>
          <w:trHeight w:val="210"/>
        </w:trPr>
        <w:tc>
          <w:tcPr>
            <w:tcW w:w="556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INCOME TAX CREDIT/(EXPENSE) AS RECOGNIZED IN STATEMENT OF INCOME</w:t>
            </w:r>
          </w:p>
        </w:tc>
        <w:tc>
          <w:tcPr>
            <w:tcW w:w="172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(130.7)</w:t>
            </w:r>
          </w:p>
        </w:tc>
        <w:tc>
          <w:tcPr>
            <w:tcW w:w="158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(117.0)</w:t>
            </w:r>
          </w:p>
        </w:tc>
        <w:tc>
          <w:tcPr>
            <w:tcW w:w="18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(156.9)</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Deferred Income Tax related to Items Booked Directly to Opening Equity</w:t>
            </w:r>
          </w:p>
        </w:tc>
        <w:tc>
          <w:tcPr>
            <w:tcW w:w="172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73.8</w:t>
            </w:r>
          </w:p>
        </w:tc>
        <w:tc>
          <w:tcPr>
            <w:tcW w:w="15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60.3</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(50.2)</w:t>
            </w:r>
          </w:p>
        </w:tc>
      </w:tr>
      <w:tr>
        <w:trPr>
          <w:trHeight w:val="210"/>
        </w:trPr>
        <w:tc>
          <w:tcPr>
            <w:tcW w:w="55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Deferred Income Tax related to Items Booked to Equity during the Year</w:t>
            </w:r>
          </w:p>
        </w:tc>
        <w:tc>
          <w:tcPr>
            <w:tcW w:w="172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(52.0)</w:t>
            </w:r>
          </w:p>
        </w:tc>
        <w:tc>
          <w:tcPr>
            <w:tcW w:w="158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13.5</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110.5</w:t>
            </w:r>
          </w:p>
        </w:tc>
      </w:tr>
      <w:tr>
        <w:trPr>
          <w:trHeight w:val="210"/>
        </w:trPr>
        <w:tc>
          <w:tcPr>
            <w:tcW w:w="556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INCOME TAX CREDIT/(EXPENSE) AS REPORTED IN EQUITY</w:t>
            </w:r>
          </w:p>
        </w:tc>
        <w:tc>
          <w:tcPr>
            <w:tcW w:w="172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21.8</w:t>
            </w:r>
          </w:p>
        </w:tc>
        <w:tc>
          <w:tcPr>
            <w:tcW w:w="158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73.8</w:t>
            </w:r>
          </w:p>
        </w:tc>
        <w:tc>
          <w:tcPr>
            <w:tcW w:w="18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60.3</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(B) Income Tax Reconciliation</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reconciliation between the tax calculated using the standard tax rate applicable to Technip and the amount of tax effectively recognized in the accounts is detailed as follows:</w:t>
      </w:r>
    </w:p>
    <w:p>
      <w:pPr>
        <w:spacing w:after="0" w:line="93" w:lineRule="exact"/>
        <w:rPr>
          <w:sz w:val="20"/>
          <w:szCs w:val="20"/>
          <w:color w:val="auto"/>
        </w:rPr>
      </w:pPr>
    </w:p>
    <w:tbl>
      <w:tblPr>
        <w:tblLayout w:type="fixed"/>
        <w:tblInd w:w="330" w:type="dxa"/>
        <w:tblCellMar>
          <w:top w:w="0" w:type="dxa"/>
          <w:left w:w="0" w:type="dxa"/>
          <w:bottom w:w="0" w:type="dxa"/>
          <w:right w:w="0" w:type="dxa"/>
        </w:tblCellMar>
      </w:tblPr>
      <w:tr>
        <w:trPr>
          <w:trHeight w:val="224"/>
        </w:trPr>
        <w:tc>
          <w:tcPr>
            <w:tcW w:w="5560" w:type="dxa"/>
            <w:vAlign w:val="bottom"/>
            <w:tcBorders>
              <w:top w:val="single" w:sz="8" w:color="2360A6"/>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720" w:type="dxa"/>
            <w:vAlign w:val="bottom"/>
            <w:tcBorders>
              <w:top w:val="single" w:sz="8" w:color="2360A6"/>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58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2015</w:t>
            </w:r>
          </w:p>
        </w:tc>
        <w:tc>
          <w:tcPr>
            <w:tcW w:w="180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Net Income from Continuing Operations</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250.1</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56.2</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442.4</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Income Tax Credit/(Expense) on Continuing Operations</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(130.7)</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(117.0)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(156.9)</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Income Before Tax</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380.8</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173.2</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599.3</w:t>
            </w:r>
          </w:p>
        </w:tc>
      </w:tr>
      <w:tr>
        <w:trPr>
          <w:trHeight w:val="193"/>
        </w:trPr>
        <w:tc>
          <w:tcPr>
            <w:tcW w:w="55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At Parent Company Statutory Income Tax Rate of 34.43% in 2016, 38% in 2015 and</w:t>
            </w:r>
          </w:p>
        </w:tc>
        <w:tc>
          <w:tcPr>
            <w:tcW w:w="1720" w:type="dxa"/>
            <w:vAlign w:val="bottom"/>
            <w:tcBorders>
              <w:right w:val="single" w:sz="8" w:color="2360A6"/>
            </w:tcBorders>
            <w:shd w:val="clear" w:color="auto" w:fill="EDEDEE"/>
          </w:tcPr>
          <w:p>
            <w:pPr>
              <w:spacing w:after="0"/>
              <w:rPr>
                <w:sz w:val="16"/>
                <w:szCs w:val="16"/>
                <w:color w:val="auto"/>
              </w:rPr>
            </w:pPr>
          </w:p>
        </w:tc>
        <w:tc>
          <w:tcPr>
            <w:tcW w:w="1580" w:type="dxa"/>
            <w:vAlign w:val="bottom"/>
            <w:tcBorders>
              <w:right w:val="single" w:sz="8" w:color="2360A6"/>
            </w:tcBorders>
          </w:tcPr>
          <w:p>
            <w:pPr>
              <w:spacing w:after="0"/>
              <w:rPr>
                <w:sz w:val="16"/>
                <w:szCs w:val="16"/>
                <w:color w:val="auto"/>
              </w:rPr>
            </w:pPr>
          </w:p>
        </w:tc>
        <w:tc>
          <w:tcPr>
            <w:tcW w:w="1800" w:type="dxa"/>
            <w:vAlign w:val="bottom"/>
            <w:tcBorders>
              <w:right w:val="single" w:sz="8" w:color="2360A6"/>
            </w:tcBorders>
          </w:tcPr>
          <w:p>
            <w:pPr>
              <w:spacing w:after="0"/>
              <w:rPr>
                <w:sz w:val="16"/>
                <w:szCs w:val="16"/>
                <w:color w:val="auto"/>
              </w:rPr>
            </w:pPr>
          </w:p>
        </w:tc>
      </w:tr>
      <w:tr>
        <w:trPr>
          <w:trHeight w:val="178"/>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2014</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(131.1)</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(65.8)</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(227.7)</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Differences between Parent Company and Foreign Income Tax Rates</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36.9</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15.1</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45.8</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 of Income/(Loss) of Equity Affiliates</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32.5</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16.9</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15.3</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Additional Local Income Tax and Foreign Tax</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(29.0)</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(30.4)</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(25.8)</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Gains/(Losses) Taxable at a Particular Rate</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20.8</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29.0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18.3</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Non-Deductible Expenses</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38.8</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(38.9)</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(26.2)</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Deferred Tax Assets not Recognized on Tax Loss of the Year</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(63.9)</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(42.4)</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(32.4)</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Adjustments on Prior Year Current Taxes</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(11.9)</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15.0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3.1</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Deferred Tax relating to Changes in Tax Rates</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3.8</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(2.4)</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(0.6)</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Movements of Deferred Taxes on Prior Years Losses</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(1.3)</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(7.6)</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71.1</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Consolidation Adjustments with no Tax Impact</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(15.6)</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(10.1)</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5.4</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(10.7)</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4.6</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(3.2)</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Effective Income Tax Credit/(Expense)</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(130.7)</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(117.0)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(156.9)</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Tax Rate</w:t>
            </w:r>
          </w:p>
        </w:tc>
        <w:tc>
          <w:tcPr>
            <w:tcW w:w="17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i w:val="1"/>
                <w:iCs w:val="1"/>
                <w:color w:val="231F20"/>
              </w:rPr>
              <w:t>34.3%</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i w:val="1"/>
                <w:iCs w:val="1"/>
                <w:color w:val="231F20"/>
              </w:rPr>
              <w:t>67.6%</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i w:val="1"/>
                <w:iCs w:val="1"/>
                <w:color w:val="231F20"/>
              </w:rPr>
              <w:t>26.2%</w:t>
            </w:r>
          </w:p>
        </w:tc>
      </w:tr>
      <w:tr>
        <w:trPr>
          <w:trHeight w:val="175"/>
        </w:trPr>
        <w:tc>
          <w:tcPr>
            <w:tcW w:w="5560" w:type="dxa"/>
            <w:vAlign w:val="bottom"/>
            <w:tcBorders>
              <w:left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INCOME TAX CREDIT/(EXPENSE) AS REPORTED IN THE CONSOLIDATED</w:t>
            </w:r>
          </w:p>
        </w:tc>
        <w:tc>
          <w:tcPr>
            <w:tcW w:w="1720" w:type="dxa"/>
            <w:vAlign w:val="bottom"/>
            <w:tcBorders>
              <w:right w:val="single" w:sz="8" w:color="2360A6"/>
            </w:tcBorders>
            <w:shd w:val="clear" w:color="auto" w:fill="D2DEEC"/>
          </w:tcPr>
          <w:p>
            <w:pPr>
              <w:spacing w:after="0"/>
              <w:rPr>
                <w:sz w:val="15"/>
                <w:szCs w:val="15"/>
                <w:color w:val="auto"/>
              </w:rPr>
            </w:pPr>
          </w:p>
        </w:tc>
        <w:tc>
          <w:tcPr>
            <w:tcW w:w="1580" w:type="dxa"/>
            <w:vAlign w:val="bottom"/>
            <w:tcBorders>
              <w:right w:val="single" w:sz="8" w:color="2360A6"/>
            </w:tcBorders>
            <w:shd w:val="clear" w:color="auto" w:fill="D2DEEC"/>
          </w:tcPr>
          <w:p>
            <w:pPr>
              <w:spacing w:after="0"/>
              <w:rPr>
                <w:sz w:val="15"/>
                <w:szCs w:val="15"/>
                <w:color w:val="auto"/>
              </w:rPr>
            </w:pPr>
          </w:p>
        </w:tc>
        <w:tc>
          <w:tcPr>
            <w:tcW w:w="1800" w:type="dxa"/>
            <w:vAlign w:val="bottom"/>
            <w:tcBorders>
              <w:right w:val="single" w:sz="8" w:color="2360A6"/>
            </w:tcBorders>
            <w:shd w:val="clear" w:color="auto" w:fill="D2DEEC"/>
          </w:tcPr>
          <w:p>
            <w:pPr>
              <w:spacing w:after="0"/>
              <w:rPr>
                <w:sz w:val="15"/>
                <w:szCs w:val="15"/>
                <w:color w:val="auto"/>
              </w:rPr>
            </w:pPr>
          </w:p>
        </w:tc>
      </w:tr>
      <w:tr>
        <w:trPr>
          <w:trHeight w:val="196"/>
        </w:trPr>
        <w:tc>
          <w:tcPr>
            <w:tcW w:w="556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STATEMENT OF INCOME</w:t>
            </w:r>
          </w:p>
        </w:tc>
        <w:tc>
          <w:tcPr>
            <w:tcW w:w="17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(130.7)</w:t>
            </w:r>
          </w:p>
        </w:tc>
        <w:tc>
          <w:tcPr>
            <w:tcW w:w="158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(117.0)</w:t>
            </w:r>
          </w:p>
        </w:tc>
        <w:tc>
          <w:tcPr>
            <w:tcW w:w="18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(156.9)</w:t>
            </w: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The tax rate used for the purpose of the tax proof was 34.43% in 2016 and 38% in 2015 and 2014.</w:t>
      </w:r>
    </w:p>
    <w:p>
      <w:pPr>
        <w:spacing w:after="0" w:line="221" w:lineRule="exact"/>
        <w:rPr>
          <w:sz w:val="20"/>
          <w:szCs w:val="20"/>
          <w:color w:val="auto"/>
        </w:rPr>
      </w:pPr>
    </w:p>
    <w:p>
      <w:pPr>
        <w:ind w:left="40" w:right="20"/>
        <w:spacing w:after="0" w:line="260" w:lineRule="auto"/>
        <w:rPr>
          <w:sz w:val="20"/>
          <w:szCs w:val="20"/>
          <w:color w:val="auto"/>
        </w:rPr>
      </w:pPr>
      <w:r>
        <w:rPr>
          <w:rFonts w:ascii="Arial" w:cs="Arial" w:eastAsia="Arial" w:hAnsi="Arial"/>
          <w:sz w:val="16"/>
          <w:szCs w:val="16"/>
          <w:color w:val="231F20"/>
        </w:rPr>
        <w:t>In 2016, this rate corresponded to the global tax rate applicable to French entities, which splits as follows: 33.33% standard rate of income tax + 3.3% social contribution.</w:t>
      </w:r>
    </w:p>
    <w:p>
      <w:pPr>
        <w:spacing w:after="0" w:line="196"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231F20"/>
        </w:rPr>
        <w:t>In 2015 and 2014, this rate corresponded to the global tax rate applicable to French entities, which splits as follows: 33.33% standard rate of income tax + 3.3% social contribution + 10.7% extraordinary contribution.</w:t>
      </w:r>
    </w:p>
    <w:p>
      <w:pPr>
        <w:sectPr>
          <w:pgSz w:w="11900" w:h="16838" w:orient="portrait"/>
          <w:cols w:equalWidth="0" w:num="1">
            <w:col w:w="11340"/>
          </w:cols>
          <w:pgMar w:left="320" w:top="694" w:right="239" w:bottom="1440" w:gutter="0" w:footer="0" w:header="0"/>
        </w:sectPr>
      </w:pPr>
    </w:p>
    <w:bookmarkStart w:id="114" w:name="page115"/>
    <w:bookmarkEnd w:id="114"/>
    <w:p>
      <w:pPr>
        <w:spacing w:after="0"/>
        <w:rPr>
          <w:sz w:val="20"/>
          <w:szCs w:val="20"/>
          <w:color w:val="auto"/>
        </w:rPr>
      </w:pPr>
      <w:r>
        <w:rPr>
          <w:rFonts w:ascii="Arial" w:cs="Arial" w:eastAsia="Arial" w:hAnsi="Arial"/>
          <w:sz w:val="25"/>
          <w:szCs w:val="25"/>
          <w:b w:val="1"/>
          <w:bCs w:val="1"/>
          <w:color w:val="231F20"/>
        </w:rPr>
        <w:t>(C) Deferred Income Tax</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The principles described in Note 1-C (v) - Deferred income tax are explained as follows:</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5220" w:type="dxa"/>
            <w:vAlign w:val="bottom"/>
            <w:tcBorders>
              <w:top w:val="single" w:sz="8" w:color="2360A6"/>
              <w:left w:val="single" w:sz="8" w:color="231F20"/>
              <w:right w:val="single" w:sz="8" w:color="231F20"/>
            </w:tcBorders>
          </w:tcPr>
          <w:p>
            <w:pPr>
              <w:spacing w:after="0"/>
              <w:rPr>
                <w:sz w:val="16"/>
                <w:szCs w:val="16"/>
                <w:color w:val="auto"/>
              </w:rPr>
            </w:pPr>
          </w:p>
        </w:tc>
        <w:tc>
          <w:tcPr>
            <w:tcW w:w="1800" w:type="dxa"/>
            <w:vAlign w:val="bottom"/>
            <w:tcBorders>
              <w:top w:val="single" w:sz="8" w:color="2360A6"/>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w:t>
            </w:r>
          </w:p>
        </w:tc>
        <w:tc>
          <w:tcPr>
            <w:tcW w:w="1800" w:type="dxa"/>
            <w:vAlign w:val="bottom"/>
            <w:tcBorders>
              <w:top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BA"/>
              </w:rPr>
              <w:t>As of</w:t>
            </w:r>
          </w:p>
        </w:tc>
        <w:tc>
          <w:tcPr>
            <w:tcW w:w="1800" w:type="dxa"/>
            <w:vAlign w:val="bottom"/>
            <w:tcBorders>
              <w:top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As of</w:t>
            </w:r>
          </w:p>
        </w:tc>
      </w:tr>
      <w:tr>
        <w:trPr>
          <w:trHeight w:val="162"/>
        </w:trPr>
        <w:tc>
          <w:tcPr>
            <w:tcW w:w="5220" w:type="dxa"/>
            <w:vAlign w:val="bottom"/>
            <w:tcBorders>
              <w:left w:val="single" w:sz="8" w:color="231F20"/>
              <w:right w:val="single" w:sz="8" w:color="231F20"/>
            </w:tcBorders>
          </w:tcPr>
          <w:p>
            <w:pPr>
              <w:spacing w:after="0"/>
              <w:rPr>
                <w:sz w:val="14"/>
                <w:szCs w:val="14"/>
                <w:color w:val="auto"/>
              </w:rPr>
            </w:pPr>
          </w:p>
        </w:tc>
        <w:tc>
          <w:tcPr>
            <w:tcW w:w="1800" w:type="dxa"/>
            <w:vAlign w:val="bottom"/>
            <w:tcBorders>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December 31,</w:t>
            </w:r>
          </w:p>
        </w:tc>
        <w:tc>
          <w:tcPr>
            <w:tcW w:w="1800" w:type="dxa"/>
            <w:vAlign w:val="bottom"/>
            <w:tcBorders>
              <w:right w:val="single" w:sz="8" w:color="231F20"/>
            </w:tcBorders>
          </w:tcPr>
          <w:p>
            <w:pPr>
              <w:jc w:val="right"/>
              <w:spacing w:after="0"/>
              <w:rPr>
                <w:sz w:val="20"/>
                <w:szCs w:val="20"/>
                <w:color w:val="auto"/>
              </w:rPr>
            </w:pPr>
            <w:r>
              <w:rPr>
                <w:rFonts w:ascii="Arial" w:cs="Arial" w:eastAsia="Arial" w:hAnsi="Arial"/>
                <w:sz w:val="14"/>
                <w:szCs w:val="14"/>
                <w:b w:val="1"/>
                <w:bCs w:val="1"/>
                <w:color w:val="2360BA"/>
              </w:rPr>
              <w:t>December 31,</w:t>
            </w:r>
          </w:p>
        </w:tc>
        <w:tc>
          <w:tcPr>
            <w:tcW w:w="1800" w:type="dxa"/>
            <w:vAlign w:val="bottom"/>
            <w:tcBorders>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52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800" w:type="dxa"/>
            <w:vAlign w:val="bottom"/>
            <w:tcBorders>
              <w:bottom w:val="single" w:sz="8" w:color="2360A6"/>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BA"/>
              </w:rPr>
              <w:t>2015</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52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Tax Losses Carried Forward</w:t>
            </w:r>
          </w:p>
        </w:tc>
        <w:tc>
          <w:tcPr>
            <w:tcW w:w="18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50.5</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65.3</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79.5</w:t>
            </w:r>
          </w:p>
        </w:tc>
      </w:tr>
      <w:tr>
        <w:trPr>
          <w:trHeight w:val="210"/>
        </w:trPr>
        <w:tc>
          <w:tcPr>
            <w:tcW w:w="52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Margin Recognition on Construction Contracts</w:t>
            </w:r>
          </w:p>
        </w:tc>
        <w:tc>
          <w:tcPr>
            <w:tcW w:w="18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88.5</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77.2</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13.7</w:t>
            </w:r>
          </w:p>
        </w:tc>
      </w:tr>
      <w:tr>
        <w:trPr>
          <w:trHeight w:val="210"/>
        </w:trPr>
        <w:tc>
          <w:tcPr>
            <w:tcW w:w="52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Provisions for Pensions and other Long-Term Employee Benefits</w:t>
            </w:r>
          </w:p>
        </w:tc>
        <w:tc>
          <w:tcPr>
            <w:tcW w:w="18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50.9</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75.3</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74.5</w:t>
            </w:r>
          </w:p>
        </w:tc>
      </w:tr>
      <w:tr>
        <w:trPr>
          <w:trHeight w:val="210"/>
        </w:trPr>
        <w:tc>
          <w:tcPr>
            <w:tcW w:w="52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Contingencies related to Contracts</w:t>
            </w:r>
          </w:p>
        </w:tc>
        <w:tc>
          <w:tcPr>
            <w:tcW w:w="18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178.6</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147.0</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115.7</w:t>
            </w:r>
          </w:p>
        </w:tc>
      </w:tr>
      <w:tr>
        <w:trPr>
          <w:trHeight w:val="210"/>
        </w:trPr>
        <w:tc>
          <w:tcPr>
            <w:tcW w:w="52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Other Contingencies</w:t>
            </w:r>
          </w:p>
        </w:tc>
        <w:tc>
          <w:tcPr>
            <w:tcW w:w="18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59.9</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(9.9)</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(9.5)</w:t>
            </w:r>
          </w:p>
        </w:tc>
      </w:tr>
      <w:tr>
        <w:trPr>
          <w:trHeight w:val="210"/>
        </w:trPr>
        <w:tc>
          <w:tcPr>
            <w:tcW w:w="52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Temporarily Non-Deductible Expenses</w:t>
            </w:r>
          </w:p>
        </w:tc>
        <w:tc>
          <w:tcPr>
            <w:tcW w:w="18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46.8</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14.4</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3.1</w:t>
            </w:r>
          </w:p>
        </w:tc>
      </w:tr>
      <w:tr>
        <w:trPr>
          <w:trHeight w:val="210"/>
        </w:trPr>
        <w:tc>
          <w:tcPr>
            <w:tcW w:w="52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Fair Value Losses</w:t>
            </w:r>
          </w:p>
        </w:tc>
        <w:tc>
          <w:tcPr>
            <w:tcW w:w="18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108.2</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91.2</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90.1</w:t>
            </w:r>
          </w:p>
        </w:tc>
      </w:tr>
      <w:tr>
        <w:trPr>
          <w:trHeight w:val="210"/>
        </w:trPr>
        <w:tc>
          <w:tcPr>
            <w:tcW w:w="5220" w:type="dxa"/>
            <w:vAlign w:val="bottom"/>
            <w:tcBorders>
              <w:left w:val="single" w:sz="8" w:color="231F20"/>
              <w:bottom w:val="single" w:sz="8" w:color="231F20"/>
              <w:right w:val="single" w:sz="8" w:color="231F20"/>
            </w:tcBorders>
          </w:tcPr>
          <w:p>
            <w:pPr>
              <w:ind w:left="40"/>
              <w:spacing w:after="0"/>
              <w:rPr>
                <w:sz w:val="20"/>
                <w:szCs w:val="20"/>
                <w:color w:val="auto"/>
              </w:rPr>
            </w:pPr>
            <w:r>
              <w:rPr>
                <w:rFonts w:ascii="Arial" w:cs="Arial" w:eastAsia="Arial" w:hAnsi="Arial"/>
                <w:sz w:val="14"/>
                <w:szCs w:val="14"/>
                <w:color w:val="231F20"/>
              </w:rPr>
              <w:t>Other Temporary Differences</w:t>
            </w:r>
          </w:p>
        </w:tc>
        <w:tc>
          <w:tcPr>
            <w:tcW w:w="1800" w:type="dxa"/>
            <w:vAlign w:val="bottom"/>
            <w:tcBorders>
              <w:bottom w:val="single" w:sz="8" w:color="231F20"/>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26.1</w:t>
            </w:r>
          </w:p>
        </w:tc>
        <w:tc>
          <w:tcPr>
            <w:tcW w:w="18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14"/>
                <w:szCs w:val="14"/>
                <w:color w:val="231F20"/>
              </w:rPr>
              <w:t>24.7</w:t>
            </w:r>
          </w:p>
        </w:tc>
        <w:tc>
          <w:tcPr>
            <w:tcW w:w="18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14"/>
                <w:szCs w:val="14"/>
                <w:color w:val="231F20"/>
              </w:rPr>
              <w:t>(1.5)</w:t>
            </w:r>
          </w:p>
        </w:tc>
      </w:tr>
      <w:tr>
        <w:trPr>
          <w:trHeight w:val="210"/>
        </w:trPr>
        <w:tc>
          <w:tcPr>
            <w:tcW w:w="5220" w:type="dxa"/>
            <w:vAlign w:val="bottom"/>
            <w:tcBorders>
              <w:left w:val="single" w:sz="8" w:color="231F20"/>
              <w:bottom w:val="single" w:sz="8" w:color="231F20"/>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Total Deferred Income Tax Assets</w:t>
            </w:r>
          </w:p>
        </w:tc>
        <w:tc>
          <w:tcPr>
            <w:tcW w:w="1800" w:type="dxa"/>
            <w:vAlign w:val="bottom"/>
            <w:tcBorders>
              <w:bottom w:val="single" w:sz="8" w:color="231F20"/>
              <w:right w:val="single" w:sz="8" w:color="231F20"/>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609.5</w:t>
            </w:r>
          </w:p>
        </w:tc>
        <w:tc>
          <w:tcPr>
            <w:tcW w:w="18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485.2</w:t>
            </w:r>
          </w:p>
        </w:tc>
        <w:tc>
          <w:tcPr>
            <w:tcW w:w="18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365.6</w:t>
            </w:r>
          </w:p>
        </w:tc>
      </w:tr>
      <w:tr>
        <w:trPr>
          <w:trHeight w:val="210"/>
        </w:trPr>
        <w:tc>
          <w:tcPr>
            <w:tcW w:w="52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Differences between Taxable and Accounting Depreciation</w:t>
            </w:r>
          </w:p>
        </w:tc>
        <w:tc>
          <w:tcPr>
            <w:tcW w:w="18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95.9</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116.2</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100.9</w:t>
            </w:r>
          </w:p>
        </w:tc>
      </w:tr>
      <w:tr>
        <w:trPr>
          <w:trHeight w:val="210"/>
        </w:trPr>
        <w:tc>
          <w:tcPr>
            <w:tcW w:w="52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Margin Recognition on Construction Contracts</w:t>
            </w:r>
          </w:p>
        </w:tc>
        <w:tc>
          <w:tcPr>
            <w:tcW w:w="18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88.3</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105.4</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88.2</w:t>
            </w:r>
          </w:p>
        </w:tc>
      </w:tr>
      <w:tr>
        <w:trPr>
          <w:trHeight w:val="210"/>
        </w:trPr>
        <w:tc>
          <w:tcPr>
            <w:tcW w:w="5220" w:type="dxa"/>
            <w:vAlign w:val="bottom"/>
            <w:tcBorders>
              <w:left w:val="single" w:sz="8" w:color="231F20"/>
              <w:bottom w:val="single" w:sz="8" w:color="231F20"/>
              <w:right w:val="single" w:sz="8" w:color="231F20"/>
            </w:tcBorders>
          </w:tcPr>
          <w:p>
            <w:pPr>
              <w:ind w:left="40"/>
              <w:spacing w:after="0"/>
              <w:rPr>
                <w:sz w:val="20"/>
                <w:szCs w:val="20"/>
                <w:color w:val="auto"/>
              </w:rPr>
            </w:pPr>
            <w:r>
              <w:rPr>
                <w:rFonts w:ascii="Arial" w:cs="Arial" w:eastAsia="Arial" w:hAnsi="Arial"/>
                <w:sz w:val="14"/>
                <w:szCs w:val="14"/>
                <w:color w:val="231F20"/>
              </w:rPr>
              <w:t>Fair Value Gains</w:t>
            </w:r>
          </w:p>
        </w:tc>
        <w:tc>
          <w:tcPr>
            <w:tcW w:w="1800" w:type="dxa"/>
            <w:vAlign w:val="bottom"/>
            <w:tcBorders>
              <w:bottom w:val="single" w:sz="8" w:color="231F20"/>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231F20"/>
              </w:rPr>
              <w:t>10.5</w:t>
            </w:r>
          </w:p>
        </w:tc>
        <w:tc>
          <w:tcPr>
            <w:tcW w:w="18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14"/>
                <w:szCs w:val="14"/>
                <w:color w:val="231F20"/>
              </w:rPr>
              <w:t>8.6</w:t>
            </w:r>
          </w:p>
        </w:tc>
        <w:tc>
          <w:tcPr>
            <w:tcW w:w="1800" w:type="dxa"/>
            <w:vAlign w:val="bottom"/>
            <w:tcBorders>
              <w:bottom w:val="single" w:sz="8" w:color="231F20"/>
              <w:right w:val="single" w:sz="8" w:color="231F20"/>
            </w:tcBorders>
          </w:tcPr>
          <w:p>
            <w:pPr>
              <w:jc w:val="right"/>
              <w:spacing w:after="0"/>
              <w:rPr>
                <w:sz w:val="20"/>
                <w:szCs w:val="20"/>
                <w:color w:val="auto"/>
              </w:rPr>
            </w:pPr>
            <w:r>
              <w:rPr>
                <w:rFonts w:ascii="Arial" w:cs="Arial" w:eastAsia="Arial" w:hAnsi="Arial"/>
                <w:sz w:val="14"/>
                <w:szCs w:val="14"/>
                <w:color w:val="231F20"/>
              </w:rPr>
              <w:t>6.7</w:t>
            </w:r>
          </w:p>
        </w:tc>
      </w:tr>
      <w:tr>
        <w:trPr>
          <w:trHeight w:val="210"/>
        </w:trPr>
        <w:tc>
          <w:tcPr>
            <w:tcW w:w="522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Total Deferred Income Tax Liabilities</w:t>
            </w:r>
          </w:p>
        </w:tc>
        <w:tc>
          <w:tcPr>
            <w:tcW w:w="180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194.7</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230.2</w:t>
            </w:r>
          </w:p>
        </w:tc>
        <w:tc>
          <w:tcPr>
            <w:tcW w:w="18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195.8</w:t>
            </w:r>
          </w:p>
        </w:tc>
      </w:tr>
      <w:tr>
        <w:trPr>
          <w:trHeight w:val="210"/>
        </w:trPr>
        <w:tc>
          <w:tcPr>
            <w:tcW w:w="522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DEFERRED INCOME TAX ASSETS/(LIABILITIES)</w:t>
            </w:r>
          </w:p>
        </w:tc>
        <w:tc>
          <w:tcPr>
            <w:tcW w:w="18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414.8</w:t>
            </w:r>
          </w:p>
        </w:tc>
        <w:tc>
          <w:tcPr>
            <w:tcW w:w="18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255.0</w:t>
            </w:r>
          </w:p>
        </w:tc>
        <w:tc>
          <w:tcPr>
            <w:tcW w:w="18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169.8</w:t>
            </w:r>
          </w:p>
        </w:tc>
      </w:tr>
    </w:tbl>
    <w:p>
      <w:pPr>
        <w:spacing w:after="0" w:line="272" w:lineRule="exact"/>
        <w:rPr>
          <w:sz w:val="20"/>
          <w:szCs w:val="20"/>
          <w:color w:val="auto"/>
        </w:rPr>
      </w:pPr>
    </w:p>
    <w:p>
      <w:pPr>
        <w:jc w:val="both"/>
        <w:ind w:left="40"/>
        <w:spacing w:after="0" w:line="260" w:lineRule="auto"/>
        <w:rPr>
          <w:sz w:val="20"/>
          <w:szCs w:val="20"/>
          <w:color w:val="auto"/>
        </w:rPr>
      </w:pPr>
      <w:r>
        <w:rPr>
          <w:rFonts w:ascii="Arial" w:cs="Arial" w:eastAsia="Arial" w:hAnsi="Arial"/>
          <w:sz w:val="16"/>
          <w:szCs w:val="16"/>
          <w:color w:val="231F20"/>
        </w:rPr>
        <w:t>In order to disclose the details of deferred tax assets and liabilities by nature of temporary differences, it was necessary to split up deferred tax assets and liabilities for each subsidiary (each subsidiary reports in its statement of financial position a net amount of deferred tax liabilities and assets).</w:t>
      </w:r>
    </w:p>
    <w:p>
      <w:pPr>
        <w:spacing w:after="0" w:line="196" w:lineRule="exact"/>
        <w:rPr>
          <w:sz w:val="20"/>
          <w:szCs w:val="20"/>
          <w:color w:val="auto"/>
        </w:rPr>
      </w:pPr>
    </w:p>
    <w:p>
      <w:pPr>
        <w:jc w:val="both"/>
        <w:ind w:left="40"/>
        <w:spacing w:after="0" w:line="260" w:lineRule="auto"/>
        <w:rPr>
          <w:sz w:val="20"/>
          <w:szCs w:val="20"/>
          <w:color w:val="auto"/>
        </w:rPr>
      </w:pPr>
      <w:r>
        <w:rPr>
          <w:rFonts w:ascii="Arial" w:cs="Arial" w:eastAsia="Arial" w:hAnsi="Arial"/>
          <w:sz w:val="16"/>
          <w:szCs w:val="16"/>
          <w:color w:val="231F20"/>
        </w:rPr>
        <w:t>As of December 31, 2016, the net deferred tax asset of €414.8 million is broken down into a deferred tax asset of €560.7 million and a deferred tax liability of €145.9 million as recorded in the statement of financial position.</w:t>
      </w:r>
    </w:p>
    <w:p>
      <w:pPr>
        <w:spacing w:after="0" w:line="196" w:lineRule="exact"/>
        <w:rPr>
          <w:sz w:val="20"/>
          <w:szCs w:val="20"/>
          <w:color w:val="auto"/>
        </w:rPr>
      </w:pPr>
    </w:p>
    <w:p>
      <w:pPr>
        <w:jc w:val="both"/>
        <w:ind w:left="40"/>
        <w:spacing w:after="0" w:line="260" w:lineRule="auto"/>
        <w:rPr>
          <w:sz w:val="20"/>
          <w:szCs w:val="20"/>
          <w:color w:val="auto"/>
        </w:rPr>
      </w:pPr>
      <w:r>
        <w:rPr>
          <w:rFonts w:ascii="Arial" w:cs="Arial" w:eastAsia="Arial" w:hAnsi="Arial"/>
          <w:sz w:val="16"/>
          <w:szCs w:val="16"/>
          <w:color w:val="231F20"/>
        </w:rPr>
        <w:t>As of December 31, 2015, the net deferred tax asset of €255.0 million is broken down into a deferred tax asset of €430.4 million and a deferred tax liability of €175.4 million as recorded in the statement of financial position.</w:t>
      </w:r>
    </w:p>
    <w:p>
      <w:pPr>
        <w:spacing w:after="0" w:line="196" w:lineRule="exact"/>
        <w:rPr>
          <w:sz w:val="20"/>
          <w:szCs w:val="20"/>
          <w:color w:val="auto"/>
        </w:rPr>
      </w:pPr>
    </w:p>
    <w:p>
      <w:pPr>
        <w:jc w:val="both"/>
        <w:ind w:left="40"/>
        <w:spacing w:after="0" w:line="260" w:lineRule="auto"/>
        <w:rPr>
          <w:sz w:val="20"/>
          <w:szCs w:val="20"/>
          <w:color w:val="auto"/>
        </w:rPr>
      </w:pPr>
      <w:r>
        <w:rPr>
          <w:rFonts w:ascii="Arial" w:cs="Arial" w:eastAsia="Arial" w:hAnsi="Arial"/>
          <w:sz w:val="16"/>
          <w:szCs w:val="16"/>
          <w:color w:val="231F20"/>
        </w:rPr>
        <w:t>As of December 31, 2014, the net deferred tax asset of €169.8 million is broken down into a deferred tax asset of €366.0 million and a deferred tax liability of €196.2 million as recorded in the statement of financial position.</w:t>
      </w:r>
    </w:p>
    <w:p>
      <w:pPr>
        <w:spacing w:after="0" w:line="27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231F20"/>
        </w:rPr>
        <w:t>(D) Tax Loss Carry-Forwards and Tax Credits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2360A6"/>
        </w:rPr>
        <w:t>As of December 31, 2016</w:t>
      </w:r>
    </w:p>
    <w:p>
      <w:pPr>
        <w:spacing w:after="0" w:line="133" w:lineRule="exact"/>
        <w:rPr>
          <w:sz w:val="20"/>
          <w:szCs w:val="20"/>
          <w:color w:val="auto"/>
        </w:rPr>
      </w:pPr>
    </w:p>
    <w:p>
      <w:pPr>
        <w:jc w:val="both"/>
        <w:ind w:left="40"/>
        <w:spacing w:after="0" w:line="250" w:lineRule="auto"/>
        <w:rPr>
          <w:sz w:val="20"/>
          <w:szCs w:val="20"/>
          <w:color w:val="auto"/>
        </w:rPr>
      </w:pPr>
      <w:r>
        <w:rPr>
          <w:rFonts w:ascii="Arial" w:cs="Arial" w:eastAsia="Arial" w:hAnsi="Arial"/>
          <w:sz w:val="16"/>
          <w:szCs w:val="16"/>
          <w:color w:val="231F20"/>
        </w:rPr>
        <w:t>Tax loss carry-forwards not yet recognized as source of deferred tax assets amounted to €522.9 million as of December 31, 2016, compared to €446.1 million as of December 31, 2015. The majority of these came from Brazilian entities for €241.7 million, a Mexican entity for €130.0 million, a Saudi entity for €85.6 million and a Finnish entity for €45.6 million. As of December 31, 2016, the unrecorded deferred income tax assets corresponding to these tax loss carry-forwards amounted to €152.8 million. All of these tax loss carry-forwards are reportable over an unlimited period of time, except in Finland and in Mexico where there is only a 10-year time limit.</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2360A6"/>
        </w:rPr>
        <w:t>As of December 31, 2015</w:t>
      </w:r>
    </w:p>
    <w:p>
      <w:pPr>
        <w:spacing w:after="0" w:line="133" w:lineRule="exact"/>
        <w:rPr>
          <w:sz w:val="20"/>
          <w:szCs w:val="20"/>
          <w:color w:val="auto"/>
        </w:rPr>
      </w:pPr>
    </w:p>
    <w:p>
      <w:pPr>
        <w:jc w:val="both"/>
        <w:ind w:left="40"/>
        <w:spacing w:after="0" w:line="250" w:lineRule="auto"/>
        <w:rPr>
          <w:sz w:val="20"/>
          <w:szCs w:val="20"/>
          <w:color w:val="auto"/>
        </w:rPr>
      </w:pPr>
      <w:r>
        <w:rPr>
          <w:rFonts w:ascii="Arial" w:cs="Arial" w:eastAsia="Arial" w:hAnsi="Arial"/>
          <w:sz w:val="16"/>
          <w:szCs w:val="16"/>
          <w:color w:val="231F20"/>
        </w:rPr>
        <w:t>Tax loss carry-forwards not yet recognized as source of deferred tax assets amounted to €446.1 million as of December 31, 2015, compared to €401.2 million as of December 31, 2014. The majority of these came from Mexican entities for €126.0 million, Brazilian entities for €124.6 million, a Saudi entity for €79.8 million and a Finnish entity for €53.5 million. As of December 31, 2015, the unrecorded deferred income tax assets corresponding to these tax loss carry-forwards amounted to €126.8 million. All of these tax loss carry-forwards are reportable over an unlimited period of time, except in Finland and in Mexico where there is only a 10-year time limit.</w:t>
      </w:r>
    </w:p>
    <w:p>
      <w:pPr>
        <w:sectPr>
          <w:pgSz w:w="11900" w:h="16838" w:orient="portrait"/>
          <w:cols w:equalWidth="0" w:num="1">
            <w:col w:w="11340"/>
          </w:cols>
          <w:pgMar w:left="320" w:top="676" w:right="239" w:bottom="1440" w:gutter="0" w:footer="0" w:header="0"/>
        </w:sectPr>
      </w:pPr>
    </w:p>
    <w:bookmarkStart w:id="115" w:name="page116"/>
    <w:bookmarkEnd w:id="115"/>
    <w:p>
      <w:pPr>
        <w:ind w:left="40"/>
        <w:spacing w:after="0"/>
        <w:rPr>
          <w:sz w:val="20"/>
          <w:szCs w:val="20"/>
          <w:color w:val="auto"/>
        </w:rPr>
      </w:pPr>
      <w:r>
        <w:rPr>
          <w:rFonts w:ascii="Arial" w:cs="Arial" w:eastAsia="Arial" w:hAnsi="Arial"/>
          <w:sz w:val="22"/>
          <w:szCs w:val="22"/>
          <w:b w:val="1"/>
          <w:bCs w:val="1"/>
          <w:color w:val="2360A6"/>
        </w:rPr>
        <w:t>As of December 31, 2014</w:t>
      </w:r>
    </w:p>
    <w:p>
      <w:pPr>
        <w:spacing w:after="0" w:line="133" w:lineRule="exact"/>
        <w:rPr>
          <w:sz w:val="20"/>
          <w:szCs w:val="20"/>
          <w:color w:val="auto"/>
        </w:rPr>
      </w:pPr>
    </w:p>
    <w:p>
      <w:pPr>
        <w:jc w:val="both"/>
        <w:ind w:left="40"/>
        <w:spacing w:after="0" w:line="250" w:lineRule="auto"/>
        <w:rPr>
          <w:sz w:val="20"/>
          <w:szCs w:val="20"/>
          <w:color w:val="auto"/>
        </w:rPr>
      </w:pPr>
      <w:r>
        <w:rPr>
          <w:rFonts w:ascii="Arial" w:cs="Arial" w:eastAsia="Arial" w:hAnsi="Arial"/>
          <w:sz w:val="16"/>
          <w:szCs w:val="16"/>
          <w:color w:val="231F20"/>
        </w:rPr>
        <w:t>Tax loss carry-forwards not yet recognized as source of deferred tax assets amounted to €401.2 million as of December 31, 2014, compared to €383.0 million as of December 31, 2013. The majority of these came from the ex- Global Industries US entities for €152.0 million, Brazilian entities for €133.7 million, a Saudi entity for €45.8 million and a Finnish entity for €37.4 million. As of December 31, 2014, the unrecorded deferred income tax assets corresponding to these tax loss carry-forwards amounted to €106.7 million. All of these tax loss carry-forwards are reportable over an unlimited period of time, except in Finland and in Mexico where there is only a 10-year time limit.</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7 Income/(Loss) from Discontinued Operations</w:t>
      </w:r>
    </w:p>
    <w:p>
      <w:pPr>
        <w:spacing w:after="0" w:line="200" w:lineRule="exact"/>
        <w:rPr>
          <w:sz w:val="20"/>
          <w:szCs w:val="20"/>
          <w:color w:val="auto"/>
        </w:rPr>
      </w:pPr>
    </w:p>
    <w:p>
      <w:pPr>
        <w:spacing w:after="0" w:line="33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According to IFRS 5, income/(loss) from operations discontinued during the financial year is reported in this note. In 2016, 2015 and 2014, no activity was closed or sold.</w:t>
      </w:r>
    </w:p>
    <w:p>
      <w:pPr>
        <w:spacing w:after="0" w:line="289"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8 Earnings per Share</w:t>
      </w:r>
    </w:p>
    <w:p>
      <w:pPr>
        <w:spacing w:after="0" w:line="23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Diluted earnings per share are computed in accordance with Note 1-C (i) - Earnings per share. Reconciliation between earnings per share before dilution and diluted earnings per share is as follows:</w:t>
      </w:r>
    </w:p>
    <w:p>
      <w:pPr>
        <w:spacing w:after="0" w:line="93" w:lineRule="exact"/>
        <w:rPr>
          <w:sz w:val="20"/>
          <w:szCs w:val="20"/>
          <w:color w:val="auto"/>
        </w:rPr>
      </w:pPr>
    </w:p>
    <w:tbl>
      <w:tblPr>
        <w:tblLayout w:type="fixed"/>
        <w:tblInd w:w="270" w:type="dxa"/>
        <w:tblCellMar>
          <w:top w:w="0" w:type="dxa"/>
          <w:left w:w="0" w:type="dxa"/>
          <w:bottom w:w="0" w:type="dxa"/>
          <w:right w:w="0" w:type="dxa"/>
        </w:tblCellMar>
      </w:tblPr>
      <w:tr>
        <w:trPr>
          <w:trHeight w:val="224"/>
        </w:trPr>
        <w:tc>
          <w:tcPr>
            <w:tcW w:w="6260" w:type="dxa"/>
            <w:vAlign w:val="bottom"/>
            <w:tcBorders>
              <w:top w:val="single" w:sz="8" w:color="2360A6"/>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520" w:type="dxa"/>
            <w:vAlign w:val="bottom"/>
            <w:tcBorders>
              <w:top w:val="single" w:sz="8" w:color="2360A6"/>
              <w:bottom w:val="single" w:sz="8" w:color="2360A6"/>
              <w:right w:val="single" w:sz="8" w:color="231F20"/>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2016</w:t>
            </w:r>
          </w:p>
        </w:tc>
        <w:tc>
          <w:tcPr>
            <w:tcW w:w="1480" w:type="dxa"/>
            <w:vAlign w:val="bottom"/>
            <w:tcBorders>
              <w:top w:val="single" w:sz="8" w:color="2360A6"/>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2015</w:t>
            </w:r>
          </w:p>
        </w:tc>
        <w:tc>
          <w:tcPr>
            <w:tcW w:w="1500" w:type="dxa"/>
            <w:vAlign w:val="bottom"/>
            <w:tcBorders>
              <w:top w:val="single" w:sz="8" w:color="2360A6"/>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6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Net Income Attributable to Shareholders of the Parent Company</w:t>
            </w:r>
          </w:p>
        </w:tc>
        <w:tc>
          <w:tcPr>
            <w:tcW w:w="15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281.3</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45.1</w:t>
            </w:r>
          </w:p>
        </w:tc>
        <w:tc>
          <w:tcPr>
            <w:tcW w:w="15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436.6</w:t>
            </w:r>
          </w:p>
        </w:tc>
      </w:tr>
      <w:tr>
        <w:trPr>
          <w:trHeight w:val="210"/>
        </w:trPr>
        <w:tc>
          <w:tcPr>
            <w:tcW w:w="6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Financial Expense on Convertible Bonds, Net of Tax</w:t>
            </w:r>
          </w:p>
        </w:tc>
        <w:tc>
          <w:tcPr>
            <w:tcW w:w="15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11.7</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5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20.6</w:t>
            </w:r>
          </w:p>
        </w:tc>
      </w:tr>
      <w:tr>
        <w:trPr>
          <w:trHeight w:val="210"/>
        </w:trPr>
        <w:tc>
          <w:tcPr>
            <w:tcW w:w="626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ADJUSTED NET INCOME FOR DILUTED EARNINGS PER SHARE</w:t>
            </w:r>
          </w:p>
        </w:tc>
        <w:tc>
          <w:tcPr>
            <w:tcW w:w="1520" w:type="dxa"/>
            <w:vAlign w:val="bottom"/>
            <w:tcBorders>
              <w:bottom w:val="single" w:sz="8" w:color="2360A6"/>
              <w:right w:val="single" w:sz="8" w:color="231F20"/>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293.0</w:t>
            </w:r>
          </w:p>
        </w:tc>
        <w:tc>
          <w:tcPr>
            <w:tcW w:w="148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45.1</w:t>
            </w:r>
          </w:p>
        </w:tc>
        <w:tc>
          <w:tcPr>
            <w:tcW w:w="15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457.2</w:t>
            </w:r>
          </w:p>
        </w:tc>
      </w:tr>
      <w:tr>
        <w:trPr>
          <w:trHeight w:val="264"/>
        </w:trPr>
        <w:tc>
          <w:tcPr>
            <w:tcW w:w="6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thousands</w:t>
            </w:r>
          </w:p>
        </w:tc>
        <w:tc>
          <w:tcPr>
            <w:tcW w:w="1520" w:type="dxa"/>
            <w:vAlign w:val="bottom"/>
            <w:tcBorders>
              <w:bottom w:val="single" w:sz="8" w:color="2360A6"/>
              <w:right w:val="single" w:sz="8" w:color="231F20"/>
            </w:tcBorders>
            <w:shd w:val="clear" w:color="auto" w:fill="EDEDEE"/>
          </w:tcPr>
          <w:p>
            <w:pPr>
              <w:spacing w:after="0"/>
              <w:rPr>
                <w:sz w:val="22"/>
                <w:szCs w:val="22"/>
                <w:color w:val="auto"/>
              </w:rPr>
            </w:pPr>
          </w:p>
        </w:tc>
        <w:tc>
          <w:tcPr>
            <w:tcW w:w="1480" w:type="dxa"/>
            <w:vAlign w:val="bottom"/>
            <w:tcBorders>
              <w:bottom w:val="single" w:sz="8" w:color="2360A6"/>
              <w:right w:val="single" w:sz="8" w:color="231F20"/>
            </w:tcBorders>
          </w:tcPr>
          <w:p>
            <w:pPr>
              <w:spacing w:after="0"/>
              <w:rPr>
                <w:sz w:val="22"/>
                <w:szCs w:val="22"/>
                <w:color w:val="auto"/>
              </w:rPr>
            </w:pPr>
          </w:p>
        </w:tc>
        <w:tc>
          <w:tcPr>
            <w:tcW w:w="1500" w:type="dxa"/>
            <w:vAlign w:val="bottom"/>
            <w:tcBorders>
              <w:bottom w:val="single" w:sz="8" w:color="2360A6"/>
              <w:right w:val="single" w:sz="8" w:color="231F20"/>
            </w:tcBorders>
          </w:tcPr>
          <w:p>
            <w:pPr>
              <w:spacing w:after="0"/>
              <w:rPr>
                <w:sz w:val="22"/>
                <w:szCs w:val="22"/>
                <w:color w:val="auto"/>
              </w:rPr>
            </w:pPr>
          </w:p>
        </w:tc>
      </w:tr>
      <w:tr>
        <w:trPr>
          <w:trHeight w:val="216"/>
        </w:trPr>
        <w:tc>
          <w:tcPr>
            <w:tcW w:w="6260" w:type="dxa"/>
            <w:vAlign w:val="bottom"/>
            <w:tcBorders>
              <w:left w:val="single" w:sz="8" w:color="231F20"/>
              <w:right w:val="single" w:sz="8" w:color="231F20"/>
            </w:tcBorders>
          </w:tcPr>
          <w:p>
            <w:pPr>
              <w:ind w:left="180"/>
              <w:spacing w:after="0"/>
              <w:rPr>
                <w:sz w:val="20"/>
                <w:szCs w:val="20"/>
                <w:color w:val="auto"/>
              </w:rPr>
            </w:pPr>
            <w:r>
              <w:rPr>
                <w:rFonts w:ascii="Arial" w:cs="Arial" w:eastAsia="Arial" w:hAnsi="Arial"/>
                <w:sz w:val="14"/>
                <w:szCs w:val="14"/>
                <w:b w:val="1"/>
                <w:bCs w:val="1"/>
                <w:color w:val="2360A6"/>
              </w:rPr>
              <w:t>Weighted Average Number of Outstanding Shares during the Financial Year (excluding</w:t>
            </w:r>
          </w:p>
        </w:tc>
        <w:tc>
          <w:tcPr>
            <w:tcW w:w="1520" w:type="dxa"/>
            <w:vAlign w:val="bottom"/>
            <w:tcBorders>
              <w:right w:val="single" w:sz="8" w:color="231F20"/>
            </w:tcBorders>
            <w:shd w:val="clear" w:color="auto" w:fill="EDEDEE"/>
          </w:tcPr>
          <w:p>
            <w:pPr>
              <w:spacing w:after="0"/>
              <w:rPr>
                <w:sz w:val="18"/>
                <w:szCs w:val="18"/>
                <w:color w:val="auto"/>
              </w:rPr>
            </w:pPr>
          </w:p>
        </w:tc>
        <w:tc>
          <w:tcPr>
            <w:tcW w:w="1480" w:type="dxa"/>
            <w:vAlign w:val="bottom"/>
            <w:tcBorders>
              <w:right w:val="single" w:sz="8" w:color="231F20"/>
            </w:tcBorders>
          </w:tcPr>
          <w:p>
            <w:pPr>
              <w:spacing w:after="0"/>
              <w:rPr>
                <w:sz w:val="18"/>
                <w:szCs w:val="18"/>
                <w:color w:val="auto"/>
              </w:rPr>
            </w:pPr>
          </w:p>
        </w:tc>
        <w:tc>
          <w:tcPr>
            <w:tcW w:w="1500" w:type="dxa"/>
            <w:vAlign w:val="bottom"/>
            <w:tcBorders>
              <w:right w:val="single" w:sz="8" w:color="231F20"/>
            </w:tcBorders>
          </w:tcPr>
          <w:p>
            <w:pPr>
              <w:spacing w:after="0"/>
              <w:rPr>
                <w:sz w:val="18"/>
                <w:szCs w:val="18"/>
                <w:color w:val="auto"/>
              </w:rPr>
            </w:pPr>
          </w:p>
        </w:tc>
      </w:tr>
      <w:tr>
        <w:trPr>
          <w:trHeight w:val="196"/>
        </w:trPr>
        <w:tc>
          <w:tcPr>
            <w:tcW w:w="6260" w:type="dxa"/>
            <w:vAlign w:val="bottom"/>
            <w:tcBorders>
              <w:left w:val="single" w:sz="8" w:color="231F20"/>
              <w:bottom w:val="single" w:sz="8" w:color="2360A6"/>
              <w:right w:val="single" w:sz="8" w:color="231F20"/>
            </w:tcBorders>
          </w:tcPr>
          <w:p>
            <w:pPr>
              <w:ind w:left="180"/>
              <w:spacing w:after="0"/>
              <w:rPr>
                <w:sz w:val="20"/>
                <w:szCs w:val="20"/>
                <w:color w:val="auto"/>
              </w:rPr>
            </w:pPr>
            <w:r>
              <w:rPr>
                <w:rFonts w:ascii="Arial" w:cs="Arial" w:eastAsia="Arial" w:hAnsi="Arial"/>
                <w:sz w:val="14"/>
                <w:szCs w:val="14"/>
                <w:b w:val="1"/>
                <w:bCs w:val="1"/>
                <w:color w:val="2360A6"/>
              </w:rPr>
              <w:t>Treasury Shares) used for Basic Earnings per Share</w:t>
            </w:r>
          </w:p>
        </w:tc>
        <w:tc>
          <w:tcPr>
            <w:tcW w:w="15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119,388</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114,887</w:t>
            </w:r>
          </w:p>
        </w:tc>
        <w:tc>
          <w:tcPr>
            <w:tcW w:w="15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112,174</w:t>
            </w:r>
          </w:p>
        </w:tc>
      </w:tr>
      <w:tr>
        <w:trPr>
          <w:trHeight w:val="264"/>
        </w:trPr>
        <w:tc>
          <w:tcPr>
            <w:tcW w:w="6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Effect of Dilution:</w:t>
            </w:r>
          </w:p>
        </w:tc>
        <w:tc>
          <w:tcPr>
            <w:tcW w:w="1520" w:type="dxa"/>
            <w:vAlign w:val="bottom"/>
            <w:tcBorders>
              <w:bottom w:val="single" w:sz="8" w:color="2360A6"/>
              <w:right w:val="single" w:sz="8" w:color="231F20"/>
            </w:tcBorders>
            <w:shd w:val="clear" w:color="auto" w:fill="EDEDEE"/>
          </w:tcPr>
          <w:p>
            <w:pPr>
              <w:spacing w:after="0"/>
              <w:rPr>
                <w:sz w:val="22"/>
                <w:szCs w:val="22"/>
                <w:color w:val="auto"/>
              </w:rPr>
            </w:pPr>
          </w:p>
        </w:tc>
        <w:tc>
          <w:tcPr>
            <w:tcW w:w="1480" w:type="dxa"/>
            <w:vAlign w:val="bottom"/>
            <w:tcBorders>
              <w:bottom w:val="single" w:sz="8" w:color="2360A6"/>
              <w:right w:val="single" w:sz="8" w:color="231F20"/>
            </w:tcBorders>
          </w:tcPr>
          <w:p>
            <w:pPr>
              <w:spacing w:after="0"/>
              <w:rPr>
                <w:sz w:val="22"/>
                <w:szCs w:val="22"/>
                <w:color w:val="auto"/>
              </w:rPr>
            </w:pPr>
          </w:p>
        </w:tc>
        <w:tc>
          <w:tcPr>
            <w:tcW w:w="1500" w:type="dxa"/>
            <w:vAlign w:val="bottom"/>
            <w:tcBorders>
              <w:bottom w:val="single" w:sz="8" w:color="2360A6"/>
              <w:right w:val="single" w:sz="8" w:color="231F20"/>
            </w:tcBorders>
          </w:tcPr>
          <w:p>
            <w:pPr>
              <w:spacing w:after="0"/>
              <w:rPr>
                <w:sz w:val="22"/>
                <w:szCs w:val="22"/>
                <w:color w:val="auto"/>
              </w:rPr>
            </w:pPr>
          </w:p>
        </w:tc>
      </w:tr>
      <w:tr>
        <w:trPr>
          <w:trHeight w:val="210"/>
        </w:trPr>
        <w:tc>
          <w:tcPr>
            <w:tcW w:w="6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Š Share Subscription Options</w:t>
            </w:r>
          </w:p>
        </w:tc>
        <w:tc>
          <w:tcPr>
            <w:tcW w:w="15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5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452</w:t>
            </w:r>
          </w:p>
        </w:tc>
      </w:tr>
      <w:tr>
        <w:trPr>
          <w:trHeight w:val="210"/>
        </w:trPr>
        <w:tc>
          <w:tcPr>
            <w:tcW w:w="6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Š Performance Shares</w:t>
            </w:r>
          </w:p>
        </w:tc>
        <w:tc>
          <w:tcPr>
            <w:tcW w:w="15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504</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5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848</w:t>
            </w:r>
          </w:p>
        </w:tc>
      </w:tr>
      <w:tr>
        <w:trPr>
          <w:trHeight w:val="210"/>
        </w:trPr>
        <w:tc>
          <w:tcPr>
            <w:tcW w:w="6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231F20"/>
              </w:rPr>
              <w:t>Š Convertible Bond</w:t>
            </w:r>
          </w:p>
        </w:tc>
        <w:tc>
          <w:tcPr>
            <w:tcW w:w="15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color w:val="231F20"/>
              </w:rPr>
              <w:t>5,178</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color w:val="231F20"/>
              </w:rPr>
              <w:t>—</w:t>
            </w:r>
          </w:p>
        </w:tc>
        <w:tc>
          <w:tcPr>
            <w:tcW w:w="15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231F20"/>
              </w:rPr>
              <w:t>11,797</w:t>
            </w:r>
          </w:p>
        </w:tc>
      </w:tr>
      <w:tr>
        <w:trPr>
          <w:trHeight w:val="175"/>
        </w:trPr>
        <w:tc>
          <w:tcPr>
            <w:tcW w:w="6260" w:type="dxa"/>
            <w:vAlign w:val="bottom"/>
            <w:tcBorders>
              <w:left w:val="single" w:sz="8" w:color="231F20"/>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WEIGHTED AVERAGE NUMBER OF OUTSTANDING SHARES DURING THE FINANCIAL</w:t>
            </w:r>
          </w:p>
        </w:tc>
        <w:tc>
          <w:tcPr>
            <w:tcW w:w="1520" w:type="dxa"/>
            <w:vAlign w:val="bottom"/>
            <w:tcBorders>
              <w:right w:val="single" w:sz="8" w:color="231F20"/>
            </w:tcBorders>
            <w:shd w:val="clear" w:color="auto" w:fill="D2DEEC"/>
          </w:tcPr>
          <w:p>
            <w:pPr>
              <w:spacing w:after="0"/>
              <w:rPr>
                <w:sz w:val="15"/>
                <w:szCs w:val="15"/>
                <w:color w:val="auto"/>
              </w:rPr>
            </w:pPr>
          </w:p>
        </w:tc>
        <w:tc>
          <w:tcPr>
            <w:tcW w:w="1480" w:type="dxa"/>
            <w:vAlign w:val="bottom"/>
            <w:tcBorders>
              <w:right w:val="single" w:sz="8" w:color="231F20"/>
            </w:tcBorders>
            <w:shd w:val="clear" w:color="auto" w:fill="D2DEEC"/>
          </w:tcPr>
          <w:p>
            <w:pPr>
              <w:spacing w:after="0"/>
              <w:rPr>
                <w:sz w:val="15"/>
                <w:szCs w:val="15"/>
                <w:color w:val="auto"/>
              </w:rPr>
            </w:pPr>
          </w:p>
        </w:tc>
        <w:tc>
          <w:tcPr>
            <w:tcW w:w="1500" w:type="dxa"/>
            <w:vAlign w:val="bottom"/>
            <w:tcBorders>
              <w:right w:val="single" w:sz="8" w:color="231F20"/>
            </w:tcBorders>
            <w:shd w:val="clear" w:color="auto" w:fill="D2DEEC"/>
          </w:tcPr>
          <w:p>
            <w:pPr>
              <w:spacing w:after="0"/>
              <w:rPr>
                <w:sz w:val="15"/>
                <w:szCs w:val="15"/>
                <w:color w:val="auto"/>
              </w:rPr>
            </w:pPr>
          </w:p>
        </w:tc>
      </w:tr>
      <w:tr>
        <w:trPr>
          <w:trHeight w:val="162"/>
        </w:trPr>
        <w:tc>
          <w:tcPr>
            <w:tcW w:w="6260" w:type="dxa"/>
            <w:vAlign w:val="bottom"/>
            <w:tcBorders>
              <w:left w:val="single" w:sz="8" w:color="231F20"/>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YEAR (EXCLUDING TREASURY SHARES) ADJUSTED FOR DILUTED EARNINGS PER</w:t>
            </w:r>
          </w:p>
        </w:tc>
        <w:tc>
          <w:tcPr>
            <w:tcW w:w="1520" w:type="dxa"/>
            <w:vAlign w:val="bottom"/>
            <w:tcBorders>
              <w:right w:val="single" w:sz="8" w:color="231F20"/>
            </w:tcBorders>
            <w:shd w:val="clear" w:color="auto" w:fill="D2DEEC"/>
          </w:tcPr>
          <w:p>
            <w:pPr>
              <w:spacing w:after="0"/>
              <w:rPr>
                <w:sz w:val="14"/>
                <w:szCs w:val="14"/>
                <w:color w:val="auto"/>
              </w:rPr>
            </w:pPr>
          </w:p>
        </w:tc>
        <w:tc>
          <w:tcPr>
            <w:tcW w:w="1480" w:type="dxa"/>
            <w:vAlign w:val="bottom"/>
            <w:tcBorders>
              <w:right w:val="single" w:sz="8" w:color="231F20"/>
            </w:tcBorders>
            <w:shd w:val="clear" w:color="auto" w:fill="D2DEEC"/>
          </w:tcPr>
          <w:p>
            <w:pPr>
              <w:spacing w:after="0"/>
              <w:rPr>
                <w:sz w:val="14"/>
                <w:szCs w:val="14"/>
                <w:color w:val="auto"/>
              </w:rPr>
            </w:pPr>
          </w:p>
        </w:tc>
        <w:tc>
          <w:tcPr>
            <w:tcW w:w="1500" w:type="dxa"/>
            <w:vAlign w:val="bottom"/>
            <w:tcBorders>
              <w:right w:val="single" w:sz="8" w:color="231F20"/>
            </w:tcBorders>
            <w:shd w:val="clear" w:color="auto" w:fill="D2DEEC"/>
          </w:tcPr>
          <w:p>
            <w:pPr>
              <w:spacing w:after="0"/>
              <w:rPr>
                <w:sz w:val="14"/>
                <w:szCs w:val="14"/>
                <w:color w:val="auto"/>
              </w:rPr>
            </w:pPr>
          </w:p>
        </w:tc>
      </w:tr>
      <w:tr>
        <w:trPr>
          <w:trHeight w:val="196"/>
        </w:trPr>
        <w:tc>
          <w:tcPr>
            <w:tcW w:w="626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SHARE</w:t>
            </w:r>
          </w:p>
        </w:tc>
        <w:tc>
          <w:tcPr>
            <w:tcW w:w="1520" w:type="dxa"/>
            <w:vAlign w:val="bottom"/>
            <w:tcBorders>
              <w:bottom w:val="single" w:sz="8" w:color="2360A6"/>
              <w:right w:val="single" w:sz="8" w:color="231F20"/>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125,070</w:t>
            </w:r>
          </w:p>
        </w:tc>
        <w:tc>
          <w:tcPr>
            <w:tcW w:w="148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114,887</w:t>
            </w:r>
          </w:p>
        </w:tc>
        <w:tc>
          <w:tcPr>
            <w:tcW w:w="15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125,271</w:t>
            </w:r>
          </w:p>
        </w:tc>
      </w:tr>
      <w:tr>
        <w:trPr>
          <w:trHeight w:val="264"/>
        </w:trPr>
        <w:tc>
          <w:tcPr>
            <w:tcW w:w="6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231F20"/>
              </w:rPr>
              <w:t>In Euro</w:t>
            </w:r>
          </w:p>
        </w:tc>
        <w:tc>
          <w:tcPr>
            <w:tcW w:w="1520" w:type="dxa"/>
            <w:vAlign w:val="bottom"/>
            <w:tcBorders>
              <w:bottom w:val="single" w:sz="8" w:color="2360A6"/>
              <w:right w:val="single" w:sz="8" w:color="231F20"/>
            </w:tcBorders>
            <w:shd w:val="clear" w:color="auto" w:fill="EDEDEE"/>
          </w:tcPr>
          <w:p>
            <w:pPr>
              <w:spacing w:after="0"/>
              <w:rPr>
                <w:sz w:val="22"/>
                <w:szCs w:val="22"/>
                <w:color w:val="auto"/>
              </w:rPr>
            </w:pPr>
          </w:p>
        </w:tc>
        <w:tc>
          <w:tcPr>
            <w:tcW w:w="1480" w:type="dxa"/>
            <w:vAlign w:val="bottom"/>
            <w:tcBorders>
              <w:bottom w:val="single" w:sz="8" w:color="2360A6"/>
              <w:right w:val="single" w:sz="8" w:color="231F20"/>
            </w:tcBorders>
          </w:tcPr>
          <w:p>
            <w:pPr>
              <w:spacing w:after="0"/>
              <w:rPr>
                <w:sz w:val="22"/>
                <w:szCs w:val="22"/>
                <w:color w:val="auto"/>
              </w:rPr>
            </w:pPr>
          </w:p>
        </w:tc>
        <w:tc>
          <w:tcPr>
            <w:tcW w:w="1500" w:type="dxa"/>
            <w:vAlign w:val="bottom"/>
            <w:tcBorders>
              <w:bottom w:val="single" w:sz="8" w:color="2360A6"/>
              <w:right w:val="single" w:sz="8" w:color="231F20"/>
            </w:tcBorders>
          </w:tcPr>
          <w:p>
            <w:pPr>
              <w:spacing w:after="0"/>
              <w:rPr>
                <w:sz w:val="22"/>
                <w:szCs w:val="22"/>
                <w:color w:val="auto"/>
              </w:rPr>
            </w:pPr>
          </w:p>
        </w:tc>
      </w:tr>
      <w:tr>
        <w:trPr>
          <w:trHeight w:val="210"/>
        </w:trPr>
        <w:tc>
          <w:tcPr>
            <w:tcW w:w="626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b w:val="1"/>
                <w:bCs w:val="1"/>
                <w:color w:val="2360A6"/>
              </w:rPr>
              <w:t>Basic Earnings per Share</w:t>
            </w:r>
          </w:p>
        </w:tc>
        <w:tc>
          <w:tcPr>
            <w:tcW w:w="1520" w:type="dxa"/>
            <w:vAlign w:val="bottom"/>
            <w:tcBorders>
              <w:bottom w:val="single" w:sz="8" w:color="2360A6"/>
              <w:right w:val="single" w:sz="8" w:color="231F20"/>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2.36</w:t>
            </w:r>
          </w:p>
        </w:tc>
        <w:tc>
          <w:tcPr>
            <w:tcW w:w="1480" w:type="dxa"/>
            <w:vAlign w:val="bottom"/>
            <w:tcBorders>
              <w:bottom w:val="single" w:sz="8" w:color="2360A6"/>
              <w:right w:val="single" w:sz="8" w:color="231F20"/>
            </w:tcBorders>
          </w:tcPr>
          <w:p>
            <w:pPr>
              <w:jc w:val="right"/>
              <w:ind w:right="48"/>
              <w:spacing w:after="0"/>
              <w:rPr>
                <w:sz w:val="20"/>
                <w:szCs w:val="20"/>
                <w:color w:val="auto"/>
              </w:rPr>
            </w:pPr>
            <w:r>
              <w:rPr>
                <w:rFonts w:ascii="Arial" w:cs="Arial" w:eastAsia="Arial" w:hAnsi="Arial"/>
                <w:sz w:val="14"/>
                <w:szCs w:val="14"/>
                <w:b w:val="1"/>
                <w:bCs w:val="1"/>
                <w:color w:val="2360A6"/>
              </w:rPr>
              <w:t>0.39</w:t>
            </w:r>
          </w:p>
        </w:tc>
        <w:tc>
          <w:tcPr>
            <w:tcW w:w="150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2360A6"/>
              </w:rPr>
              <w:t>3.89</w:t>
            </w:r>
          </w:p>
        </w:tc>
      </w:tr>
      <w:tr>
        <w:trPr>
          <w:trHeight w:val="210"/>
        </w:trPr>
        <w:tc>
          <w:tcPr>
            <w:tcW w:w="626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DILUTED EARNINGS PER SHARE</w:t>
            </w:r>
          </w:p>
        </w:tc>
        <w:tc>
          <w:tcPr>
            <w:tcW w:w="1520" w:type="dxa"/>
            <w:vAlign w:val="bottom"/>
            <w:tcBorders>
              <w:bottom w:val="single" w:sz="8" w:color="2360A6"/>
              <w:right w:val="single" w:sz="8" w:color="231F20"/>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2.34</w:t>
            </w:r>
          </w:p>
        </w:tc>
        <w:tc>
          <w:tcPr>
            <w:tcW w:w="1480" w:type="dxa"/>
            <w:vAlign w:val="bottom"/>
            <w:tcBorders>
              <w:bottom w:val="single" w:sz="8" w:color="2360A6"/>
              <w:right w:val="single" w:sz="8" w:color="231F20"/>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0.39</w:t>
            </w:r>
          </w:p>
        </w:tc>
        <w:tc>
          <w:tcPr>
            <w:tcW w:w="150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3.65</w:t>
            </w:r>
          </w:p>
        </w:tc>
      </w:tr>
    </w:tbl>
    <w:p>
      <w:pPr>
        <w:spacing w:after="0" w:line="258" w:lineRule="exact"/>
        <w:rPr>
          <w:sz w:val="20"/>
          <w:szCs w:val="20"/>
          <w:color w:val="auto"/>
        </w:rPr>
      </w:pPr>
    </w:p>
    <w:p>
      <w:pPr>
        <w:jc w:val="both"/>
        <w:ind w:left="40" w:right="20"/>
        <w:spacing w:after="0" w:line="260" w:lineRule="auto"/>
        <w:rPr>
          <w:sz w:val="20"/>
          <w:szCs w:val="20"/>
          <w:color w:val="auto"/>
        </w:rPr>
      </w:pPr>
      <w:r>
        <w:rPr>
          <w:rFonts w:ascii="Arial" w:cs="Arial" w:eastAsia="Arial" w:hAnsi="Arial"/>
          <w:sz w:val="16"/>
          <w:szCs w:val="16"/>
          <w:color w:val="231F20"/>
        </w:rPr>
        <w:t>The Group granted performance shares and share subscription options subject to performance conditions, and in addition issued two convertible bonds on November 17, 2010 and December 15, 2011, which resulted in a dilution of earnings per share in 2016 and 2014 (see Note 21 (b) - Convertible bonds).</w:t>
      </w:r>
    </w:p>
    <w:p>
      <w:pPr>
        <w:spacing w:after="0" w:line="196" w:lineRule="exact"/>
        <w:rPr>
          <w:sz w:val="20"/>
          <w:szCs w:val="20"/>
          <w:color w:val="auto"/>
        </w:rPr>
      </w:pPr>
    </w:p>
    <w:p>
      <w:pPr>
        <w:jc w:val="both"/>
        <w:ind w:left="40"/>
        <w:spacing w:after="0" w:line="260" w:lineRule="auto"/>
        <w:rPr>
          <w:sz w:val="20"/>
          <w:szCs w:val="20"/>
          <w:color w:val="auto"/>
        </w:rPr>
      </w:pPr>
      <w:r>
        <w:rPr>
          <w:rFonts w:ascii="Arial" w:cs="Arial" w:eastAsia="Arial" w:hAnsi="Arial"/>
          <w:sz w:val="16"/>
          <w:szCs w:val="16"/>
          <w:color w:val="231F20"/>
        </w:rPr>
        <w:t>In 2016, the average annual share price amounted to €51.55 and the closing price to €67.81. As a result, only one share subscription option plans was anti-dilutive: the 2015 (Part 1) plan for 151 shares.</w:t>
      </w:r>
    </w:p>
    <w:p>
      <w:pPr>
        <w:spacing w:after="0" w:line="196" w:lineRule="exact"/>
        <w:rPr>
          <w:sz w:val="20"/>
          <w:szCs w:val="20"/>
          <w:color w:val="auto"/>
        </w:rPr>
      </w:pPr>
    </w:p>
    <w:p>
      <w:pPr>
        <w:jc w:val="both"/>
        <w:ind w:left="40"/>
        <w:spacing w:after="0" w:line="251" w:lineRule="auto"/>
        <w:rPr>
          <w:sz w:val="20"/>
          <w:szCs w:val="20"/>
          <w:color w:val="auto"/>
        </w:rPr>
      </w:pPr>
      <w:r>
        <w:rPr>
          <w:rFonts w:ascii="Arial" w:cs="Arial" w:eastAsia="Arial" w:hAnsi="Arial"/>
          <w:sz w:val="16"/>
          <w:szCs w:val="16"/>
          <w:color w:val="231F20"/>
        </w:rPr>
        <w:t>In 2015, the average annual share price amounting to €52.67 and the closing price to €45.74, only the 2010 (Part 1) share subscription option plan would be dilutive. However as of December 31, 2015, the conversion of potential ordinary shares related to share subscriptions options, performance shares and convertible bonds would increase earnings per share. These potential ordinary shares shall then be treated as anti-dilutive and therefore excluded from the calculation of the diluted earnings per share.</w:t>
      </w:r>
    </w:p>
    <w:p>
      <w:pPr>
        <w:spacing w:after="0" w:line="203" w:lineRule="exact"/>
        <w:rPr>
          <w:sz w:val="20"/>
          <w:szCs w:val="20"/>
          <w:color w:val="auto"/>
        </w:rPr>
      </w:pPr>
    </w:p>
    <w:p>
      <w:pPr>
        <w:jc w:val="both"/>
        <w:ind w:left="40"/>
        <w:spacing w:after="0" w:line="260" w:lineRule="auto"/>
        <w:rPr>
          <w:sz w:val="20"/>
          <w:szCs w:val="20"/>
          <w:color w:val="auto"/>
        </w:rPr>
      </w:pPr>
      <w:r>
        <w:rPr>
          <w:rFonts w:ascii="Arial" w:cs="Arial" w:eastAsia="Arial" w:hAnsi="Arial"/>
          <w:sz w:val="16"/>
          <w:szCs w:val="16"/>
          <w:color w:val="231F20"/>
        </w:rPr>
        <w:t>In 2014, the average annual share price amounted to €68.18 and the closing price to €49.42. As a result, eight share subscription option plans were anti-dilutive: the 2010 (Part 3) plan, as well as 2011, 2012 and 2013 plans.</w:t>
      </w:r>
    </w:p>
    <w:p>
      <w:pPr>
        <w:sectPr>
          <w:pgSz w:w="11900" w:h="16838" w:orient="portrait"/>
          <w:cols w:equalWidth="0" w:num="1">
            <w:col w:w="11340"/>
          </w:cols>
          <w:pgMar w:left="320" w:top="688" w:right="239" w:bottom="1440" w:gutter="0" w:footer="0" w:header="0"/>
        </w:sectPr>
      </w:pPr>
    </w:p>
    <w:bookmarkStart w:id="116" w:name="page117"/>
    <w:bookmarkEnd w:id="116"/>
    <w:p>
      <w:pPr>
        <w:spacing w:after="0"/>
        <w:rPr>
          <w:sz w:val="20"/>
          <w:szCs w:val="20"/>
          <w:color w:val="auto"/>
        </w:rPr>
      </w:pPr>
      <w:r>
        <w:rPr>
          <w:rFonts w:ascii="Arial" w:cs="Arial" w:eastAsia="Arial" w:hAnsi="Arial"/>
          <w:sz w:val="29"/>
          <w:szCs w:val="29"/>
          <w:b w:val="1"/>
          <w:bCs w:val="1"/>
          <w:color w:val="2360A6"/>
        </w:rPr>
        <w:t>Note 9 Property, Plant and Equipment (Tangible Assets)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tables illustrate the costs, the accumulated depreciation and impairment losses by type of tangible assets:</w:t>
      </w:r>
    </w:p>
    <w:p>
      <w:pPr>
        <w:spacing w:after="0" w:line="118" w:lineRule="exact"/>
        <w:rPr>
          <w:sz w:val="20"/>
          <w:szCs w:val="20"/>
          <w:color w:val="auto"/>
        </w:rPr>
      </w:pPr>
    </w:p>
    <w:tbl>
      <w:tblPr>
        <w:tblLayout w:type="fixed"/>
        <w:tblInd w:w="290" w:type="dxa"/>
        <w:tblCellMar>
          <w:top w:w="0" w:type="dxa"/>
          <w:left w:w="0" w:type="dxa"/>
          <w:bottom w:w="0" w:type="dxa"/>
          <w:right w:w="0" w:type="dxa"/>
        </w:tblCellMar>
      </w:tblPr>
      <w:tr>
        <w:trPr>
          <w:trHeight w:val="154"/>
        </w:trPr>
        <w:tc>
          <w:tcPr>
            <w:tcW w:w="2700" w:type="dxa"/>
            <w:vAlign w:val="bottom"/>
            <w:tcBorders>
              <w:top w:val="single" w:sz="8" w:color="2360A6"/>
              <w:left w:val="single" w:sz="8" w:color="2360A6"/>
              <w:right w:val="single" w:sz="8" w:color="2360A6"/>
            </w:tcBorders>
          </w:tcPr>
          <w:p>
            <w:pPr>
              <w:spacing w:after="0"/>
              <w:rPr>
                <w:sz w:val="13"/>
                <w:szCs w:val="13"/>
                <w:color w:val="auto"/>
              </w:rPr>
            </w:pPr>
          </w:p>
        </w:tc>
        <w:tc>
          <w:tcPr>
            <w:tcW w:w="880" w:type="dxa"/>
            <w:vAlign w:val="bottom"/>
            <w:tcBorders>
              <w:top w:val="single" w:sz="8" w:color="2360A6"/>
              <w:right w:val="single" w:sz="8" w:color="2360A6"/>
            </w:tcBorders>
          </w:tcPr>
          <w:p>
            <w:pPr>
              <w:spacing w:after="0"/>
              <w:rPr>
                <w:sz w:val="13"/>
                <w:szCs w:val="13"/>
                <w:color w:val="auto"/>
              </w:rPr>
            </w:pPr>
          </w:p>
        </w:tc>
        <w:tc>
          <w:tcPr>
            <w:tcW w:w="860" w:type="dxa"/>
            <w:vAlign w:val="bottom"/>
            <w:tcBorders>
              <w:top w:val="single" w:sz="8" w:color="2360A6"/>
              <w:right w:val="single" w:sz="8" w:color="2360A6"/>
            </w:tcBorders>
          </w:tcPr>
          <w:p>
            <w:pPr>
              <w:spacing w:after="0"/>
              <w:rPr>
                <w:sz w:val="13"/>
                <w:szCs w:val="13"/>
                <w:color w:val="auto"/>
              </w:rPr>
            </w:pPr>
          </w:p>
        </w:tc>
        <w:tc>
          <w:tcPr>
            <w:tcW w:w="860" w:type="dxa"/>
            <w:vAlign w:val="bottom"/>
            <w:tcBorders>
              <w:top w:val="single" w:sz="8" w:color="2360A6"/>
              <w:right w:val="single" w:sz="8" w:color="2360A6"/>
            </w:tcBorders>
          </w:tcPr>
          <w:p>
            <w:pPr>
              <w:spacing w:after="0"/>
              <w:rPr>
                <w:sz w:val="13"/>
                <w:szCs w:val="13"/>
                <w:color w:val="auto"/>
              </w:rPr>
            </w:pPr>
          </w:p>
        </w:tc>
        <w:tc>
          <w:tcPr>
            <w:tcW w:w="11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Machinery and</w:t>
            </w:r>
          </w:p>
        </w:tc>
        <w:tc>
          <w:tcPr>
            <w:tcW w:w="118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Office Fixtures</w:t>
            </w:r>
          </w:p>
        </w:tc>
        <w:tc>
          <w:tcPr>
            <w:tcW w:w="116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Assets under</w:t>
            </w:r>
          </w:p>
        </w:tc>
        <w:tc>
          <w:tcPr>
            <w:tcW w:w="940" w:type="dxa"/>
            <w:vAlign w:val="bottom"/>
            <w:tcBorders>
              <w:top w:val="single" w:sz="8" w:color="2360A6"/>
              <w:right w:val="single" w:sz="8" w:color="2360A6"/>
            </w:tcBorders>
          </w:tcPr>
          <w:p>
            <w:pPr>
              <w:spacing w:after="0"/>
              <w:rPr>
                <w:sz w:val="13"/>
                <w:szCs w:val="13"/>
                <w:color w:val="auto"/>
              </w:rPr>
            </w:pPr>
          </w:p>
        </w:tc>
        <w:tc>
          <w:tcPr>
            <w:tcW w:w="960" w:type="dxa"/>
            <w:vAlign w:val="bottom"/>
            <w:tcBorders>
              <w:top w:val="single" w:sz="8" w:color="2360A6"/>
              <w:right w:val="single" w:sz="8" w:color="2360A6"/>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7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In millions of Euro</w:t>
            </w:r>
          </w:p>
        </w:tc>
        <w:tc>
          <w:tcPr>
            <w:tcW w:w="8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Land</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Buildings</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Vessels</w:t>
            </w:r>
          </w:p>
        </w:tc>
        <w:tc>
          <w:tcPr>
            <w:tcW w:w="11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Equipment</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and Furniture</w:t>
            </w:r>
          </w:p>
        </w:tc>
        <w:tc>
          <w:tcPr>
            <w:tcW w:w="11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Construction</w:t>
            </w:r>
          </w:p>
        </w:tc>
        <w:tc>
          <w:tcPr>
            <w:tcW w:w="94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Other</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Total</w:t>
            </w:r>
          </w:p>
        </w:tc>
        <w:tc>
          <w:tcPr>
            <w:tcW w:w="0" w:type="dxa"/>
            <w:vAlign w:val="bottom"/>
          </w:tcPr>
          <w:p>
            <w:pPr>
              <w:spacing w:after="0"/>
              <w:rPr>
                <w:sz w:val="1"/>
                <w:szCs w:val="1"/>
                <w:color w:val="auto"/>
              </w:rPr>
            </w:pPr>
          </w:p>
        </w:tc>
      </w:tr>
      <w:tr>
        <w:trPr>
          <w:trHeight w:val="210"/>
        </w:trPr>
        <w:tc>
          <w:tcPr>
            <w:tcW w:w="27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Net Book Value as of January 1, 2014</w:t>
            </w:r>
          </w:p>
        </w:tc>
        <w:tc>
          <w:tcPr>
            <w:tcW w:w="8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28.5</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127.7</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1,312.0</w:t>
            </w:r>
          </w:p>
        </w:tc>
        <w:tc>
          <w:tcPr>
            <w:tcW w:w="11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421.9</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75.5</w:t>
            </w:r>
          </w:p>
        </w:tc>
        <w:tc>
          <w:tcPr>
            <w:tcW w:w="11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286.1</w:t>
            </w:r>
          </w:p>
        </w:tc>
        <w:tc>
          <w:tcPr>
            <w:tcW w:w="94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101.1</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2,352.8</w:t>
            </w:r>
          </w:p>
        </w:tc>
        <w:tc>
          <w:tcPr>
            <w:tcW w:w="0" w:type="dxa"/>
            <w:vAlign w:val="bottom"/>
          </w:tcPr>
          <w:p>
            <w:pPr>
              <w:spacing w:after="0"/>
              <w:rPr>
                <w:sz w:val="1"/>
                <w:szCs w:val="1"/>
                <w:color w:val="auto"/>
              </w:rPr>
            </w:pPr>
          </w:p>
        </w:tc>
      </w:tr>
      <w:tr>
        <w:trPr>
          <w:trHeight w:val="210"/>
        </w:trPr>
        <w:tc>
          <w:tcPr>
            <w:tcW w:w="27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Costs</w:t>
            </w:r>
          </w:p>
        </w:tc>
        <w:tc>
          <w:tcPr>
            <w:tcW w:w="8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34.7</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497.2</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2,145.2</w:t>
            </w:r>
          </w:p>
        </w:tc>
        <w:tc>
          <w:tcPr>
            <w:tcW w:w="11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1,076.7</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255.0</w:t>
            </w:r>
          </w:p>
        </w:tc>
        <w:tc>
          <w:tcPr>
            <w:tcW w:w="11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51.5</w:t>
            </w:r>
          </w:p>
        </w:tc>
        <w:tc>
          <w:tcPr>
            <w:tcW w:w="94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222.1</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4,282.4</w:t>
            </w:r>
          </w:p>
        </w:tc>
        <w:tc>
          <w:tcPr>
            <w:tcW w:w="0" w:type="dxa"/>
            <w:vAlign w:val="bottom"/>
          </w:tcPr>
          <w:p>
            <w:pPr>
              <w:spacing w:after="0"/>
              <w:rPr>
                <w:sz w:val="1"/>
                <w:szCs w:val="1"/>
                <w:color w:val="auto"/>
              </w:rPr>
            </w:pPr>
          </w:p>
        </w:tc>
      </w:tr>
      <w:tr>
        <w:trPr>
          <w:trHeight w:val="210"/>
        </w:trPr>
        <w:tc>
          <w:tcPr>
            <w:tcW w:w="27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Accumulated Depreciation</w:t>
            </w:r>
          </w:p>
        </w:tc>
        <w:tc>
          <w:tcPr>
            <w:tcW w:w="8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(189.8)</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(645.1)</w:t>
            </w:r>
          </w:p>
        </w:tc>
        <w:tc>
          <w:tcPr>
            <w:tcW w:w="11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(507.1)</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(174.6)</w:t>
            </w:r>
          </w:p>
        </w:tc>
        <w:tc>
          <w:tcPr>
            <w:tcW w:w="11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(125.9)</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(1,642.5)</w:t>
            </w:r>
          </w:p>
        </w:tc>
        <w:tc>
          <w:tcPr>
            <w:tcW w:w="0" w:type="dxa"/>
            <w:vAlign w:val="bottom"/>
          </w:tcPr>
          <w:p>
            <w:pPr>
              <w:spacing w:after="0"/>
              <w:rPr>
                <w:sz w:val="1"/>
                <w:szCs w:val="1"/>
                <w:color w:val="auto"/>
              </w:rPr>
            </w:pPr>
          </w:p>
        </w:tc>
      </w:tr>
      <w:tr>
        <w:trPr>
          <w:trHeight w:val="210"/>
        </w:trPr>
        <w:tc>
          <w:tcPr>
            <w:tcW w:w="27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Accumulated Impairment Losses</w:t>
            </w:r>
          </w:p>
        </w:tc>
        <w:tc>
          <w:tcPr>
            <w:tcW w:w="8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(0.8)</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(3.3)</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(107.7)</w:t>
            </w:r>
          </w:p>
        </w:tc>
        <w:tc>
          <w:tcPr>
            <w:tcW w:w="11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(19.1)</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(8.2)</w:t>
            </w:r>
          </w:p>
        </w:tc>
        <w:tc>
          <w:tcPr>
            <w:tcW w:w="94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(139.1)</w:t>
            </w:r>
          </w:p>
        </w:tc>
        <w:tc>
          <w:tcPr>
            <w:tcW w:w="0" w:type="dxa"/>
            <w:vAlign w:val="bottom"/>
          </w:tcPr>
          <w:p>
            <w:pPr>
              <w:spacing w:after="0"/>
              <w:rPr>
                <w:sz w:val="1"/>
                <w:szCs w:val="1"/>
                <w:color w:val="auto"/>
              </w:rPr>
            </w:pPr>
          </w:p>
        </w:tc>
      </w:tr>
      <w:tr>
        <w:trPr>
          <w:trHeight w:val="210"/>
        </w:trPr>
        <w:tc>
          <w:tcPr>
            <w:tcW w:w="27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Net Book Value as of December 31, 2014</w:t>
            </w:r>
          </w:p>
        </w:tc>
        <w:tc>
          <w:tcPr>
            <w:tcW w:w="8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33.9</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304.1</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1,392.4</w:t>
            </w:r>
          </w:p>
        </w:tc>
        <w:tc>
          <w:tcPr>
            <w:tcW w:w="11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550.5</w:t>
            </w:r>
          </w:p>
        </w:tc>
        <w:tc>
          <w:tcPr>
            <w:tcW w:w="11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80.4</w:t>
            </w:r>
          </w:p>
        </w:tc>
        <w:tc>
          <w:tcPr>
            <w:tcW w:w="11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43.3</w:t>
            </w:r>
          </w:p>
        </w:tc>
        <w:tc>
          <w:tcPr>
            <w:tcW w:w="94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96.2</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2,500.8</w:t>
            </w:r>
          </w:p>
        </w:tc>
        <w:tc>
          <w:tcPr>
            <w:tcW w:w="0" w:type="dxa"/>
            <w:vAlign w:val="bottom"/>
          </w:tcPr>
          <w:p>
            <w:pPr>
              <w:spacing w:after="0"/>
              <w:rPr>
                <w:sz w:val="1"/>
                <w:szCs w:val="1"/>
                <w:color w:val="auto"/>
              </w:rPr>
            </w:pPr>
          </w:p>
        </w:tc>
      </w:tr>
      <w:tr>
        <w:trPr>
          <w:trHeight w:val="187"/>
        </w:trPr>
        <w:tc>
          <w:tcPr>
            <w:tcW w:w="270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Costs</w:t>
            </w:r>
          </w:p>
        </w:tc>
        <w:tc>
          <w:tcPr>
            <w:tcW w:w="88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16.3</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325.4</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2,313.3</w:t>
            </w:r>
          </w:p>
        </w:tc>
        <w:tc>
          <w:tcPr>
            <w:tcW w:w="11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1,125.1</w:t>
            </w:r>
          </w:p>
        </w:tc>
        <w:tc>
          <w:tcPr>
            <w:tcW w:w="118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268.1</w:t>
            </w:r>
          </w:p>
        </w:tc>
        <w:tc>
          <w:tcPr>
            <w:tcW w:w="116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160.7</w:t>
            </w:r>
          </w:p>
        </w:tc>
        <w:tc>
          <w:tcPr>
            <w:tcW w:w="94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304.1</w:t>
            </w:r>
          </w:p>
        </w:tc>
        <w:tc>
          <w:tcPr>
            <w:tcW w:w="9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4,513.0</w:t>
            </w:r>
          </w:p>
        </w:tc>
        <w:tc>
          <w:tcPr>
            <w:tcW w:w="0" w:type="dxa"/>
            <w:vAlign w:val="bottom"/>
          </w:tcPr>
          <w:p>
            <w:pPr>
              <w:spacing w:after="0"/>
              <w:rPr>
                <w:sz w:val="1"/>
                <w:szCs w:val="1"/>
                <w:color w:val="auto"/>
              </w:rPr>
            </w:pPr>
          </w:p>
        </w:tc>
      </w:tr>
      <w:tr>
        <w:trPr>
          <w:trHeight w:val="30"/>
        </w:trPr>
        <w:tc>
          <w:tcPr>
            <w:tcW w:w="2700" w:type="dxa"/>
            <w:vAlign w:val="bottom"/>
            <w:tcBorders>
              <w:left w:val="single" w:sz="8" w:color="2360A6"/>
              <w:bottom w:val="single" w:sz="8" w:color="2360A6"/>
              <w:right w:val="single" w:sz="8" w:color="2360A6"/>
            </w:tcBorders>
          </w:tcPr>
          <w:p>
            <w:pPr>
              <w:spacing w:after="0"/>
              <w:rPr>
                <w:sz w:val="2"/>
                <w:szCs w:val="2"/>
                <w:color w:val="auto"/>
              </w:rPr>
            </w:pPr>
          </w:p>
        </w:tc>
        <w:tc>
          <w:tcPr>
            <w:tcW w:w="88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70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Accumulated Depreciation</w:t>
            </w:r>
          </w:p>
        </w:tc>
        <w:tc>
          <w:tcPr>
            <w:tcW w:w="88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(186.0)</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(695.5)</w:t>
            </w:r>
          </w:p>
        </w:tc>
        <w:tc>
          <w:tcPr>
            <w:tcW w:w="11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(551.2)</w:t>
            </w:r>
          </w:p>
        </w:tc>
        <w:tc>
          <w:tcPr>
            <w:tcW w:w="118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(191.9)</w:t>
            </w:r>
          </w:p>
        </w:tc>
        <w:tc>
          <w:tcPr>
            <w:tcW w:w="116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(6.1)</w:t>
            </w:r>
          </w:p>
        </w:tc>
        <w:tc>
          <w:tcPr>
            <w:tcW w:w="94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(135.8)</w:t>
            </w:r>
          </w:p>
        </w:tc>
        <w:tc>
          <w:tcPr>
            <w:tcW w:w="9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(1,766.5)</w:t>
            </w:r>
          </w:p>
        </w:tc>
        <w:tc>
          <w:tcPr>
            <w:tcW w:w="0" w:type="dxa"/>
            <w:vAlign w:val="bottom"/>
          </w:tcPr>
          <w:p>
            <w:pPr>
              <w:spacing w:after="0"/>
              <w:rPr>
                <w:sz w:val="1"/>
                <w:szCs w:val="1"/>
                <w:color w:val="auto"/>
              </w:rPr>
            </w:pPr>
          </w:p>
        </w:tc>
      </w:tr>
      <w:tr>
        <w:trPr>
          <w:trHeight w:val="30"/>
        </w:trPr>
        <w:tc>
          <w:tcPr>
            <w:tcW w:w="2700" w:type="dxa"/>
            <w:vAlign w:val="bottom"/>
            <w:tcBorders>
              <w:left w:val="single" w:sz="8" w:color="2360A6"/>
              <w:bottom w:val="single" w:sz="8" w:color="2360A6"/>
              <w:right w:val="single" w:sz="8" w:color="2360A6"/>
            </w:tcBorders>
          </w:tcPr>
          <w:p>
            <w:pPr>
              <w:spacing w:after="0"/>
              <w:rPr>
                <w:sz w:val="2"/>
                <w:szCs w:val="2"/>
                <w:color w:val="auto"/>
              </w:rPr>
            </w:pPr>
          </w:p>
        </w:tc>
        <w:tc>
          <w:tcPr>
            <w:tcW w:w="88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70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Accumulated Impairment Losses</w:t>
            </w:r>
          </w:p>
        </w:tc>
        <w:tc>
          <w:tcPr>
            <w:tcW w:w="88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(0.8)</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(5.2)</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(146.2)</w:t>
            </w:r>
          </w:p>
        </w:tc>
        <w:tc>
          <w:tcPr>
            <w:tcW w:w="11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(19.1)</w:t>
            </w:r>
          </w:p>
        </w:tc>
        <w:tc>
          <w:tcPr>
            <w:tcW w:w="118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(0.3)</w:t>
            </w:r>
          </w:p>
        </w:tc>
        <w:tc>
          <w:tcPr>
            <w:tcW w:w="116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4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(171.6)</w:t>
            </w:r>
          </w:p>
        </w:tc>
        <w:tc>
          <w:tcPr>
            <w:tcW w:w="0" w:type="dxa"/>
            <w:vAlign w:val="bottom"/>
          </w:tcPr>
          <w:p>
            <w:pPr>
              <w:spacing w:after="0"/>
              <w:rPr>
                <w:sz w:val="1"/>
                <w:szCs w:val="1"/>
                <w:color w:val="auto"/>
              </w:rPr>
            </w:pPr>
          </w:p>
        </w:tc>
      </w:tr>
      <w:tr>
        <w:trPr>
          <w:trHeight w:val="30"/>
        </w:trPr>
        <w:tc>
          <w:tcPr>
            <w:tcW w:w="2700" w:type="dxa"/>
            <w:vAlign w:val="bottom"/>
            <w:tcBorders>
              <w:left w:val="single" w:sz="8" w:color="2360A6"/>
              <w:bottom w:val="single" w:sz="8" w:color="2360A6"/>
              <w:right w:val="single" w:sz="8" w:color="2360A6"/>
            </w:tcBorders>
          </w:tcPr>
          <w:p>
            <w:pPr>
              <w:spacing w:after="0"/>
              <w:rPr>
                <w:sz w:val="2"/>
                <w:szCs w:val="2"/>
                <w:color w:val="auto"/>
              </w:rPr>
            </w:pPr>
          </w:p>
        </w:tc>
        <w:tc>
          <w:tcPr>
            <w:tcW w:w="88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70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Net Book Value as of December 31, 2015</w:t>
            </w:r>
          </w:p>
        </w:tc>
        <w:tc>
          <w:tcPr>
            <w:tcW w:w="88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15.5</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134.2</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1,471.6</w:t>
            </w:r>
          </w:p>
        </w:tc>
        <w:tc>
          <w:tcPr>
            <w:tcW w:w="1180" w:type="dxa"/>
            <w:vAlign w:val="bottom"/>
            <w:tcBorders>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554.8</w:t>
            </w:r>
          </w:p>
        </w:tc>
        <w:tc>
          <w:tcPr>
            <w:tcW w:w="118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75.9</w:t>
            </w:r>
          </w:p>
        </w:tc>
        <w:tc>
          <w:tcPr>
            <w:tcW w:w="116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154.6</w:t>
            </w:r>
          </w:p>
        </w:tc>
        <w:tc>
          <w:tcPr>
            <w:tcW w:w="94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168.3</w:t>
            </w:r>
          </w:p>
        </w:tc>
        <w:tc>
          <w:tcPr>
            <w:tcW w:w="960" w:type="dxa"/>
            <w:vAlign w:val="bottom"/>
            <w:tcBorders>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2,574.9</w:t>
            </w:r>
          </w:p>
        </w:tc>
        <w:tc>
          <w:tcPr>
            <w:tcW w:w="0" w:type="dxa"/>
            <w:vAlign w:val="bottom"/>
          </w:tcPr>
          <w:p>
            <w:pPr>
              <w:spacing w:after="0"/>
              <w:rPr>
                <w:sz w:val="1"/>
                <w:szCs w:val="1"/>
                <w:color w:val="auto"/>
              </w:rPr>
            </w:pPr>
          </w:p>
        </w:tc>
      </w:tr>
      <w:tr>
        <w:trPr>
          <w:trHeight w:val="30"/>
        </w:trPr>
        <w:tc>
          <w:tcPr>
            <w:tcW w:w="2700" w:type="dxa"/>
            <w:vAlign w:val="bottom"/>
            <w:tcBorders>
              <w:left w:val="single" w:sz="8" w:color="2360A6"/>
              <w:bottom w:val="single" w:sz="8" w:color="2360A6"/>
              <w:right w:val="single" w:sz="8" w:color="2360A6"/>
            </w:tcBorders>
          </w:tcPr>
          <w:p>
            <w:pPr>
              <w:spacing w:after="0"/>
              <w:rPr>
                <w:sz w:val="2"/>
                <w:szCs w:val="2"/>
                <w:color w:val="auto"/>
              </w:rPr>
            </w:pPr>
          </w:p>
        </w:tc>
        <w:tc>
          <w:tcPr>
            <w:tcW w:w="88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70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Costs</w:t>
            </w:r>
          </w:p>
        </w:tc>
        <w:tc>
          <w:tcPr>
            <w:tcW w:w="88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17.0</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333.3</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1,985.4</w:t>
            </w:r>
          </w:p>
        </w:tc>
        <w:tc>
          <w:tcPr>
            <w:tcW w:w="11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1,032.0</w:t>
            </w:r>
          </w:p>
        </w:tc>
        <w:tc>
          <w:tcPr>
            <w:tcW w:w="118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277.3</w:t>
            </w:r>
          </w:p>
        </w:tc>
        <w:tc>
          <w:tcPr>
            <w:tcW w:w="116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294.6</w:t>
            </w:r>
          </w:p>
        </w:tc>
        <w:tc>
          <w:tcPr>
            <w:tcW w:w="94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356.8</w:t>
            </w:r>
          </w:p>
        </w:tc>
        <w:tc>
          <w:tcPr>
            <w:tcW w:w="9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4,296.4</w:t>
            </w:r>
          </w:p>
        </w:tc>
        <w:tc>
          <w:tcPr>
            <w:tcW w:w="0" w:type="dxa"/>
            <w:vAlign w:val="bottom"/>
          </w:tcPr>
          <w:p>
            <w:pPr>
              <w:spacing w:after="0"/>
              <w:rPr>
                <w:sz w:val="1"/>
                <w:szCs w:val="1"/>
                <w:color w:val="auto"/>
              </w:rPr>
            </w:pPr>
          </w:p>
        </w:tc>
      </w:tr>
      <w:tr>
        <w:trPr>
          <w:trHeight w:val="30"/>
        </w:trPr>
        <w:tc>
          <w:tcPr>
            <w:tcW w:w="2700" w:type="dxa"/>
            <w:vAlign w:val="bottom"/>
            <w:tcBorders>
              <w:left w:val="single" w:sz="8" w:color="2360A6"/>
              <w:bottom w:val="single" w:sz="8" w:color="2360A6"/>
              <w:right w:val="single" w:sz="8" w:color="2360A6"/>
            </w:tcBorders>
          </w:tcPr>
          <w:p>
            <w:pPr>
              <w:spacing w:after="0"/>
              <w:rPr>
                <w:sz w:val="2"/>
                <w:szCs w:val="2"/>
                <w:color w:val="auto"/>
              </w:rPr>
            </w:pPr>
          </w:p>
        </w:tc>
        <w:tc>
          <w:tcPr>
            <w:tcW w:w="88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70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Accumulated Depreciation</w:t>
            </w:r>
          </w:p>
        </w:tc>
        <w:tc>
          <w:tcPr>
            <w:tcW w:w="88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(189.9)</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(483.0)</w:t>
            </w:r>
          </w:p>
        </w:tc>
        <w:tc>
          <w:tcPr>
            <w:tcW w:w="11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(572.8)</w:t>
            </w:r>
          </w:p>
        </w:tc>
        <w:tc>
          <w:tcPr>
            <w:tcW w:w="118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(211.9)</w:t>
            </w:r>
          </w:p>
        </w:tc>
        <w:tc>
          <w:tcPr>
            <w:tcW w:w="116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4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(147.3)</w:t>
            </w:r>
          </w:p>
        </w:tc>
        <w:tc>
          <w:tcPr>
            <w:tcW w:w="9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(1,604.9)</w:t>
            </w:r>
          </w:p>
        </w:tc>
        <w:tc>
          <w:tcPr>
            <w:tcW w:w="0" w:type="dxa"/>
            <w:vAlign w:val="bottom"/>
          </w:tcPr>
          <w:p>
            <w:pPr>
              <w:spacing w:after="0"/>
              <w:rPr>
                <w:sz w:val="1"/>
                <w:szCs w:val="1"/>
                <w:color w:val="auto"/>
              </w:rPr>
            </w:pPr>
          </w:p>
        </w:tc>
      </w:tr>
      <w:tr>
        <w:trPr>
          <w:trHeight w:val="30"/>
        </w:trPr>
        <w:tc>
          <w:tcPr>
            <w:tcW w:w="2700" w:type="dxa"/>
            <w:vAlign w:val="bottom"/>
            <w:tcBorders>
              <w:left w:val="single" w:sz="8" w:color="2360A6"/>
              <w:bottom w:val="single" w:sz="8" w:color="2360A6"/>
              <w:right w:val="single" w:sz="8" w:color="2360A6"/>
            </w:tcBorders>
          </w:tcPr>
          <w:p>
            <w:pPr>
              <w:spacing w:after="0"/>
              <w:rPr>
                <w:sz w:val="2"/>
                <w:szCs w:val="2"/>
                <w:color w:val="auto"/>
              </w:rPr>
            </w:pPr>
          </w:p>
        </w:tc>
        <w:tc>
          <w:tcPr>
            <w:tcW w:w="88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70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Accumulated Impairment Losses</w:t>
            </w:r>
          </w:p>
        </w:tc>
        <w:tc>
          <w:tcPr>
            <w:tcW w:w="88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(0.6)</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(13.1)</w:t>
            </w:r>
          </w:p>
        </w:tc>
        <w:tc>
          <w:tcPr>
            <w:tcW w:w="8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(162.3)</w:t>
            </w:r>
          </w:p>
        </w:tc>
        <w:tc>
          <w:tcPr>
            <w:tcW w:w="11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(29.6)</w:t>
            </w:r>
          </w:p>
        </w:tc>
        <w:tc>
          <w:tcPr>
            <w:tcW w:w="118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(0.3)</w:t>
            </w:r>
          </w:p>
        </w:tc>
        <w:tc>
          <w:tcPr>
            <w:tcW w:w="116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4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(205.9)</w:t>
            </w:r>
          </w:p>
        </w:tc>
        <w:tc>
          <w:tcPr>
            <w:tcW w:w="0" w:type="dxa"/>
            <w:vAlign w:val="bottom"/>
          </w:tcPr>
          <w:p>
            <w:pPr>
              <w:spacing w:after="0"/>
              <w:rPr>
                <w:sz w:val="1"/>
                <w:szCs w:val="1"/>
                <w:color w:val="auto"/>
              </w:rPr>
            </w:pPr>
          </w:p>
        </w:tc>
      </w:tr>
      <w:tr>
        <w:trPr>
          <w:trHeight w:val="30"/>
        </w:trPr>
        <w:tc>
          <w:tcPr>
            <w:tcW w:w="2700" w:type="dxa"/>
            <w:vAlign w:val="bottom"/>
            <w:tcBorders>
              <w:left w:val="single" w:sz="8" w:color="2360A6"/>
              <w:bottom w:val="single" w:sz="8" w:color="2360A6"/>
              <w:right w:val="single" w:sz="8" w:color="2360A6"/>
            </w:tcBorders>
          </w:tcPr>
          <w:p>
            <w:pPr>
              <w:spacing w:after="0"/>
              <w:rPr>
                <w:sz w:val="2"/>
                <w:szCs w:val="2"/>
                <w:color w:val="auto"/>
              </w:rPr>
            </w:pPr>
          </w:p>
        </w:tc>
        <w:tc>
          <w:tcPr>
            <w:tcW w:w="88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86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80" w:type="dxa"/>
            <w:vAlign w:val="bottom"/>
            <w:tcBorders>
              <w:bottom w:val="single" w:sz="8" w:color="2360A6"/>
              <w:right w:val="single" w:sz="8" w:color="2360A6"/>
            </w:tcBorders>
          </w:tcPr>
          <w:p>
            <w:pPr>
              <w:spacing w:after="0"/>
              <w:rPr>
                <w:sz w:val="2"/>
                <w:szCs w:val="2"/>
                <w:color w:val="auto"/>
              </w:rPr>
            </w:pPr>
          </w:p>
        </w:tc>
        <w:tc>
          <w:tcPr>
            <w:tcW w:w="11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700" w:type="dxa"/>
            <w:vAlign w:val="bottom"/>
            <w:tcBorders>
              <w:left w:val="single" w:sz="8" w:color="2360A6"/>
              <w:right w:val="single" w:sz="8" w:color="2360A6"/>
            </w:tcBorders>
            <w:shd w:val="clear" w:color="auto" w:fill="D2DEEC"/>
          </w:tcPr>
          <w:p>
            <w:pPr>
              <w:ind w:left="40"/>
              <w:spacing w:after="0" w:line="134" w:lineRule="exact"/>
              <w:rPr>
                <w:sz w:val="20"/>
                <w:szCs w:val="20"/>
                <w:color w:val="auto"/>
              </w:rPr>
            </w:pPr>
            <w:r>
              <w:rPr>
                <w:rFonts w:ascii="Arial" w:cs="Arial" w:eastAsia="Arial" w:hAnsi="Arial"/>
                <w:sz w:val="13"/>
                <w:szCs w:val="13"/>
                <w:b w:val="1"/>
                <w:bCs w:val="1"/>
                <w:color w:val="2360A6"/>
              </w:rPr>
              <w:t>NET BOOK VALUE AS OF DECEMBER 31,</w:t>
            </w:r>
          </w:p>
        </w:tc>
        <w:tc>
          <w:tcPr>
            <w:tcW w:w="880" w:type="dxa"/>
            <w:vAlign w:val="bottom"/>
            <w:tcBorders>
              <w:right w:val="single" w:sz="8" w:color="2360A6"/>
            </w:tcBorders>
            <w:vMerge w:val="restart"/>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16.4</w:t>
            </w:r>
          </w:p>
        </w:tc>
        <w:tc>
          <w:tcPr>
            <w:tcW w:w="860" w:type="dxa"/>
            <w:vAlign w:val="bottom"/>
            <w:tcBorders>
              <w:right w:val="single" w:sz="8" w:color="2360A6"/>
            </w:tcBorders>
            <w:vMerge w:val="restart"/>
            <w:shd w:val="clear" w:color="auto" w:fill="D2DEEC"/>
          </w:tcPr>
          <w:p>
            <w:pPr>
              <w:jc w:val="right"/>
              <w:spacing w:after="0"/>
              <w:rPr>
                <w:sz w:val="20"/>
                <w:szCs w:val="20"/>
                <w:color w:val="auto"/>
              </w:rPr>
            </w:pPr>
            <w:r>
              <w:rPr>
                <w:rFonts w:ascii="Arial" w:cs="Arial" w:eastAsia="Arial" w:hAnsi="Arial"/>
                <w:sz w:val="13"/>
                <w:szCs w:val="13"/>
                <w:b w:val="1"/>
                <w:bCs w:val="1"/>
                <w:color w:val="2360A6"/>
              </w:rPr>
              <w:t>130.3</w:t>
            </w:r>
          </w:p>
        </w:tc>
        <w:tc>
          <w:tcPr>
            <w:tcW w:w="860" w:type="dxa"/>
            <w:vAlign w:val="bottom"/>
            <w:tcBorders>
              <w:right w:val="single" w:sz="8" w:color="2360A6"/>
            </w:tcBorders>
            <w:vMerge w:val="restart"/>
            <w:shd w:val="clear" w:color="auto" w:fill="D2DEEC"/>
          </w:tcPr>
          <w:p>
            <w:pPr>
              <w:jc w:val="right"/>
              <w:spacing w:after="0"/>
              <w:rPr>
                <w:sz w:val="20"/>
                <w:szCs w:val="20"/>
                <w:color w:val="auto"/>
              </w:rPr>
            </w:pPr>
            <w:r>
              <w:rPr>
                <w:rFonts w:ascii="Arial" w:cs="Arial" w:eastAsia="Arial" w:hAnsi="Arial"/>
                <w:sz w:val="13"/>
                <w:szCs w:val="13"/>
                <w:b w:val="1"/>
                <w:bCs w:val="1"/>
                <w:color w:val="2360A6"/>
              </w:rPr>
              <w:t>1,340.1</w:t>
            </w:r>
          </w:p>
        </w:tc>
        <w:tc>
          <w:tcPr>
            <w:tcW w:w="1180" w:type="dxa"/>
            <w:vAlign w:val="bottom"/>
            <w:tcBorders>
              <w:right w:val="single" w:sz="8" w:color="2360A6"/>
            </w:tcBorders>
            <w:vMerge w:val="restart"/>
            <w:shd w:val="clear" w:color="auto" w:fill="D2DEEC"/>
          </w:tcPr>
          <w:p>
            <w:pPr>
              <w:jc w:val="right"/>
              <w:spacing w:after="0"/>
              <w:rPr>
                <w:sz w:val="20"/>
                <w:szCs w:val="20"/>
                <w:color w:val="auto"/>
              </w:rPr>
            </w:pPr>
            <w:r>
              <w:rPr>
                <w:rFonts w:ascii="Arial" w:cs="Arial" w:eastAsia="Arial" w:hAnsi="Arial"/>
                <w:sz w:val="13"/>
                <w:szCs w:val="13"/>
                <w:b w:val="1"/>
                <w:bCs w:val="1"/>
                <w:color w:val="2360A6"/>
              </w:rPr>
              <w:t>429.6</w:t>
            </w:r>
          </w:p>
        </w:tc>
        <w:tc>
          <w:tcPr>
            <w:tcW w:w="1180" w:type="dxa"/>
            <w:vAlign w:val="bottom"/>
            <w:tcBorders>
              <w:right w:val="single" w:sz="8" w:color="2360A6"/>
            </w:tcBorders>
            <w:vMerge w:val="restart"/>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65.1</w:t>
            </w:r>
          </w:p>
        </w:tc>
        <w:tc>
          <w:tcPr>
            <w:tcW w:w="1160" w:type="dxa"/>
            <w:vAlign w:val="bottom"/>
            <w:tcBorders>
              <w:right w:val="single" w:sz="8" w:color="2360A6"/>
            </w:tcBorders>
            <w:vMerge w:val="restart"/>
            <w:shd w:val="clear" w:color="auto" w:fill="D2DEEC"/>
          </w:tcPr>
          <w:p>
            <w:pPr>
              <w:jc w:val="right"/>
              <w:ind w:right="37"/>
              <w:spacing w:after="0"/>
              <w:rPr>
                <w:sz w:val="20"/>
                <w:szCs w:val="20"/>
                <w:color w:val="auto"/>
              </w:rPr>
            </w:pPr>
            <w:r>
              <w:rPr>
                <w:rFonts w:ascii="Arial" w:cs="Arial" w:eastAsia="Arial" w:hAnsi="Arial"/>
                <w:sz w:val="13"/>
                <w:szCs w:val="13"/>
                <w:b w:val="1"/>
                <w:bCs w:val="1"/>
                <w:color w:val="2360A6"/>
              </w:rPr>
              <w:t>294.6</w:t>
            </w:r>
          </w:p>
        </w:tc>
        <w:tc>
          <w:tcPr>
            <w:tcW w:w="940" w:type="dxa"/>
            <w:vAlign w:val="bottom"/>
            <w:tcBorders>
              <w:right w:val="single" w:sz="8" w:color="2360A6"/>
            </w:tcBorders>
            <w:vMerge w:val="restart"/>
            <w:shd w:val="clear" w:color="auto" w:fill="D2DEEC"/>
          </w:tcPr>
          <w:p>
            <w:pPr>
              <w:jc w:val="right"/>
              <w:ind w:right="37"/>
              <w:spacing w:after="0"/>
              <w:rPr>
                <w:sz w:val="20"/>
                <w:szCs w:val="20"/>
                <w:color w:val="auto"/>
              </w:rPr>
            </w:pPr>
            <w:r>
              <w:rPr>
                <w:rFonts w:ascii="Arial" w:cs="Arial" w:eastAsia="Arial" w:hAnsi="Arial"/>
                <w:sz w:val="13"/>
                <w:szCs w:val="13"/>
                <w:b w:val="1"/>
                <w:bCs w:val="1"/>
                <w:color w:val="2360A6"/>
              </w:rPr>
              <w:t>209.5</w:t>
            </w:r>
          </w:p>
        </w:tc>
        <w:tc>
          <w:tcPr>
            <w:tcW w:w="960" w:type="dxa"/>
            <w:vAlign w:val="bottom"/>
            <w:tcBorders>
              <w:right w:val="single" w:sz="8" w:color="2360A6"/>
            </w:tcBorders>
            <w:vMerge w:val="restart"/>
            <w:shd w:val="clear" w:color="auto" w:fill="D2DEEC"/>
          </w:tcPr>
          <w:p>
            <w:pPr>
              <w:jc w:val="right"/>
              <w:spacing w:after="0"/>
              <w:rPr>
                <w:sz w:val="20"/>
                <w:szCs w:val="20"/>
                <w:color w:val="auto"/>
              </w:rPr>
            </w:pPr>
            <w:r>
              <w:rPr>
                <w:rFonts w:ascii="Arial" w:cs="Arial" w:eastAsia="Arial" w:hAnsi="Arial"/>
                <w:sz w:val="13"/>
                <w:szCs w:val="13"/>
                <w:b w:val="1"/>
                <w:bCs w:val="1"/>
                <w:color w:val="2360A6"/>
              </w:rPr>
              <w:t>2,485.6</w:t>
            </w:r>
          </w:p>
        </w:tc>
        <w:tc>
          <w:tcPr>
            <w:tcW w:w="0" w:type="dxa"/>
            <w:vAlign w:val="bottom"/>
          </w:tcPr>
          <w:p>
            <w:pPr>
              <w:spacing w:after="0"/>
              <w:rPr>
                <w:sz w:val="1"/>
                <w:szCs w:val="1"/>
                <w:color w:val="auto"/>
              </w:rPr>
            </w:pPr>
          </w:p>
        </w:tc>
      </w:tr>
      <w:tr>
        <w:trPr>
          <w:trHeight w:val="101"/>
        </w:trPr>
        <w:tc>
          <w:tcPr>
            <w:tcW w:w="2700" w:type="dxa"/>
            <w:vAlign w:val="bottom"/>
            <w:tcBorders>
              <w:left w:val="single" w:sz="8" w:color="2360A6"/>
              <w:right w:val="single" w:sz="8" w:color="2360A6"/>
            </w:tcBorders>
            <w:vMerge w:val="restart"/>
            <w:shd w:val="clear" w:color="auto" w:fill="D2DEEC"/>
          </w:tcPr>
          <w:p>
            <w:pPr>
              <w:ind w:left="40"/>
              <w:spacing w:after="0"/>
              <w:rPr>
                <w:sz w:val="20"/>
                <w:szCs w:val="20"/>
                <w:color w:val="auto"/>
              </w:rPr>
            </w:pPr>
            <w:r>
              <w:rPr>
                <w:rFonts w:ascii="Arial" w:cs="Arial" w:eastAsia="Arial" w:hAnsi="Arial"/>
                <w:sz w:val="13"/>
                <w:szCs w:val="13"/>
                <w:b w:val="1"/>
                <w:bCs w:val="1"/>
                <w:color w:val="2360A6"/>
              </w:rPr>
              <w:t>2016</w:t>
            </w:r>
          </w:p>
        </w:tc>
        <w:tc>
          <w:tcPr>
            <w:tcW w:w="880" w:type="dxa"/>
            <w:vAlign w:val="bottom"/>
            <w:tcBorders>
              <w:right w:val="single" w:sz="8" w:color="2360A6"/>
            </w:tcBorders>
            <w:vMerge w:val="continue"/>
            <w:shd w:val="clear" w:color="auto" w:fill="D2DEEC"/>
          </w:tcPr>
          <w:p>
            <w:pPr>
              <w:spacing w:after="0"/>
              <w:rPr>
                <w:sz w:val="8"/>
                <w:szCs w:val="8"/>
                <w:color w:val="auto"/>
              </w:rPr>
            </w:pPr>
          </w:p>
        </w:tc>
        <w:tc>
          <w:tcPr>
            <w:tcW w:w="860" w:type="dxa"/>
            <w:vAlign w:val="bottom"/>
            <w:tcBorders>
              <w:right w:val="single" w:sz="8" w:color="2360A6"/>
            </w:tcBorders>
            <w:vMerge w:val="continue"/>
            <w:shd w:val="clear" w:color="auto" w:fill="D2DEEC"/>
          </w:tcPr>
          <w:p>
            <w:pPr>
              <w:spacing w:after="0"/>
              <w:rPr>
                <w:sz w:val="8"/>
                <w:szCs w:val="8"/>
                <w:color w:val="auto"/>
              </w:rPr>
            </w:pPr>
          </w:p>
        </w:tc>
        <w:tc>
          <w:tcPr>
            <w:tcW w:w="860" w:type="dxa"/>
            <w:vAlign w:val="bottom"/>
            <w:tcBorders>
              <w:right w:val="single" w:sz="8" w:color="2360A6"/>
            </w:tcBorders>
            <w:vMerge w:val="continue"/>
            <w:shd w:val="clear" w:color="auto" w:fill="D2DEEC"/>
          </w:tcPr>
          <w:p>
            <w:pPr>
              <w:spacing w:after="0"/>
              <w:rPr>
                <w:sz w:val="8"/>
                <w:szCs w:val="8"/>
                <w:color w:val="auto"/>
              </w:rPr>
            </w:pPr>
          </w:p>
        </w:tc>
        <w:tc>
          <w:tcPr>
            <w:tcW w:w="1180" w:type="dxa"/>
            <w:vAlign w:val="bottom"/>
            <w:tcBorders>
              <w:right w:val="single" w:sz="8" w:color="2360A6"/>
            </w:tcBorders>
            <w:vMerge w:val="continue"/>
            <w:shd w:val="clear" w:color="auto" w:fill="D2DEEC"/>
          </w:tcPr>
          <w:p>
            <w:pPr>
              <w:spacing w:after="0"/>
              <w:rPr>
                <w:sz w:val="8"/>
                <w:szCs w:val="8"/>
                <w:color w:val="auto"/>
              </w:rPr>
            </w:pPr>
          </w:p>
        </w:tc>
        <w:tc>
          <w:tcPr>
            <w:tcW w:w="1180" w:type="dxa"/>
            <w:vAlign w:val="bottom"/>
            <w:tcBorders>
              <w:right w:val="single" w:sz="8" w:color="2360A6"/>
            </w:tcBorders>
            <w:vMerge w:val="continue"/>
            <w:shd w:val="clear" w:color="auto" w:fill="D2DEEC"/>
          </w:tcPr>
          <w:p>
            <w:pPr>
              <w:spacing w:after="0"/>
              <w:rPr>
                <w:sz w:val="8"/>
                <w:szCs w:val="8"/>
                <w:color w:val="auto"/>
              </w:rPr>
            </w:pPr>
          </w:p>
        </w:tc>
        <w:tc>
          <w:tcPr>
            <w:tcW w:w="1160" w:type="dxa"/>
            <w:vAlign w:val="bottom"/>
            <w:tcBorders>
              <w:right w:val="single" w:sz="8" w:color="2360A6"/>
            </w:tcBorders>
            <w:vMerge w:val="continue"/>
            <w:shd w:val="clear" w:color="auto" w:fill="D2DEEC"/>
          </w:tcPr>
          <w:p>
            <w:pPr>
              <w:spacing w:after="0"/>
              <w:rPr>
                <w:sz w:val="8"/>
                <w:szCs w:val="8"/>
                <w:color w:val="auto"/>
              </w:rPr>
            </w:pPr>
          </w:p>
        </w:tc>
        <w:tc>
          <w:tcPr>
            <w:tcW w:w="940" w:type="dxa"/>
            <w:vAlign w:val="bottom"/>
            <w:tcBorders>
              <w:right w:val="single" w:sz="8" w:color="2360A6"/>
            </w:tcBorders>
            <w:vMerge w:val="continue"/>
            <w:shd w:val="clear" w:color="auto" w:fill="D2DEEC"/>
          </w:tcPr>
          <w:p>
            <w:pPr>
              <w:spacing w:after="0"/>
              <w:rPr>
                <w:sz w:val="8"/>
                <w:szCs w:val="8"/>
                <w:color w:val="auto"/>
              </w:rPr>
            </w:pPr>
          </w:p>
        </w:tc>
        <w:tc>
          <w:tcPr>
            <w:tcW w:w="960" w:type="dxa"/>
            <w:vAlign w:val="bottom"/>
            <w:tcBorders>
              <w:right w:val="single" w:sz="8" w:color="2360A6"/>
            </w:tcBorders>
            <w:vMerge w:val="continue"/>
            <w:shd w:val="clear" w:color="auto" w:fill="D2DEEC"/>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700" w:type="dxa"/>
            <w:vAlign w:val="bottom"/>
            <w:tcBorders>
              <w:left w:val="single" w:sz="8" w:color="2360A6"/>
              <w:bottom w:val="single" w:sz="8" w:color="2360A6"/>
              <w:right w:val="single" w:sz="8" w:color="2360A6"/>
            </w:tcBorders>
            <w:vMerge w:val="continue"/>
            <w:shd w:val="clear" w:color="auto" w:fill="D2DEEC"/>
          </w:tcPr>
          <w:p>
            <w:pPr>
              <w:spacing w:after="0"/>
              <w:rPr>
                <w:sz w:val="6"/>
                <w:szCs w:val="6"/>
                <w:color w:val="auto"/>
              </w:rPr>
            </w:pPr>
          </w:p>
        </w:tc>
        <w:tc>
          <w:tcPr>
            <w:tcW w:w="880" w:type="dxa"/>
            <w:vAlign w:val="bottom"/>
            <w:tcBorders>
              <w:bottom w:val="single" w:sz="8" w:color="2360A6"/>
              <w:right w:val="single" w:sz="8" w:color="2360A6"/>
            </w:tcBorders>
            <w:shd w:val="clear" w:color="auto" w:fill="D2DEEC"/>
          </w:tcPr>
          <w:p>
            <w:pPr>
              <w:spacing w:after="0"/>
              <w:rPr>
                <w:sz w:val="6"/>
                <w:szCs w:val="6"/>
                <w:color w:val="auto"/>
              </w:rPr>
            </w:pPr>
          </w:p>
        </w:tc>
        <w:tc>
          <w:tcPr>
            <w:tcW w:w="860" w:type="dxa"/>
            <w:vAlign w:val="bottom"/>
            <w:tcBorders>
              <w:bottom w:val="single" w:sz="8" w:color="2360A6"/>
              <w:right w:val="single" w:sz="8" w:color="2360A6"/>
            </w:tcBorders>
            <w:shd w:val="clear" w:color="auto" w:fill="D2DEEC"/>
          </w:tcPr>
          <w:p>
            <w:pPr>
              <w:spacing w:after="0"/>
              <w:rPr>
                <w:sz w:val="6"/>
                <w:szCs w:val="6"/>
                <w:color w:val="auto"/>
              </w:rPr>
            </w:pPr>
          </w:p>
        </w:tc>
        <w:tc>
          <w:tcPr>
            <w:tcW w:w="860" w:type="dxa"/>
            <w:vAlign w:val="bottom"/>
            <w:tcBorders>
              <w:bottom w:val="single" w:sz="8" w:color="2360A6"/>
              <w:right w:val="single" w:sz="8" w:color="2360A6"/>
            </w:tcBorders>
            <w:shd w:val="clear" w:color="auto" w:fill="D2DEEC"/>
          </w:tcPr>
          <w:p>
            <w:pPr>
              <w:spacing w:after="0"/>
              <w:rPr>
                <w:sz w:val="6"/>
                <w:szCs w:val="6"/>
                <w:color w:val="auto"/>
              </w:rPr>
            </w:pPr>
          </w:p>
        </w:tc>
        <w:tc>
          <w:tcPr>
            <w:tcW w:w="1180" w:type="dxa"/>
            <w:vAlign w:val="bottom"/>
            <w:tcBorders>
              <w:bottom w:val="single" w:sz="8" w:color="2360A6"/>
              <w:right w:val="single" w:sz="8" w:color="2360A6"/>
            </w:tcBorders>
            <w:shd w:val="clear" w:color="auto" w:fill="D2DEEC"/>
          </w:tcPr>
          <w:p>
            <w:pPr>
              <w:spacing w:after="0"/>
              <w:rPr>
                <w:sz w:val="6"/>
                <w:szCs w:val="6"/>
                <w:color w:val="auto"/>
              </w:rPr>
            </w:pPr>
          </w:p>
        </w:tc>
        <w:tc>
          <w:tcPr>
            <w:tcW w:w="1180" w:type="dxa"/>
            <w:vAlign w:val="bottom"/>
            <w:tcBorders>
              <w:bottom w:val="single" w:sz="8" w:color="2360A6"/>
              <w:right w:val="single" w:sz="8" w:color="2360A6"/>
            </w:tcBorders>
            <w:shd w:val="clear" w:color="auto" w:fill="D2DEEC"/>
          </w:tcPr>
          <w:p>
            <w:pPr>
              <w:spacing w:after="0"/>
              <w:rPr>
                <w:sz w:val="6"/>
                <w:szCs w:val="6"/>
                <w:color w:val="auto"/>
              </w:rPr>
            </w:pPr>
          </w:p>
        </w:tc>
        <w:tc>
          <w:tcPr>
            <w:tcW w:w="1160" w:type="dxa"/>
            <w:vAlign w:val="bottom"/>
            <w:tcBorders>
              <w:bottom w:val="single" w:sz="8" w:color="2360A6"/>
              <w:right w:val="single" w:sz="8" w:color="2360A6"/>
            </w:tcBorders>
            <w:shd w:val="clear" w:color="auto" w:fill="D2DEEC"/>
          </w:tcPr>
          <w:p>
            <w:pPr>
              <w:spacing w:after="0"/>
              <w:rPr>
                <w:sz w:val="6"/>
                <w:szCs w:val="6"/>
                <w:color w:val="auto"/>
              </w:rPr>
            </w:pPr>
          </w:p>
        </w:tc>
        <w:tc>
          <w:tcPr>
            <w:tcW w:w="940" w:type="dxa"/>
            <w:vAlign w:val="bottom"/>
            <w:tcBorders>
              <w:bottom w:val="single" w:sz="8" w:color="2360A6"/>
              <w:right w:val="single" w:sz="8" w:color="2360A6"/>
            </w:tcBorders>
            <w:shd w:val="clear" w:color="auto" w:fill="D2DEEC"/>
          </w:tcPr>
          <w:p>
            <w:pPr>
              <w:spacing w:after="0"/>
              <w:rPr>
                <w:sz w:val="6"/>
                <w:szCs w:val="6"/>
                <w:color w:val="auto"/>
              </w:rPr>
            </w:pPr>
          </w:p>
        </w:tc>
        <w:tc>
          <w:tcPr>
            <w:tcW w:w="960" w:type="dxa"/>
            <w:vAlign w:val="bottom"/>
            <w:tcBorders>
              <w:bottom w:val="single" w:sz="8" w:color="2360A6"/>
              <w:right w:val="single" w:sz="8" w:color="2360A6"/>
            </w:tcBorders>
            <w:shd w:val="clear" w:color="auto" w:fill="D2DEEC"/>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694" w:right="579" w:bottom="1440" w:gutter="0" w:footer="0" w:header="0"/>
        </w:sectPr>
      </w:pPr>
    </w:p>
    <w:bookmarkStart w:id="117" w:name="page118"/>
    <w:bookmarkEnd w:id="117"/>
    <w:p>
      <w:pPr>
        <w:ind w:left="80"/>
        <w:spacing w:after="0"/>
        <w:rPr>
          <w:sz w:val="20"/>
          <w:szCs w:val="20"/>
          <w:color w:val="auto"/>
        </w:rPr>
      </w:pPr>
      <w:r>
        <w:rPr>
          <w:rFonts w:ascii="Arial" w:cs="Arial" w:eastAsia="Arial" w:hAnsi="Arial"/>
          <w:sz w:val="16"/>
          <w:szCs w:val="16"/>
          <w:color w:val="231F20"/>
        </w:rPr>
        <w:t>Changes in net property, plant and equipment break down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87630</wp:posOffset>
            </wp:positionV>
            <wp:extent cx="6826250" cy="5754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26250" cy="5754370"/>
                    </a:xfrm>
                    <a:prstGeom prst="rect">
                      <a:avLst/>
                    </a:prstGeom>
                    <a:noFill/>
                  </pic:spPr>
                </pic:pic>
              </a:graphicData>
            </a:graphic>
          </wp:anchor>
        </w:drawing>
      </w:r>
    </w:p>
    <w:p>
      <w:pPr>
        <w:spacing w:after="0" w:line="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2380" w:type="dxa"/>
            <w:vAlign w:val="bottom"/>
            <w:tcBorders>
              <w:top w:val="single" w:sz="8" w:color="2360A6"/>
              <w:right w:val="single" w:sz="8" w:color="2360A6"/>
            </w:tcBorders>
          </w:tcPr>
          <w:p>
            <w:pPr>
              <w:spacing w:after="0"/>
              <w:rPr>
                <w:sz w:val="19"/>
                <w:szCs w:val="19"/>
                <w:color w:val="auto"/>
              </w:rPr>
            </w:pPr>
          </w:p>
        </w:tc>
        <w:tc>
          <w:tcPr>
            <w:tcW w:w="980" w:type="dxa"/>
            <w:vAlign w:val="bottom"/>
            <w:tcBorders>
              <w:top w:val="single" w:sz="8" w:color="2360A6"/>
              <w:right w:val="single" w:sz="8" w:color="2360A6"/>
            </w:tcBorders>
          </w:tcPr>
          <w:p>
            <w:pPr>
              <w:spacing w:after="0"/>
              <w:rPr>
                <w:sz w:val="19"/>
                <w:szCs w:val="19"/>
                <w:color w:val="auto"/>
              </w:rPr>
            </w:pPr>
          </w:p>
        </w:tc>
        <w:tc>
          <w:tcPr>
            <w:tcW w:w="860" w:type="dxa"/>
            <w:vAlign w:val="bottom"/>
            <w:tcBorders>
              <w:top w:val="single" w:sz="8" w:color="2360A6"/>
              <w:right w:val="single" w:sz="8" w:color="2360A6"/>
            </w:tcBorders>
          </w:tcPr>
          <w:p>
            <w:pPr>
              <w:spacing w:after="0"/>
              <w:rPr>
                <w:sz w:val="19"/>
                <w:szCs w:val="19"/>
                <w:color w:val="auto"/>
              </w:rPr>
            </w:pPr>
          </w:p>
        </w:tc>
        <w:tc>
          <w:tcPr>
            <w:tcW w:w="980" w:type="dxa"/>
            <w:vAlign w:val="bottom"/>
            <w:tcBorders>
              <w:top w:val="single" w:sz="8" w:color="2360A6"/>
              <w:right w:val="single" w:sz="8" w:color="2360A6"/>
            </w:tcBorders>
          </w:tcPr>
          <w:p>
            <w:pPr>
              <w:spacing w:after="0"/>
              <w:rPr>
                <w:sz w:val="19"/>
                <w:szCs w:val="19"/>
                <w:color w:val="auto"/>
              </w:rPr>
            </w:pPr>
          </w:p>
        </w:tc>
        <w:tc>
          <w:tcPr>
            <w:tcW w:w="130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Machinery</w:t>
            </w:r>
          </w:p>
        </w:tc>
        <w:tc>
          <w:tcPr>
            <w:tcW w:w="1080" w:type="dxa"/>
            <w:vAlign w:val="bottom"/>
            <w:tcBorders>
              <w:top w:val="single" w:sz="8" w:color="2360A6"/>
              <w:right w:val="single" w:sz="8" w:color="2360A6"/>
            </w:tcBorders>
          </w:tcPr>
          <w:p>
            <w:pPr>
              <w:spacing w:after="0"/>
              <w:rPr>
                <w:sz w:val="19"/>
                <w:szCs w:val="19"/>
                <w:color w:val="auto"/>
              </w:rPr>
            </w:pPr>
          </w:p>
        </w:tc>
        <w:tc>
          <w:tcPr>
            <w:tcW w:w="1300" w:type="dxa"/>
            <w:vAlign w:val="bottom"/>
            <w:tcBorders>
              <w:top w:val="single" w:sz="8" w:color="2360A6"/>
              <w:right w:val="single" w:sz="8" w:color="2360A6"/>
            </w:tcBorders>
          </w:tcPr>
          <w:p>
            <w:pPr>
              <w:spacing w:after="0"/>
              <w:rPr>
                <w:sz w:val="19"/>
                <w:szCs w:val="19"/>
                <w:color w:val="auto"/>
              </w:rPr>
            </w:pPr>
          </w:p>
        </w:tc>
        <w:tc>
          <w:tcPr>
            <w:tcW w:w="940" w:type="dxa"/>
            <w:vAlign w:val="bottom"/>
            <w:tcBorders>
              <w:top w:val="single" w:sz="8" w:color="2360A6"/>
              <w:right w:val="single" w:sz="8" w:color="2360A6"/>
            </w:tcBorders>
          </w:tcPr>
          <w:p>
            <w:pPr>
              <w:spacing w:after="0"/>
              <w:rPr>
                <w:sz w:val="19"/>
                <w:szCs w:val="19"/>
                <w:color w:val="auto"/>
              </w:rPr>
            </w:pPr>
          </w:p>
        </w:tc>
        <w:tc>
          <w:tcPr>
            <w:tcW w:w="920" w:type="dxa"/>
            <w:vAlign w:val="bottom"/>
            <w:tcBorders>
              <w:top w:val="single" w:sz="8" w:color="2360A6"/>
            </w:tcBorders>
          </w:tcPr>
          <w:p>
            <w:pPr>
              <w:spacing w:after="0"/>
              <w:rPr>
                <w:sz w:val="19"/>
                <w:szCs w:val="19"/>
                <w:color w:val="auto"/>
              </w:rPr>
            </w:pPr>
          </w:p>
        </w:tc>
        <w:tc>
          <w:tcPr>
            <w:tcW w:w="20" w:type="dxa"/>
            <w:vAlign w:val="bottom"/>
            <w:tcBorders>
              <w:top w:val="single" w:sz="8" w:color="2360A6"/>
            </w:tcBorders>
          </w:tcPr>
          <w:p>
            <w:pPr>
              <w:spacing w:after="0"/>
              <w:rPr>
                <w:sz w:val="19"/>
                <w:szCs w:val="19"/>
                <w:color w:val="auto"/>
              </w:rPr>
            </w:pPr>
          </w:p>
        </w:tc>
      </w:tr>
      <w:tr>
        <w:trPr>
          <w:trHeight w:val="135"/>
        </w:trPr>
        <w:tc>
          <w:tcPr>
            <w:tcW w:w="2380" w:type="dxa"/>
            <w:vAlign w:val="bottom"/>
            <w:tcBorders>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860" w:type="dxa"/>
            <w:vAlign w:val="bottom"/>
            <w:tcBorders>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1300" w:type="dxa"/>
            <w:vAlign w:val="bottom"/>
            <w:tcBorders>
              <w:right w:val="single" w:sz="8" w:color="2360A6"/>
            </w:tcBorders>
          </w:tcPr>
          <w:p>
            <w:pPr>
              <w:jc w:val="right"/>
              <w:ind w:right="77"/>
              <w:spacing w:after="0" w:line="135" w:lineRule="exact"/>
              <w:rPr>
                <w:sz w:val="20"/>
                <w:szCs w:val="20"/>
                <w:color w:val="auto"/>
              </w:rPr>
            </w:pPr>
            <w:r>
              <w:rPr>
                <w:rFonts w:ascii="Arial" w:cs="Arial" w:eastAsia="Arial" w:hAnsi="Arial"/>
                <w:sz w:val="13"/>
                <w:szCs w:val="13"/>
                <w:b w:val="1"/>
                <w:bCs w:val="1"/>
                <w:color w:val="2360A6"/>
              </w:rPr>
              <w:t>and</w:t>
            </w:r>
          </w:p>
        </w:tc>
        <w:tc>
          <w:tcPr>
            <w:tcW w:w="1080" w:type="dxa"/>
            <w:vAlign w:val="bottom"/>
            <w:tcBorders>
              <w:right w:val="single" w:sz="8" w:color="2360A6"/>
            </w:tcBorders>
          </w:tcPr>
          <w:p>
            <w:pPr>
              <w:jc w:val="right"/>
              <w:ind w:right="77"/>
              <w:spacing w:after="0" w:line="135" w:lineRule="exact"/>
              <w:rPr>
                <w:sz w:val="20"/>
                <w:szCs w:val="20"/>
                <w:color w:val="auto"/>
              </w:rPr>
            </w:pPr>
            <w:r>
              <w:rPr>
                <w:rFonts w:ascii="Arial" w:cs="Arial" w:eastAsia="Arial" w:hAnsi="Arial"/>
                <w:sz w:val="13"/>
                <w:szCs w:val="13"/>
                <w:b w:val="1"/>
                <w:bCs w:val="1"/>
                <w:color w:val="2360A6"/>
              </w:rPr>
              <w:t>Office Fixtures</w:t>
            </w:r>
          </w:p>
        </w:tc>
        <w:tc>
          <w:tcPr>
            <w:tcW w:w="1300" w:type="dxa"/>
            <w:vAlign w:val="bottom"/>
            <w:tcBorders>
              <w:right w:val="single" w:sz="8" w:color="2360A6"/>
            </w:tcBorders>
          </w:tcPr>
          <w:p>
            <w:pPr>
              <w:jc w:val="right"/>
              <w:ind w:right="77"/>
              <w:spacing w:after="0" w:line="135" w:lineRule="exact"/>
              <w:rPr>
                <w:sz w:val="20"/>
                <w:szCs w:val="20"/>
                <w:color w:val="auto"/>
              </w:rPr>
            </w:pPr>
            <w:r>
              <w:rPr>
                <w:rFonts w:ascii="Arial" w:cs="Arial" w:eastAsia="Arial" w:hAnsi="Arial"/>
                <w:sz w:val="13"/>
                <w:szCs w:val="13"/>
                <w:b w:val="1"/>
                <w:bCs w:val="1"/>
                <w:color w:val="2360A6"/>
              </w:rPr>
              <w:t>Assets under</w:t>
            </w:r>
          </w:p>
        </w:tc>
        <w:tc>
          <w:tcPr>
            <w:tcW w:w="940" w:type="dxa"/>
            <w:vAlign w:val="bottom"/>
            <w:tcBorders>
              <w:right w:val="single" w:sz="8" w:color="2360A6"/>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8"/>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In millions of Euro</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Land</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Buildings</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Vessels</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Equipment</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and Furniture</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Construction</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Other</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Total</w:t>
            </w:r>
          </w:p>
        </w:tc>
        <w:tc>
          <w:tcPr>
            <w:tcW w:w="20" w:type="dxa"/>
            <w:vAlign w:val="bottom"/>
            <w:tcBorders>
              <w:bottom w:val="single" w:sz="8" w:color="2360A6"/>
            </w:tcBorders>
          </w:tcPr>
          <w:p>
            <w:pPr>
              <w:spacing w:after="0"/>
              <w:rPr>
                <w:sz w:val="15"/>
                <w:szCs w:val="15"/>
                <w:color w:val="auto"/>
              </w:rPr>
            </w:pPr>
          </w:p>
        </w:tc>
      </w:tr>
      <w:tr>
        <w:trPr>
          <w:trHeight w:val="140"/>
        </w:trPr>
        <w:tc>
          <w:tcPr>
            <w:tcW w:w="2380" w:type="dxa"/>
            <w:vAlign w:val="bottom"/>
            <w:tcBorders>
              <w:right w:val="single" w:sz="8" w:color="2360A6"/>
            </w:tcBorders>
          </w:tcPr>
          <w:p>
            <w:pPr>
              <w:ind w:left="40"/>
              <w:spacing w:after="0" w:line="140" w:lineRule="exact"/>
              <w:rPr>
                <w:sz w:val="20"/>
                <w:szCs w:val="20"/>
                <w:color w:val="auto"/>
              </w:rPr>
            </w:pPr>
            <w:r>
              <w:rPr>
                <w:rFonts w:ascii="Arial" w:cs="Arial" w:eastAsia="Arial" w:hAnsi="Arial"/>
                <w:sz w:val="13"/>
                <w:szCs w:val="13"/>
                <w:b w:val="1"/>
                <w:bCs w:val="1"/>
                <w:color w:val="2360A6"/>
              </w:rPr>
              <w:t>Net Book Value as of</w:t>
            </w:r>
          </w:p>
        </w:tc>
        <w:tc>
          <w:tcPr>
            <w:tcW w:w="980" w:type="dxa"/>
            <w:vAlign w:val="bottom"/>
            <w:tcBorders>
              <w:right w:val="single" w:sz="8" w:color="2360A6"/>
            </w:tcBorders>
          </w:tcPr>
          <w:p>
            <w:pPr>
              <w:spacing w:after="0"/>
              <w:rPr>
                <w:sz w:val="12"/>
                <w:szCs w:val="12"/>
                <w:color w:val="auto"/>
              </w:rPr>
            </w:pPr>
          </w:p>
        </w:tc>
        <w:tc>
          <w:tcPr>
            <w:tcW w:w="860" w:type="dxa"/>
            <w:vAlign w:val="bottom"/>
            <w:tcBorders>
              <w:right w:val="single" w:sz="8" w:color="2360A6"/>
            </w:tcBorders>
          </w:tcPr>
          <w:p>
            <w:pPr>
              <w:spacing w:after="0"/>
              <w:rPr>
                <w:sz w:val="12"/>
                <w:szCs w:val="12"/>
                <w:color w:val="auto"/>
              </w:rPr>
            </w:pPr>
          </w:p>
        </w:tc>
        <w:tc>
          <w:tcPr>
            <w:tcW w:w="980" w:type="dxa"/>
            <w:vAlign w:val="bottom"/>
            <w:tcBorders>
              <w:right w:val="single" w:sz="8" w:color="2360A6"/>
            </w:tcBorders>
          </w:tcPr>
          <w:p>
            <w:pPr>
              <w:spacing w:after="0"/>
              <w:rPr>
                <w:sz w:val="12"/>
                <w:szCs w:val="12"/>
                <w:color w:val="auto"/>
              </w:rPr>
            </w:pPr>
          </w:p>
        </w:tc>
        <w:tc>
          <w:tcPr>
            <w:tcW w:w="1300" w:type="dxa"/>
            <w:vAlign w:val="bottom"/>
            <w:tcBorders>
              <w:right w:val="single" w:sz="8" w:color="2360A6"/>
            </w:tcBorders>
          </w:tcPr>
          <w:p>
            <w:pPr>
              <w:spacing w:after="0"/>
              <w:rPr>
                <w:sz w:val="12"/>
                <w:szCs w:val="12"/>
                <w:color w:val="auto"/>
              </w:rPr>
            </w:pPr>
          </w:p>
        </w:tc>
        <w:tc>
          <w:tcPr>
            <w:tcW w:w="1080" w:type="dxa"/>
            <w:vAlign w:val="bottom"/>
            <w:tcBorders>
              <w:right w:val="single" w:sz="8" w:color="2360A6"/>
            </w:tcBorders>
          </w:tcPr>
          <w:p>
            <w:pPr>
              <w:spacing w:after="0"/>
              <w:rPr>
                <w:sz w:val="12"/>
                <w:szCs w:val="12"/>
                <w:color w:val="auto"/>
              </w:rPr>
            </w:pPr>
          </w:p>
        </w:tc>
        <w:tc>
          <w:tcPr>
            <w:tcW w:w="1300" w:type="dxa"/>
            <w:vAlign w:val="bottom"/>
            <w:tcBorders>
              <w:right w:val="single" w:sz="8" w:color="2360A6"/>
            </w:tcBorders>
          </w:tcPr>
          <w:p>
            <w:pPr>
              <w:spacing w:after="0"/>
              <w:rPr>
                <w:sz w:val="12"/>
                <w:szCs w:val="12"/>
                <w:color w:val="auto"/>
              </w:rPr>
            </w:pPr>
          </w:p>
        </w:tc>
        <w:tc>
          <w:tcPr>
            <w:tcW w:w="940" w:type="dxa"/>
            <w:vAlign w:val="bottom"/>
            <w:tcBorders>
              <w:right w:val="single" w:sz="8" w:color="2360A6"/>
            </w:tcBorders>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January 1, 2014</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28.5</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127.7</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1,312.0</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421.9</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75.5</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286.1</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101.1</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2,352.8</w:t>
            </w:r>
          </w:p>
        </w:tc>
        <w:tc>
          <w:tcPr>
            <w:tcW w:w="20" w:type="dxa"/>
            <w:vAlign w:val="bottom"/>
            <w:tcBorders>
              <w:bottom w:val="single" w:sz="8" w:color="2360A6"/>
            </w:tcBorders>
          </w:tcPr>
          <w:p>
            <w:pPr>
              <w:spacing w:after="0"/>
              <w:rPr>
                <w:sz w:val="15"/>
                <w:szCs w:val="15"/>
                <w:color w:val="auto"/>
              </w:rPr>
            </w:pPr>
          </w:p>
        </w:tc>
      </w:tr>
      <w:tr>
        <w:trPr>
          <w:trHeight w:val="156"/>
        </w:trPr>
        <w:tc>
          <w:tcPr>
            <w:tcW w:w="23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Additions - Acquisitions - Internal</w:t>
            </w:r>
          </w:p>
        </w:tc>
        <w:tc>
          <w:tcPr>
            <w:tcW w:w="98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940" w:type="dxa"/>
            <w:vAlign w:val="bottom"/>
            <w:tcBorders>
              <w:right w:val="single" w:sz="8" w:color="2360A6"/>
            </w:tcBorders>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Developments</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2.4</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5.6</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112.6</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63.9</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22.2</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112.2</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13.0</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331.9</w:t>
            </w:r>
          </w:p>
        </w:tc>
        <w:tc>
          <w:tcPr>
            <w:tcW w:w="20" w:type="dxa"/>
            <w:vAlign w:val="bottom"/>
            <w:tcBorders>
              <w:bottom w:val="single" w:sz="8" w:color="2360A6"/>
            </w:tcBorders>
          </w:tcPr>
          <w:p>
            <w:pPr>
              <w:spacing w:after="0"/>
              <w:rPr>
                <w:sz w:val="14"/>
                <w:szCs w:val="14"/>
                <w:color w:val="auto"/>
              </w:rPr>
            </w:pPr>
          </w:p>
        </w:tc>
      </w:tr>
      <w:tr>
        <w:trPr>
          <w:trHeight w:val="156"/>
        </w:trPr>
        <w:tc>
          <w:tcPr>
            <w:tcW w:w="23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Additions - Business</w:t>
            </w:r>
          </w:p>
        </w:tc>
        <w:tc>
          <w:tcPr>
            <w:tcW w:w="98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940" w:type="dxa"/>
            <w:vAlign w:val="bottom"/>
            <w:tcBorders>
              <w:right w:val="single" w:sz="8" w:color="2360A6"/>
            </w:tcBorders>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Combinations</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0.3</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0.3</w:t>
            </w:r>
          </w:p>
        </w:tc>
        <w:tc>
          <w:tcPr>
            <w:tcW w:w="20" w:type="dxa"/>
            <w:vAlign w:val="bottom"/>
            <w:tcBorders>
              <w:bottom w:val="single" w:sz="8" w:color="2360A6"/>
            </w:tcBorders>
          </w:tcPr>
          <w:p>
            <w:pPr>
              <w:spacing w:after="0"/>
              <w:rPr>
                <w:sz w:val="14"/>
                <w:szCs w:val="14"/>
                <w:color w:val="auto"/>
              </w:rPr>
            </w:pPr>
          </w:p>
        </w:tc>
      </w:tr>
      <w:tr>
        <w:trPr>
          <w:trHeight w:val="210"/>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Disposals - Write-off</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(1.4)</w:t>
            </w:r>
          </w:p>
        </w:tc>
        <w:tc>
          <w:tcPr>
            <w:tcW w:w="9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(60.4)</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(26.4)</w:t>
            </w:r>
          </w:p>
        </w:tc>
        <w:tc>
          <w:tcPr>
            <w:tcW w:w="10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(1.3)</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(0.1)</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(1.0)</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(90.6)</w:t>
            </w:r>
          </w:p>
        </w:tc>
        <w:tc>
          <w:tcPr>
            <w:tcW w:w="20" w:type="dxa"/>
            <w:vAlign w:val="bottom"/>
            <w:tcBorders>
              <w:bottom w:val="single" w:sz="8" w:color="2360A6"/>
            </w:tcBorders>
          </w:tcPr>
          <w:p>
            <w:pPr>
              <w:spacing w:after="0"/>
              <w:rPr>
                <w:sz w:val="18"/>
                <w:szCs w:val="18"/>
                <w:color w:val="auto"/>
              </w:rPr>
            </w:pPr>
          </w:p>
        </w:tc>
      </w:tr>
      <w:tr>
        <w:trPr>
          <w:trHeight w:val="156"/>
        </w:trPr>
        <w:tc>
          <w:tcPr>
            <w:tcW w:w="23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Depreciation Expense for the</w:t>
            </w:r>
          </w:p>
        </w:tc>
        <w:tc>
          <w:tcPr>
            <w:tcW w:w="98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940" w:type="dxa"/>
            <w:vAlign w:val="bottom"/>
            <w:tcBorders>
              <w:right w:val="single" w:sz="8" w:color="2360A6"/>
            </w:tcBorders>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Year</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(22.4)</w:t>
            </w:r>
          </w:p>
        </w:tc>
        <w:tc>
          <w:tcPr>
            <w:tcW w:w="9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(104.7)</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(71.9)</w:t>
            </w:r>
          </w:p>
        </w:tc>
        <w:tc>
          <w:tcPr>
            <w:tcW w:w="10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(25.9)</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(16.1)</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(241.0)</w:t>
            </w:r>
          </w:p>
        </w:tc>
        <w:tc>
          <w:tcPr>
            <w:tcW w:w="20" w:type="dxa"/>
            <w:vAlign w:val="bottom"/>
            <w:tcBorders>
              <w:bottom w:val="single" w:sz="8" w:color="2360A6"/>
            </w:tcBorders>
          </w:tcPr>
          <w:p>
            <w:pPr>
              <w:spacing w:after="0"/>
              <w:rPr>
                <w:sz w:val="14"/>
                <w:szCs w:val="14"/>
                <w:color w:val="auto"/>
              </w:rPr>
            </w:pPr>
          </w:p>
        </w:tc>
      </w:tr>
      <w:tr>
        <w:trPr>
          <w:trHeight w:val="210"/>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Impairment Losses</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(3.3)</w:t>
            </w:r>
          </w:p>
        </w:tc>
        <w:tc>
          <w:tcPr>
            <w:tcW w:w="9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(10.6)</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(2.5)</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(6.4)</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(22.8)</w:t>
            </w:r>
          </w:p>
        </w:tc>
        <w:tc>
          <w:tcPr>
            <w:tcW w:w="20" w:type="dxa"/>
            <w:vAlign w:val="bottom"/>
            <w:tcBorders>
              <w:bottom w:val="single" w:sz="8" w:color="2360A6"/>
            </w:tcBorders>
          </w:tcPr>
          <w:p>
            <w:pPr>
              <w:spacing w:after="0"/>
              <w:rPr>
                <w:sz w:val="18"/>
                <w:szCs w:val="18"/>
                <w:color w:val="auto"/>
              </w:rPr>
            </w:pPr>
          </w:p>
        </w:tc>
      </w:tr>
      <w:tr>
        <w:trPr>
          <w:trHeight w:val="156"/>
        </w:trPr>
        <w:tc>
          <w:tcPr>
            <w:tcW w:w="23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Net Foreign Exchange</w:t>
            </w:r>
          </w:p>
        </w:tc>
        <w:tc>
          <w:tcPr>
            <w:tcW w:w="98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940" w:type="dxa"/>
            <w:vAlign w:val="bottom"/>
            <w:tcBorders>
              <w:right w:val="single" w:sz="8" w:color="2360A6"/>
            </w:tcBorders>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Differences</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2.4</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5.0</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124.0</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20.9</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2.4</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10.7</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1.8</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167.2</w:t>
            </w:r>
          </w:p>
        </w:tc>
        <w:tc>
          <w:tcPr>
            <w:tcW w:w="20" w:type="dxa"/>
            <w:vAlign w:val="bottom"/>
            <w:tcBorders>
              <w:bottom w:val="single" w:sz="8" w:color="2360A6"/>
            </w:tcBorders>
          </w:tcPr>
          <w:p>
            <w:pPr>
              <w:spacing w:after="0"/>
              <w:rPr>
                <w:sz w:val="14"/>
                <w:szCs w:val="14"/>
                <w:color w:val="auto"/>
              </w:rPr>
            </w:pPr>
          </w:p>
        </w:tc>
      </w:tr>
      <w:tr>
        <w:trPr>
          <w:trHeight w:val="210"/>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Other </w:t>
            </w:r>
            <w:r>
              <w:rPr>
                <w:rFonts w:ascii="Arial" w:cs="Arial" w:eastAsia="Arial" w:hAnsi="Arial"/>
                <w:sz w:val="8"/>
                <w:szCs w:val="8"/>
                <w:color w:val="231F20"/>
              </w:rPr>
              <w:t>(1)</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0.6</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192.9</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19.5</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144.6</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7.5</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(359.2)</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(2.9)</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3.0</w:t>
            </w:r>
          </w:p>
        </w:tc>
        <w:tc>
          <w:tcPr>
            <w:tcW w:w="20" w:type="dxa"/>
            <w:vAlign w:val="bottom"/>
            <w:tcBorders>
              <w:bottom w:val="single" w:sz="8" w:color="2360A6"/>
            </w:tcBorders>
          </w:tcPr>
          <w:p>
            <w:pPr>
              <w:spacing w:after="0"/>
              <w:rPr>
                <w:sz w:val="18"/>
                <w:szCs w:val="18"/>
                <w:color w:val="auto"/>
              </w:rPr>
            </w:pPr>
          </w:p>
        </w:tc>
      </w:tr>
      <w:tr>
        <w:trPr>
          <w:trHeight w:val="140"/>
        </w:trPr>
        <w:tc>
          <w:tcPr>
            <w:tcW w:w="2380" w:type="dxa"/>
            <w:vAlign w:val="bottom"/>
            <w:tcBorders>
              <w:right w:val="single" w:sz="8" w:color="2360A6"/>
            </w:tcBorders>
          </w:tcPr>
          <w:p>
            <w:pPr>
              <w:ind w:left="40"/>
              <w:spacing w:after="0" w:line="140" w:lineRule="exact"/>
              <w:rPr>
                <w:sz w:val="20"/>
                <w:szCs w:val="20"/>
                <w:color w:val="auto"/>
              </w:rPr>
            </w:pPr>
            <w:r>
              <w:rPr>
                <w:rFonts w:ascii="Arial" w:cs="Arial" w:eastAsia="Arial" w:hAnsi="Arial"/>
                <w:sz w:val="13"/>
                <w:szCs w:val="13"/>
                <w:b w:val="1"/>
                <w:bCs w:val="1"/>
                <w:color w:val="2360A6"/>
              </w:rPr>
              <w:t>Net Book Value as of December 31,</w:t>
            </w:r>
          </w:p>
        </w:tc>
        <w:tc>
          <w:tcPr>
            <w:tcW w:w="980" w:type="dxa"/>
            <w:vAlign w:val="bottom"/>
            <w:tcBorders>
              <w:right w:val="single" w:sz="8" w:color="2360A6"/>
            </w:tcBorders>
          </w:tcPr>
          <w:p>
            <w:pPr>
              <w:spacing w:after="0"/>
              <w:rPr>
                <w:sz w:val="12"/>
                <w:szCs w:val="12"/>
                <w:color w:val="auto"/>
              </w:rPr>
            </w:pPr>
          </w:p>
        </w:tc>
        <w:tc>
          <w:tcPr>
            <w:tcW w:w="860" w:type="dxa"/>
            <w:vAlign w:val="bottom"/>
            <w:tcBorders>
              <w:right w:val="single" w:sz="8" w:color="2360A6"/>
            </w:tcBorders>
          </w:tcPr>
          <w:p>
            <w:pPr>
              <w:spacing w:after="0"/>
              <w:rPr>
                <w:sz w:val="12"/>
                <w:szCs w:val="12"/>
                <w:color w:val="auto"/>
              </w:rPr>
            </w:pPr>
          </w:p>
        </w:tc>
        <w:tc>
          <w:tcPr>
            <w:tcW w:w="980" w:type="dxa"/>
            <w:vAlign w:val="bottom"/>
            <w:tcBorders>
              <w:right w:val="single" w:sz="8" w:color="2360A6"/>
            </w:tcBorders>
          </w:tcPr>
          <w:p>
            <w:pPr>
              <w:spacing w:after="0"/>
              <w:rPr>
                <w:sz w:val="12"/>
                <w:szCs w:val="12"/>
                <w:color w:val="auto"/>
              </w:rPr>
            </w:pPr>
          </w:p>
        </w:tc>
        <w:tc>
          <w:tcPr>
            <w:tcW w:w="1300" w:type="dxa"/>
            <w:vAlign w:val="bottom"/>
            <w:tcBorders>
              <w:right w:val="single" w:sz="8" w:color="2360A6"/>
            </w:tcBorders>
          </w:tcPr>
          <w:p>
            <w:pPr>
              <w:spacing w:after="0"/>
              <w:rPr>
                <w:sz w:val="12"/>
                <w:szCs w:val="12"/>
                <w:color w:val="auto"/>
              </w:rPr>
            </w:pPr>
          </w:p>
        </w:tc>
        <w:tc>
          <w:tcPr>
            <w:tcW w:w="1080" w:type="dxa"/>
            <w:vAlign w:val="bottom"/>
            <w:tcBorders>
              <w:right w:val="single" w:sz="8" w:color="2360A6"/>
            </w:tcBorders>
          </w:tcPr>
          <w:p>
            <w:pPr>
              <w:spacing w:after="0"/>
              <w:rPr>
                <w:sz w:val="12"/>
                <w:szCs w:val="12"/>
                <w:color w:val="auto"/>
              </w:rPr>
            </w:pPr>
          </w:p>
        </w:tc>
        <w:tc>
          <w:tcPr>
            <w:tcW w:w="1300" w:type="dxa"/>
            <w:vAlign w:val="bottom"/>
            <w:tcBorders>
              <w:right w:val="single" w:sz="8" w:color="2360A6"/>
            </w:tcBorders>
          </w:tcPr>
          <w:p>
            <w:pPr>
              <w:spacing w:after="0"/>
              <w:rPr>
                <w:sz w:val="12"/>
                <w:szCs w:val="12"/>
                <w:color w:val="auto"/>
              </w:rPr>
            </w:pPr>
          </w:p>
        </w:tc>
        <w:tc>
          <w:tcPr>
            <w:tcW w:w="940" w:type="dxa"/>
            <w:vAlign w:val="bottom"/>
            <w:tcBorders>
              <w:right w:val="single" w:sz="8" w:color="2360A6"/>
            </w:tcBorders>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2014</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33.9</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304.1</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1,392.4</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550.5</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80.4</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43.3</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96.2</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2,500.8</w:t>
            </w:r>
          </w:p>
        </w:tc>
        <w:tc>
          <w:tcPr>
            <w:tcW w:w="20" w:type="dxa"/>
            <w:vAlign w:val="bottom"/>
            <w:tcBorders>
              <w:bottom w:val="single" w:sz="8" w:color="2360A6"/>
            </w:tcBorders>
          </w:tcPr>
          <w:p>
            <w:pPr>
              <w:spacing w:after="0"/>
              <w:rPr>
                <w:sz w:val="15"/>
                <w:szCs w:val="15"/>
                <w:color w:val="auto"/>
              </w:rPr>
            </w:pPr>
          </w:p>
        </w:tc>
      </w:tr>
      <w:tr>
        <w:trPr>
          <w:trHeight w:val="156"/>
        </w:trPr>
        <w:tc>
          <w:tcPr>
            <w:tcW w:w="23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Additions - Acquisitions - Internal</w:t>
            </w:r>
          </w:p>
        </w:tc>
        <w:tc>
          <w:tcPr>
            <w:tcW w:w="98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940" w:type="dxa"/>
            <w:vAlign w:val="bottom"/>
            <w:tcBorders>
              <w:right w:val="single" w:sz="8" w:color="2360A6"/>
            </w:tcBorders>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Developments </w:t>
            </w:r>
            <w:r>
              <w:rPr>
                <w:rFonts w:ascii="Arial" w:cs="Arial" w:eastAsia="Arial" w:hAnsi="Arial"/>
                <w:sz w:val="8"/>
                <w:szCs w:val="8"/>
                <w:color w:val="231F20"/>
              </w:rPr>
              <w:t>(2)</w:t>
            </w:r>
          </w:p>
        </w:tc>
        <w:tc>
          <w:tcPr>
            <w:tcW w:w="9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(0.4)</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9.1</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20.8</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38.5</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20.0</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162.7</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19.2</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269.9</w:t>
            </w:r>
          </w:p>
        </w:tc>
        <w:tc>
          <w:tcPr>
            <w:tcW w:w="20" w:type="dxa"/>
            <w:vAlign w:val="bottom"/>
            <w:tcBorders>
              <w:bottom w:val="single" w:sz="8" w:color="2360A6"/>
            </w:tcBorders>
          </w:tcPr>
          <w:p>
            <w:pPr>
              <w:spacing w:after="0"/>
              <w:rPr>
                <w:sz w:val="14"/>
                <w:szCs w:val="14"/>
                <w:color w:val="auto"/>
              </w:rPr>
            </w:pPr>
          </w:p>
        </w:tc>
      </w:tr>
      <w:tr>
        <w:trPr>
          <w:trHeight w:val="156"/>
        </w:trPr>
        <w:tc>
          <w:tcPr>
            <w:tcW w:w="23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Additions - Business</w:t>
            </w:r>
          </w:p>
        </w:tc>
        <w:tc>
          <w:tcPr>
            <w:tcW w:w="98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940" w:type="dxa"/>
            <w:vAlign w:val="bottom"/>
            <w:tcBorders>
              <w:right w:val="single" w:sz="8" w:color="2360A6"/>
            </w:tcBorders>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Combinations</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0.5</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1.8</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109.4</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1.5</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(0.3)</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112.9</w:t>
            </w:r>
          </w:p>
        </w:tc>
        <w:tc>
          <w:tcPr>
            <w:tcW w:w="20" w:type="dxa"/>
            <w:vAlign w:val="bottom"/>
            <w:tcBorders>
              <w:bottom w:val="single" w:sz="8" w:color="2360A6"/>
            </w:tcBorders>
          </w:tcPr>
          <w:p>
            <w:pPr>
              <w:spacing w:after="0"/>
              <w:rPr>
                <w:sz w:val="14"/>
                <w:szCs w:val="14"/>
                <w:color w:val="auto"/>
              </w:rPr>
            </w:pPr>
          </w:p>
        </w:tc>
      </w:tr>
      <w:tr>
        <w:trPr>
          <w:trHeight w:val="210"/>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Disposals - Write-off</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(0.8)</w:t>
            </w:r>
          </w:p>
        </w:tc>
        <w:tc>
          <w:tcPr>
            <w:tcW w:w="9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(7.3)</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(24.7)</w:t>
            </w:r>
          </w:p>
        </w:tc>
        <w:tc>
          <w:tcPr>
            <w:tcW w:w="10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(0.7)</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3.1</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(0.4)</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(30.8)</w:t>
            </w:r>
          </w:p>
        </w:tc>
        <w:tc>
          <w:tcPr>
            <w:tcW w:w="20" w:type="dxa"/>
            <w:vAlign w:val="bottom"/>
            <w:tcBorders>
              <w:bottom w:val="single" w:sz="8" w:color="2360A6"/>
            </w:tcBorders>
          </w:tcPr>
          <w:p>
            <w:pPr>
              <w:spacing w:after="0"/>
              <w:rPr>
                <w:sz w:val="18"/>
                <w:szCs w:val="18"/>
                <w:color w:val="auto"/>
              </w:rPr>
            </w:pPr>
          </w:p>
        </w:tc>
      </w:tr>
      <w:tr>
        <w:trPr>
          <w:trHeight w:val="156"/>
        </w:trPr>
        <w:tc>
          <w:tcPr>
            <w:tcW w:w="23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Depreciation Expense for the</w:t>
            </w:r>
          </w:p>
        </w:tc>
        <w:tc>
          <w:tcPr>
            <w:tcW w:w="98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940" w:type="dxa"/>
            <w:vAlign w:val="bottom"/>
            <w:tcBorders>
              <w:right w:val="single" w:sz="8" w:color="2360A6"/>
            </w:tcBorders>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Year</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(18.4)</w:t>
            </w:r>
          </w:p>
        </w:tc>
        <w:tc>
          <w:tcPr>
            <w:tcW w:w="9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(124.5)</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(84.1)</w:t>
            </w:r>
          </w:p>
        </w:tc>
        <w:tc>
          <w:tcPr>
            <w:tcW w:w="10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(29.5)</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(9.5)</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(18.2)</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(284.2)</w:t>
            </w:r>
          </w:p>
        </w:tc>
        <w:tc>
          <w:tcPr>
            <w:tcW w:w="20" w:type="dxa"/>
            <w:vAlign w:val="bottom"/>
            <w:tcBorders>
              <w:bottom w:val="single" w:sz="8" w:color="2360A6"/>
            </w:tcBorders>
          </w:tcPr>
          <w:p>
            <w:pPr>
              <w:spacing w:after="0"/>
              <w:rPr>
                <w:sz w:val="14"/>
                <w:szCs w:val="14"/>
                <w:color w:val="auto"/>
              </w:rPr>
            </w:pPr>
          </w:p>
        </w:tc>
      </w:tr>
      <w:tr>
        <w:trPr>
          <w:trHeight w:val="210"/>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Impairment Losses</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(1.9)</w:t>
            </w:r>
          </w:p>
        </w:tc>
        <w:tc>
          <w:tcPr>
            <w:tcW w:w="9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(38.5)</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(0.3)</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(40.7)</w:t>
            </w:r>
          </w:p>
        </w:tc>
        <w:tc>
          <w:tcPr>
            <w:tcW w:w="20" w:type="dxa"/>
            <w:vAlign w:val="bottom"/>
            <w:tcBorders>
              <w:bottom w:val="single" w:sz="8" w:color="2360A6"/>
            </w:tcBorders>
          </w:tcPr>
          <w:p>
            <w:pPr>
              <w:spacing w:after="0"/>
              <w:rPr>
                <w:sz w:val="18"/>
                <w:szCs w:val="18"/>
                <w:color w:val="auto"/>
              </w:rPr>
            </w:pPr>
          </w:p>
        </w:tc>
      </w:tr>
      <w:tr>
        <w:trPr>
          <w:trHeight w:val="156"/>
        </w:trPr>
        <w:tc>
          <w:tcPr>
            <w:tcW w:w="23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Net Foreign Exchange</w:t>
            </w:r>
          </w:p>
        </w:tc>
        <w:tc>
          <w:tcPr>
            <w:tcW w:w="98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940" w:type="dxa"/>
            <w:vAlign w:val="bottom"/>
            <w:tcBorders>
              <w:right w:val="single" w:sz="8" w:color="2360A6"/>
            </w:tcBorders>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Differences</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1.5</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4.0</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102.4</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(0.2)</w:t>
            </w:r>
          </w:p>
        </w:tc>
        <w:tc>
          <w:tcPr>
            <w:tcW w:w="10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(1.2)</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(21.6)</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(21.9)</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63.0</w:t>
            </w:r>
          </w:p>
        </w:tc>
        <w:tc>
          <w:tcPr>
            <w:tcW w:w="20" w:type="dxa"/>
            <w:vAlign w:val="bottom"/>
            <w:tcBorders>
              <w:bottom w:val="single" w:sz="8" w:color="2360A6"/>
            </w:tcBorders>
          </w:tcPr>
          <w:p>
            <w:pPr>
              <w:spacing w:after="0"/>
              <w:rPr>
                <w:sz w:val="14"/>
                <w:szCs w:val="14"/>
                <w:color w:val="auto"/>
              </w:rPr>
            </w:pPr>
          </w:p>
        </w:tc>
      </w:tr>
      <w:tr>
        <w:trPr>
          <w:trHeight w:val="210"/>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Other </w:t>
            </w:r>
            <w:r>
              <w:rPr>
                <w:rFonts w:ascii="Arial" w:cs="Arial" w:eastAsia="Arial" w:hAnsi="Arial"/>
                <w:sz w:val="8"/>
                <w:szCs w:val="8"/>
                <w:color w:val="231F20"/>
              </w:rPr>
              <w:t>(1)</w:t>
            </w:r>
          </w:p>
        </w:tc>
        <w:tc>
          <w:tcPr>
            <w:tcW w:w="9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(20.0)</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(163.7)</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16.9</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74.8</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5.7</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(23.4)</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93.7</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(16.0)</w:t>
            </w:r>
          </w:p>
        </w:tc>
        <w:tc>
          <w:tcPr>
            <w:tcW w:w="20" w:type="dxa"/>
            <w:vAlign w:val="bottom"/>
            <w:tcBorders>
              <w:bottom w:val="single" w:sz="8" w:color="2360A6"/>
            </w:tcBorders>
          </w:tcPr>
          <w:p>
            <w:pPr>
              <w:spacing w:after="0"/>
              <w:rPr>
                <w:sz w:val="18"/>
                <w:szCs w:val="18"/>
                <w:color w:val="auto"/>
              </w:rPr>
            </w:pPr>
          </w:p>
        </w:tc>
      </w:tr>
      <w:tr>
        <w:trPr>
          <w:trHeight w:val="140"/>
        </w:trPr>
        <w:tc>
          <w:tcPr>
            <w:tcW w:w="2380" w:type="dxa"/>
            <w:vAlign w:val="bottom"/>
            <w:tcBorders>
              <w:right w:val="single" w:sz="8" w:color="2360A6"/>
            </w:tcBorders>
          </w:tcPr>
          <w:p>
            <w:pPr>
              <w:ind w:left="40"/>
              <w:spacing w:after="0" w:line="140" w:lineRule="exact"/>
              <w:rPr>
                <w:sz w:val="20"/>
                <w:szCs w:val="20"/>
                <w:color w:val="auto"/>
              </w:rPr>
            </w:pPr>
            <w:r>
              <w:rPr>
                <w:rFonts w:ascii="Arial" w:cs="Arial" w:eastAsia="Arial" w:hAnsi="Arial"/>
                <w:sz w:val="13"/>
                <w:szCs w:val="13"/>
                <w:b w:val="1"/>
                <w:bCs w:val="1"/>
                <w:color w:val="2360A6"/>
              </w:rPr>
              <w:t>Net Book Value as of December 31,</w:t>
            </w:r>
          </w:p>
        </w:tc>
        <w:tc>
          <w:tcPr>
            <w:tcW w:w="980" w:type="dxa"/>
            <w:vAlign w:val="bottom"/>
            <w:tcBorders>
              <w:right w:val="single" w:sz="8" w:color="2360A6"/>
            </w:tcBorders>
          </w:tcPr>
          <w:p>
            <w:pPr>
              <w:spacing w:after="0"/>
              <w:rPr>
                <w:sz w:val="12"/>
                <w:szCs w:val="12"/>
                <w:color w:val="auto"/>
              </w:rPr>
            </w:pPr>
          </w:p>
        </w:tc>
        <w:tc>
          <w:tcPr>
            <w:tcW w:w="860" w:type="dxa"/>
            <w:vAlign w:val="bottom"/>
            <w:tcBorders>
              <w:right w:val="single" w:sz="8" w:color="2360A6"/>
            </w:tcBorders>
          </w:tcPr>
          <w:p>
            <w:pPr>
              <w:spacing w:after="0"/>
              <w:rPr>
                <w:sz w:val="12"/>
                <w:szCs w:val="12"/>
                <w:color w:val="auto"/>
              </w:rPr>
            </w:pPr>
          </w:p>
        </w:tc>
        <w:tc>
          <w:tcPr>
            <w:tcW w:w="980" w:type="dxa"/>
            <w:vAlign w:val="bottom"/>
            <w:tcBorders>
              <w:right w:val="single" w:sz="8" w:color="2360A6"/>
            </w:tcBorders>
          </w:tcPr>
          <w:p>
            <w:pPr>
              <w:spacing w:after="0"/>
              <w:rPr>
                <w:sz w:val="12"/>
                <w:szCs w:val="12"/>
                <w:color w:val="auto"/>
              </w:rPr>
            </w:pPr>
          </w:p>
        </w:tc>
        <w:tc>
          <w:tcPr>
            <w:tcW w:w="1300" w:type="dxa"/>
            <w:vAlign w:val="bottom"/>
            <w:tcBorders>
              <w:right w:val="single" w:sz="8" w:color="2360A6"/>
            </w:tcBorders>
          </w:tcPr>
          <w:p>
            <w:pPr>
              <w:spacing w:after="0"/>
              <w:rPr>
                <w:sz w:val="12"/>
                <w:szCs w:val="12"/>
                <w:color w:val="auto"/>
              </w:rPr>
            </w:pPr>
          </w:p>
        </w:tc>
        <w:tc>
          <w:tcPr>
            <w:tcW w:w="1080" w:type="dxa"/>
            <w:vAlign w:val="bottom"/>
            <w:tcBorders>
              <w:right w:val="single" w:sz="8" w:color="2360A6"/>
            </w:tcBorders>
          </w:tcPr>
          <w:p>
            <w:pPr>
              <w:spacing w:after="0"/>
              <w:rPr>
                <w:sz w:val="12"/>
                <w:szCs w:val="12"/>
                <w:color w:val="auto"/>
              </w:rPr>
            </w:pPr>
          </w:p>
        </w:tc>
        <w:tc>
          <w:tcPr>
            <w:tcW w:w="1300" w:type="dxa"/>
            <w:vAlign w:val="bottom"/>
            <w:tcBorders>
              <w:right w:val="single" w:sz="8" w:color="2360A6"/>
            </w:tcBorders>
          </w:tcPr>
          <w:p>
            <w:pPr>
              <w:spacing w:after="0"/>
              <w:rPr>
                <w:sz w:val="12"/>
                <w:szCs w:val="12"/>
                <w:color w:val="auto"/>
              </w:rPr>
            </w:pPr>
          </w:p>
        </w:tc>
        <w:tc>
          <w:tcPr>
            <w:tcW w:w="940" w:type="dxa"/>
            <w:vAlign w:val="bottom"/>
            <w:tcBorders>
              <w:right w:val="single" w:sz="8" w:color="2360A6"/>
            </w:tcBorders>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2015</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15.5</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134.2</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1,471.6</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554.8</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75.9</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154.6</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168.3</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2,574.9</w:t>
            </w:r>
          </w:p>
        </w:tc>
        <w:tc>
          <w:tcPr>
            <w:tcW w:w="20" w:type="dxa"/>
            <w:vAlign w:val="bottom"/>
            <w:tcBorders>
              <w:bottom w:val="single" w:sz="8" w:color="2360A6"/>
            </w:tcBorders>
          </w:tcPr>
          <w:p>
            <w:pPr>
              <w:spacing w:after="0"/>
              <w:rPr>
                <w:sz w:val="15"/>
                <w:szCs w:val="15"/>
                <w:color w:val="auto"/>
              </w:rPr>
            </w:pPr>
          </w:p>
        </w:tc>
      </w:tr>
      <w:tr>
        <w:trPr>
          <w:trHeight w:val="156"/>
        </w:trPr>
        <w:tc>
          <w:tcPr>
            <w:tcW w:w="23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Additions - Acquisitions - Internal</w:t>
            </w:r>
          </w:p>
        </w:tc>
        <w:tc>
          <w:tcPr>
            <w:tcW w:w="98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940" w:type="dxa"/>
            <w:vAlign w:val="bottom"/>
            <w:tcBorders>
              <w:right w:val="single" w:sz="8" w:color="2360A6"/>
            </w:tcBorders>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Developments </w:t>
            </w:r>
            <w:r>
              <w:rPr>
                <w:rFonts w:ascii="Arial" w:cs="Arial" w:eastAsia="Arial" w:hAnsi="Arial"/>
                <w:sz w:val="8"/>
                <w:szCs w:val="8"/>
                <w:color w:val="231F20"/>
              </w:rPr>
              <w:t>(3)</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0.4</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5.3</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37.1</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19.0</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12.6</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190.0</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10.4</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auto"/>
              </w:rPr>
              <w:t>274.8</w:t>
            </w:r>
          </w:p>
        </w:tc>
        <w:tc>
          <w:tcPr>
            <w:tcW w:w="20" w:type="dxa"/>
            <w:vAlign w:val="bottom"/>
            <w:tcBorders>
              <w:bottom w:val="single" w:sz="8" w:color="2360A6"/>
            </w:tcBorders>
          </w:tcPr>
          <w:p>
            <w:pPr>
              <w:spacing w:after="0"/>
              <w:rPr>
                <w:sz w:val="14"/>
                <w:szCs w:val="14"/>
                <w:color w:val="auto"/>
              </w:rPr>
            </w:pPr>
          </w:p>
        </w:tc>
      </w:tr>
      <w:tr>
        <w:trPr>
          <w:trHeight w:val="156"/>
        </w:trPr>
        <w:tc>
          <w:tcPr>
            <w:tcW w:w="23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Additions - Business</w:t>
            </w:r>
          </w:p>
        </w:tc>
        <w:tc>
          <w:tcPr>
            <w:tcW w:w="98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940" w:type="dxa"/>
            <w:vAlign w:val="bottom"/>
            <w:tcBorders>
              <w:right w:val="single" w:sz="8" w:color="2360A6"/>
            </w:tcBorders>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Combinations</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2360A6"/>
            </w:tcBorders>
          </w:tcPr>
          <w:p>
            <w:pPr>
              <w:spacing w:after="0"/>
              <w:rPr>
                <w:sz w:val="14"/>
                <w:szCs w:val="14"/>
                <w:color w:val="auto"/>
              </w:rPr>
            </w:pPr>
          </w:p>
        </w:tc>
      </w:tr>
      <w:tr>
        <w:trPr>
          <w:trHeight w:val="210"/>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Disposals - Write-off</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(5.6)</w:t>
            </w:r>
          </w:p>
        </w:tc>
        <w:tc>
          <w:tcPr>
            <w:tcW w:w="9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(6.4)</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8.7</w:t>
            </w:r>
          </w:p>
        </w:tc>
        <w:tc>
          <w:tcPr>
            <w:tcW w:w="10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auto"/>
              </w:rPr>
              <w:t>(0.6)</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(30.3)</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(34.2)</w:t>
            </w:r>
          </w:p>
        </w:tc>
        <w:tc>
          <w:tcPr>
            <w:tcW w:w="20" w:type="dxa"/>
            <w:vAlign w:val="bottom"/>
            <w:tcBorders>
              <w:bottom w:val="single" w:sz="8" w:color="2360A6"/>
            </w:tcBorders>
          </w:tcPr>
          <w:p>
            <w:pPr>
              <w:spacing w:after="0"/>
              <w:rPr>
                <w:sz w:val="18"/>
                <w:szCs w:val="18"/>
                <w:color w:val="auto"/>
              </w:rPr>
            </w:pPr>
          </w:p>
        </w:tc>
      </w:tr>
      <w:tr>
        <w:trPr>
          <w:trHeight w:val="156"/>
        </w:trPr>
        <w:tc>
          <w:tcPr>
            <w:tcW w:w="23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Depreciation Expense for the</w:t>
            </w:r>
          </w:p>
        </w:tc>
        <w:tc>
          <w:tcPr>
            <w:tcW w:w="98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940" w:type="dxa"/>
            <w:vAlign w:val="bottom"/>
            <w:tcBorders>
              <w:right w:val="single" w:sz="8" w:color="2360A6"/>
            </w:tcBorders>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Year</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(13.7)</w:t>
            </w:r>
          </w:p>
        </w:tc>
        <w:tc>
          <w:tcPr>
            <w:tcW w:w="9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(102.8)</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auto"/>
              </w:rPr>
              <w:t>(85.9)</w:t>
            </w:r>
          </w:p>
        </w:tc>
        <w:tc>
          <w:tcPr>
            <w:tcW w:w="108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auto"/>
              </w:rPr>
              <w:t>(26.1)</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(27.4)</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(255.9)</w:t>
            </w:r>
          </w:p>
        </w:tc>
        <w:tc>
          <w:tcPr>
            <w:tcW w:w="20" w:type="dxa"/>
            <w:vAlign w:val="bottom"/>
            <w:tcBorders>
              <w:bottom w:val="single" w:sz="8" w:color="2360A6"/>
            </w:tcBorders>
          </w:tcPr>
          <w:p>
            <w:pPr>
              <w:spacing w:after="0"/>
              <w:rPr>
                <w:sz w:val="14"/>
                <w:szCs w:val="14"/>
                <w:color w:val="auto"/>
              </w:rPr>
            </w:pPr>
          </w:p>
        </w:tc>
      </w:tr>
      <w:tr>
        <w:trPr>
          <w:trHeight w:val="210"/>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Impairment Losses</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(7.9)</w:t>
            </w:r>
          </w:p>
        </w:tc>
        <w:tc>
          <w:tcPr>
            <w:tcW w:w="9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(16.1)</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auto"/>
              </w:rPr>
              <w:t>(10.5)</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(34.5)</w:t>
            </w:r>
          </w:p>
        </w:tc>
        <w:tc>
          <w:tcPr>
            <w:tcW w:w="20" w:type="dxa"/>
            <w:vAlign w:val="bottom"/>
            <w:tcBorders>
              <w:bottom w:val="single" w:sz="8" w:color="2360A6"/>
            </w:tcBorders>
          </w:tcPr>
          <w:p>
            <w:pPr>
              <w:spacing w:after="0"/>
              <w:rPr>
                <w:sz w:val="18"/>
                <w:szCs w:val="18"/>
                <w:color w:val="auto"/>
              </w:rPr>
            </w:pPr>
          </w:p>
        </w:tc>
      </w:tr>
      <w:tr>
        <w:trPr>
          <w:trHeight w:val="156"/>
        </w:trPr>
        <w:tc>
          <w:tcPr>
            <w:tcW w:w="23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Net Foreign Exchange</w:t>
            </w:r>
          </w:p>
        </w:tc>
        <w:tc>
          <w:tcPr>
            <w:tcW w:w="98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9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1080" w:type="dxa"/>
            <w:vAlign w:val="bottom"/>
            <w:tcBorders>
              <w:right w:val="single" w:sz="8" w:color="2360A6"/>
            </w:tcBorders>
          </w:tcPr>
          <w:p>
            <w:pPr>
              <w:spacing w:after="0"/>
              <w:rPr>
                <w:sz w:val="13"/>
                <w:szCs w:val="13"/>
                <w:color w:val="auto"/>
              </w:rPr>
            </w:pPr>
          </w:p>
        </w:tc>
        <w:tc>
          <w:tcPr>
            <w:tcW w:w="1300" w:type="dxa"/>
            <w:vAlign w:val="bottom"/>
            <w:tcBorders>
              <w:right w:val="single" w:sz="8" w:color="2360A6"/>
            </w:tcBorders>
          </w:tcPr>
          <w:p>
            <w:pPr>
              <w:spacing w:after="0"/>
              <w:rPr>
                <w:sz w:val="13"/>
                <w:szCs w:val="13"/>
                <w:color w:val="auto"/>
              </w:rPr>
            </w:pPr>
          </w:p>
        </w:tc>
        <w:tc>
          <w:tcPr>
            <w:tcW w:w="940" w:type="dxa"/>
            <w:vAlign w:val="bottom"/>
            <w:tcBorders>
              <w:right w:val="single" w:sz="8" w:color="2360A6"/>
            </w:tcBorders>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Differences</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0.5</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(1.8)</w:t>
            </w:r>
          </w:p>
        </w:tc>
        <w:tc>
          <w:tcPr>
            <w:tcW w:w="98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(75.8)</w:t>
            </w:r>
          </w:p>
        </w:tc>
        <w:tc>
          <w:tcPr>
            <w:tcW w:w="13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2.8</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1.2</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auto"/>
              </w:rPr>
              <w:t>(19.4)</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27.7</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(64.8)</w:t>
            </w:r>
          </w:p>
        </w:tc>
        <w:tc>
          <w:tcPr>
            <w:tcW w:w="20" w:type="dxa"/>
            <w:vAlign w:val="bottom"/>
            <w:tcBorders>
              <w:bottom w:val="single" w:sz="8" w:color="2360A6"/>
            </w:tcBorders>
          </w:tcPr>
          <w:p>
            <w:pPr>
              <w:spacing w:after="0"/>
              <w:rPr>
                <w:sz w:val="14"/>
                <w:szCs w:val="14"/>
                <w:color w:val="auto"/>
              </w:rPr>
            </w:pPr>
          </w:p>
        </w:tc>
      </w:tr>
      <w:tr>
        <w:trPr>
          <w:trHeight w:val="210"/>
        </w:trPr>
        <w:tc>
          <w:tcPr>
            <w:tcW w:w="23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Other </w:t>
            </w:r>
            <w:r>
              <w:rPr>
                <w:rFonts w:ascii="Arial" w:cs="Arial" w:eastAsia="Arial" w:hAnsi="Arial"/>
                <w:sz w:val="8"/>
                <w:szCs w:val="8"/>
                <w:color w:val="231F20"/>
              </w:rPr>
              <w:t>(1)</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19.8</w:t>
            </w:r>
          </w:p>
        </w:tc>
        <w:tc>
          <w:tcPr>
            <w:tcW w:w="98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32.5</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auto"/>
              </w:rPr>
              <w:t>(59.3)</w:t>
            </w: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2.1</w:t>
            </w:r>
          </w:p>
        </w:tc>
        <w:tc>
          <w:tcPr>
            <w:tcW w:w="13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auto"/>
              </w:rPr>
              <w:t>(30.6)</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60.8</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auto"/>
              </w:rPr>
              <w:t>25.3</w:t>
            </w:r>
          </w:p>
        </w:tc>
        <w:tc>
          <w:tcPr>
            <w:tcW w:w="20" w:type="dxa"/>
            <w:vAlign w:val="bottom"/>
            <w:tcBorders>
              <w:bottom w:val="single" w:sz="8" w:color="2360A6"/>
            </w:tcBorders>
          </w:tcPr>
          <w:p>
            <w:pPr>
              <w:spacing w:after="0"/>
              <w:rPr>
                <w:sz w:val="18"/>
                <w:szCs w:val="18"/>
                <w:color w:val="auto"/>
              </w:rPr>
            </w:pPr>
          </w:p>
        </w:tc>
      </w:tr>
      <w:tr>
        <w:trPr>
          <w:trHeight w:val="140"/>
        </w:trPr>
        <w:tc>
          <w:tcPr>
            <w:tcW w:w="2380" w:type="dxa"/>
            <w:vAlign w:val="bottom"/>
            <w:tcBorders>
              <w:right w:val="single" w:sz="8" w:color="2360A6"/>
            </w:tcBorders>
            <w:shd w:val="clear" w:color="auto" w:fill="D2DEEC"/>
          </w:tcPr>
          <w:p>
            <w:pPr>
              <w:ind w:left="40"/>
              <w:spacing w:after="0" w:line="140" w:lineRule="exact"/>
              <w:rPr>
                <w:sz w:val="20"/>
                <w:szCs w:val="20"/>
                <w:color w:val="auto"/>
              </w:rPr>
            </w:pPr>
            <w:r>
              <w:rPr>
                <w:rFonts w:ascii="Arial" w:cs="Arial" w:eastAsia="Arial" w:hAnsi="Arial"/>
                <w:sz w:val="13"/>
                <w:szCs w:val="13"/>
                <w:b w:val="1"/>
                <w:bCs w:val="1"/>
                <w:color w:val="2360A6"/>
                <w:w w:val="96"/>
              </w:rPr>
              <w:t>NET BOOK VALUE AS OF DECEMBER</w:t>
            </w:r>
          </w:p>
        </w:tc>
        <w:tc>
          <w:tcPr>
            <w:tcW w:w="980" w:type="dxa"/>
            <w:vAlign w:val="bottom"/>
            <w:tcBorders>
              <w:right w:val="single" w:sz="8" w:color="2360A6"/>
            </w:tcBorders>
            <w:shd w:val="clear" w:color="auto" w:fill="D2DEEC"/>
          </w:tcPr>
          <w:p>
            <w:pPr>
              <w:spacing w:after="0"/>
              <w:rPr>
                <w:sz w:val="12"/>
                <w:szCs w:val="12"/>
                <w:color w:val="auto"/>
              </w:rPr>
            </w:pPr>
          </w:p>
        </w:tc>
        <w:tc>
          <w:tcPr>
            <w:tcW w:w="860" w:type="dxa"/>
            <w:vAlign w:val="bottom"/>
            <w:tcBorders>
              <w:right w:val="single" w:sz="8" w:color="2360A6"/>
            </w:tcBorders>
            <w:shd w:val="clear" w:color="auto" w:fill="D2DEEC"/>
          </w:tcPr>
          <w:p>
            <w:pPr>
              <w:spacing w:after="0"/>
              <w:rPr>
                <w:sz w:val="12"/>
                <w:szCs w:val="12"/>
                <w:color w:val="auto"/>
              </w:rPr>
            </w:pPr>
          </w:p>
        </w:tc>
        <w:tc>
          <w:tcPr>
            <w:tcW w:w="980" w:type="dxa"/>
            <w:vAlign w:val="bottom"/>
            <w:tcBorders>
              <w:right w:val="single" w:sz="8" w:color="2360A6"/>
            </w:tcBorders>
            <w:shd w:val="clear" w:color="auto" w:fill="D2DEEC"/>
          </w:tcPr>
          <w:p>
            <w:pPr>
              <w:spacing w:after="0"/>
              <w:rPr>
                <w:sz w:val="12"/>
                <w:szCs w:val="12"/>
                <w:color w:val="auto"/>
              </w:rPr>
            </w:pPr>
          </w:p>
        </w:tc>
        <w:tc>
          <w:tcPr>
            <w:tcW w:w="1300" w:type="dxa"/>
            <w:vAlign w:val="bottom"/>
            <w:tcBorders>
              <w:right w:val="single" w:sz="8" w:color="2360A6"/>
            </w:tcBorders>
            <w:shd w:val="clear" w:color="auto" w:fill="D2DEEC"/>
          </w:tcPr>
          <w:p>
            <w:pPr>
              <w:spacing w:after="0"/>
              <w:rPr>
                <w:sz w:val="12"/>
                <w:szCs w:val="12"/>
                <w:color w:val="auto"/>
              </w:rPr>
            </w:pPr>
          </w:p>
        </w:tc>
        <w:tc>
          <w:tcPr>
            <w:tcW w:w="1080" w:type="dxa"/>
            <w:vAlign w:val="bottom"/>
            <w:tcBorders>
              <w:right w:val="single" w:sz="8" w:color="2360A6"/>
            </w:tcBorders>
            <w:shd w:val="clear" w:color="auto" w:fill="D2DEEC"/>
          </w:tcPr>
          <w:p>
            <w:pPr>
              <w:spacing w:after="0"/>
              <w:rPr>
                <w:sz w:val="12"/>
                <w:szCs w:val="12"/>
                <w:color w:val="auto"/>
              </w:rPr>
            </w:pPr>
          </w:p>
        </w:tc>
        <w:tc>
          <w:tcPr>
            <w:tcW w:w="1300" w:type="dxa"/>
            <w:vAlign w:val="bottom"/>
            <w:tcBorders>
              <w:right w:val="single" w:sz="8" w:color="2360A6"/>
            </w:tcBorders>
            <w:shd w:val="clear" w:color="auto" w:fill="D2DEEC"/>
          </w:tcPr>
          <w:p>
            <w:pPr>
              <w:spacing w:after="0"/>
              <w:rPr>
                <w:sz w:val="12"/>
                <w:szCs w:val="12"/>
                <w:color w:val="auto"/>
              </w:rPr>
            </w:pPr>
          </w:p>
        </w:tc>
        <w:tc>
          <w:tcPr>
            <w:tcW w:w="940" w:type="dxa"/>
            <w:vAlign w:val="bottom"/>
            <w:tcBorders>
              <w:right w:val="single" w:sz="8" w:color="2360A6"/>
            </w:tcBorders>
            <w:shd w:val="clear" w:color="auto" w:fill="D2DEEC"/>
          </w:tcPr>
          <w:p>
            <w:pPr>
              <w:spacing w:after="0"/>
              <w:rPr>
                <w:sz w:val="12"/>
                <w:szCs w:val="12"/>
                <w:color w:val="auto"/>
              </w:rPr>
            </w:pPr>
          </w:p>
        </w:tc>
        <w:tc>
          <w:tcPr>
            <w:tcW w:w="920" w:type="dxa"/>
            <w:vAlign w:val="bottom"/>
            <w:shd w:val="clear" w:color="auto" w:fill="D2DEEC"/>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380" w:type="dxa"/>
            <w:vAlign w:val="bottom"/>
            <w:tcBorders>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3"/>
                <w:szCs w:val="13"/>
                <w:b w:val="1"/>
                <w:bCs w:val="1"/>
                <w:color w:val="2360A6"/>
              </w:rPr>
              <w:t>31, 2016</w:t>
            </w:r>
          </w:p>
        </w:tc>
        <w:tc>
          <w:tcPr>
            <w:tcW w:w="9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16.4</w:t>
            </w:r>
          </w:p>
        </w:tc>
        <w:tc>
          <w:tcPr>
            <w:tcW w:w="86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130.3</w:t>
            </w:r>
          </w:p>
        </w:tc>
        <w:tc>
          <w:tcPr>
            <w:tcW w:w="98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1,340.1</w:t>
            </w:r>
          </w:p>
        </w:tc>
        <w:tc>
          <w:tcPr>
            <w:tcW w:w="130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429.6</w:t>
            </w:r>
          </w:p>
        </w:tc>
        <w:tc>
          <w:tcPr>
            <w:tcW w:w="108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65.1</w:t>
            </w:r>
          </w:p>
        </w:tc>
        <w:tc>
          <w:tcPr>
            <w:tcW w:w="130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294.6</w:t>
            </w:r>
          </w:p>
        </w:tc>
        <w:tc>
          <w:tcPr>
            <w:tcW w:w="94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209.5</w:t>
            </w:r>
          </w:p>
        </w:tc>
        <w:tc>
          <w:tcPr>
            <w:tcW w:w="920" w:type="dxa"/>
            <w:vAlign w:val="bottom"/>
            <w:tcBorders>
              <w:bottom w:val="single" w:sz="8" w:color="2360A6"/>
            </w:tcBorders>
            <w:shd w:val="clear" w:color="auto" w:fill="D2DEEC"/>
          </w:tcPr>
          <w:p>
            <w:pPr>
              <w:jc w:val="right"/>
              <w:ind w:right="37"/>
              <w:spacing w:after="0"/>
              <w:rPr>
                <w:sz w:val="20"/>
                <w:szCs w:val="20"/>
                <w:color w:val="auto"/>
              </w:rPr>
            </w:pPr>
            <w:r>
              <w:rPr>
                <w:rFonts w:ascii="Arial" w:cs="Arial" w:eastAsia="Arial" w:hAnsi="Arial"/>
                <w:sz w:val="13"/>
                <w:szCs w:val="13"/>
                <w:b w:val="1"/>
                <w:bCs w:val="1"/>
                <w:color w:val="2360A6"/>
              </w:rPr>
              <w:t>2,485.6</w:t>
            </w:r>
          </w:p>
        </w:tc>
        <w:tc>
          <w:tcPr>
            <w:tcW w:w="20" w:type="dxa"/>
            <w:vAlign w:val="bottom"/>
            <w:tcBorders>
              <w:bottom w:val="single" w:sz="8" w:color="2360A6"/>
            </w:tcBorders>
          </w:tcPr>
          <w:p>
            <w:pPr>
              <w:spacing w:after="0"/>
              <w:rPr>
                <w:sz w:val="15"/>
                <w:szCs w:val="15"/>
                <w:color w:val="auto"/>
              </w:rPr>
            </w:pPr>
          </w:p>
        </w:tc>
      </w:tr>
    </w:tbl>
    <w:p>
      <w:pPr>
        <w:spacing w:after="0" w:line="75" w:lineRule="exact"/>
        <w:rPr>
          <w:sz w:val="20"/>
          <w:szCs w:val="20"/>
          <w:color w:val="auto"/>
        </w:rPr>
      </w:pPr>
    </w:p>
    <w:p>
      <w:pPr>
        <w:ind w:left="380"/>
        <w:spacing w:after="0"/>
        <w:rPr>
          <w:sz w:val="20"/>
          <w:szCs w:val="20"/>
          <w:color w:val="auto"/>
        </w:rPr>
      </w:pPr>
      <w:r>
        <w:rPr>
          <w:rFonts w:ascii="Arial" w:cs="Arial" w:eastAsia="Arial" w:hAnsi="Arial"/>
          <w:sz w:val="9"/>
          <w:szCs w:val="9"/>
          <w:color w:val="231F20"/>
        </w:rPr>
        <w:t>(1)</w:t>
      </w:r>
      <w:r>
        <w:rPr>
          <w:rFonts w:ascii="Arial" w:cs="Arial" w:eastAsia="Arial" w:hAnsi="Arial"/>
          <w:sz w:val="12"/>
          <w:szCs w:val="12"/>
          <w:color w:val="231F20"/>
        </w:rPr>
        <w:t>The line “Other” is mainly related to the reclassification of assets under construction into the corresponding line items upon their delivery.</w:t>
      </w:r>
    </w:p>
    <w:p>
      <w:pPr>
        <w:spacing w:after="0" w:line="51" w:lineRule="exact"/>
        <w:rPr>
          <w:sz w:val="20"/>
          <w:szCs w:val="20"/>
          <w:color w:val="auto"/>
        </w:rPr>
      </w:pPr>
    </w:p>
    <w:p>
      <w:pPr>
        <w:ind w:left="380" w:right="360"/>
        <w:spacing w:after="0" w:line="259" w:lineRule="auto"/>
        <w:rPr>
          <w:sz w:val="20"/>
          <w:szCs w:val="20"/>
          <w:color w:val="auto"/>
        </w:rPr>
      </w:pPr>
      <w:r>
        <w:rPr>
          <w:rFonts w:ascii="Arial" w:cs="Arial" w:eastAsia="Arial" w:hAnsi="Arial"/>
          <w:sz w:val="9"/>
          <w:szCs w:val="9"/>
          <w:color w:val="231F20"/>
        </w:rPr>
        <w:t>(2)</w:t>
      </w:r>
      <w:r>
        <w:rPr>
          <w:rFonts w:ascii="Arial" w:cs="Arial" w:eastAsia="Arial" w:hAnsi="Arial"/>
          <w:sz w:val="12"/>
          <w:szCs w:val="12"/>
          <w:color w:val="231F20"/>
        </w:rPr>
        <w:t>The decrease of the tangible assets payables between December 31, 2014, and December 31, 2015, amounted €10.4 million. The cash flows associated with the acquisition of tangible</w:t>
      </w:r>
      <w:r>
        <w:rPr>
          <w:rFonts w:ascii="Arial" w:cs="Arial" w:eastAsia="Arial" w:hAnsi="Arial"/>
          <w:sz w:val="9"/>
          <w:szCs w:val="9"/>
          <w:color w:val="231F20"/>
        </w:rPr>
        <w:t xml:space="preserve"> </w:t>
      </w:r>
      <w:r>
        <w:rPr>
          <w:rFonts w:ascii="Arial" w:cs="Arial" w:eastAsia="Arial" w:hAnsi="Arial"/>
          <w:sz w:val="12"/>
          <w:szCs w:val="12"/>
          <w:color w:val="231F20"/>
        </w:rPr>
        <w:t>assets equal to €(280.3) million.</w:t>
      </w:r>
    </w:p>
    <w:p>
      <w:pPr>
        <w:spacing w:after="0" w:line="26" w:lineRule="exact"/>
        <w:rPr>
          <w:sz w:val="20"/>
          <w:szCs w:val="20"/>
          <w:color w:val="auto"/>
        </w:rPr>
      </w:pPr>
    </w:p>
    <w:p>
      <w:pPr>
        <w:jc w:val="both"/>
        <w:ind w:left="380" w:right="240"/>
        <w:spacing w:after="0" w:line="247" w:lineRule="auto"/>
        <w:rPr>
          <w:sz w:val="20"/>
          <w:szCs w:val="20"/>
          <w:color w:val="auto"/>
        </w:rPr>
      </w:pPr>
      <w:r>
        <w:rPr>
          <w:rFonts w:ascii="Arial" w:cs="Arial" w:eastAsia="Arial" w:hAnsi="Arial"/>
          <w:sz w:val="9"/>
          <w:szCs w:val="9"/>
          <w:color w:val="231F20"/>
        </w:rPr>
        <w:t>(3)</w:t>
      </w:r>
      <w:r>
        <w:rPr>
          <w:rFonts w:ascii="Arial" w:cs="Arial" w:eastAsia="Arial" w:hAnsi="Arial"/>
          <w:sz w:val="12"/>
          <w:szCs w:val="12"/>
          <w:color w:val="231F20"/>
        </w:rPr>
        <w:t>The decrease of the tangible assets payables between December 31, 2015, and December 31, 2016, amounted €2.0 million. A non-cash tangible asset of €3.1 million was recognized as</w:t>
      </w:r>
      <w:r>
        <w:rPr>
          <w:rFonts w:ascii="Arial" w:cs="Arial" w:eastAsia="Arial" w:hAnsi="Arial"/>
          <w:sz w:val="9"/>
          <w:szCs w:val="9"/>
          <w:color w:val="231F20"/>
        </w:rPr>
        <w:t xml:space="preserve"> </w:t>
      </w:r>
      <w:r>
        <w:rPr>
          <w:rFonts w:ascii="Arial" w:cs="Arial" w:eastAsia="Arial" w:hAnsi="Arial"/>
          <w:sz w:val="12"/>
          <w:szCs w:val="12"/>
          <w:color w:val="231F20"/>
        </w:rPr>
        <w:t>part of an asset acquisition achieved as of December 31, 2016, which did not constitute a business as per IFRS 3 “Business Combination”. The cash flows associated with the acquisition of tangible assets then equal to €(273.7) million.</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231F20"/>
        </w:rPr>
        <w:t>Pledged fixed assets amounted to €106.8 million as of December 31, 2016. No assets are subject to a capital lease.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Pledged fixed assets amounted to €111.7 million as of December 31, 2015. No assets are subject to a capital lease.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Pledged fixed assets amounted to €57.1 million as of December 31, 2014. No assets are subject to a capital lease.</w:t>
      </w:r>
    </w:p>
    <w:p>
      <w:pPr>
        <w:sectPr>
          <w:pgSz w:w="11900" w:h="16838" w:orient="portrait"/>
          <w:cols w:equalWidth="0" w:num="1">
            <w:col w:w="11100"/>
          </w:cols>
          <w:pgMar w:left="240" w:top="655" w:right="559" w:bottom="1440" w:gutter="0" w:footer="0" w:header="0"/>
        </w:sectPr>
      </w:pPr>
    </w:p>
    <w:bookmarkStart w:id="118" w:name="page119"/>
    <w:bookmarkEnd w:id="118"/>
    <w:p>
      <w:pPr>
        <w:spacing w:after="0"/>
        <w:rPr>
          <w:sz w:val="20"/>
          <w:szCs w:val="20"/>
          <w:color w:val="auto"/>
        </w:rPr>
      </w:pPr>
      <w:r>
        <w:rPr>
          <w:rFonts w:ascii="Arial" w:cs="Arial" w:eastAsia="Arial" w:hAnsi="Arial"/>
          <w:sz w:val="29"/>
          <w:szCs w:val="29"/>
          <w:b w:val="1"/>
          <w:bCs w:val="1"/>
          <w:color w:val="2360A6"/>
        </w:rPr>
        <w:t>Note 10 Intangible Assets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31F20"/>
        </w:rPr>
        <w:t>Costs, accumulated amortization and impairment losses by type of intangible assets are as follows:</w:t>
      </w:r>
    </w:p>
    <w:p>
      <w:pPr>
        <w:spacing w:after="0" w:line="118" w:lineRule="exact"/>
        <w:rPr>
          <w:sz w:val="20"/>
          <w:szCs w:val="20"/>
          <w:color w:val="auto"/>
        </w:rPr>
      </w:pPr>
    </w:p>
    <w:tbl>
      <w:tblPr>
        <w:tblLayout w:type="fixed"/>
        <w:tblInd w:w="330" w:type="dxa"/>
        <w:tblCellMar>
          <w:top w:w="0" w:type="dxa"/>
          <w:left w:w="0" w:type="dxa"/>
          <w:bottom w:w="0" w:type="dxa"/>
          <w:right w:w="0" w:type="dxa"/>
        </w:tblCellMar>
      </w:tblPr>
      <w:tr>
        <w:trPr>
          <w:trHeight w:val="154"/>
        </w:trPr>
        <w:tc>
          <w:tcPr>
            <w:tcW w:w="5360" w:type="dxa"/>
            <w:vAlign w:val="bottom"/>
            <w:tcBorders>
              <w:top w:val="single" w:sz="8" w:color="2360A6"/>
              <w:left w:val="single" w:sz="8" w:color="2360A6"/>
              <w:right w:val="single" w:sz="8" w:color="2360A6"/>
            </w:tcBorders>
          </w:tcPr>
          <w:p>
            <w:pPr>
              <w:spacing w:after="0"/>
              <w:rPr>
                <w:sz w:val="13"/>
                <w:szCs w:val="13"/>
                <w:color w:val="auto"/>
              </w:rPr>
            </w:pPr>
          </w:p>
        </w:tc>
        <w:tc>
          <w:tcPr>
            <w:tcW w:w="1060" w:type="dxa"/>
            <w:vAlign w:val="bottom"/>
            <w:tcBorders>
              <w:top w:val="single" w:sz="8" w:color="2360A6"/>
              <w:right w:val="single" w:sz="8" w:color="2360A6"/>
            </w:tcBorders>
          </w:tcPr>
          <w:p>
            <w:pPr>
              <w:spacing w:after="0"/>
              <w:rPr>
                <w:sz w:val="13"/>
                <w:szCs w:val="13"/>
                <w:color w:val="auto"/>
              </w:rPr>
            </w:pPr>
          </w:p>
        </w:tc>
        <w:tc>
          <w:tcPr>
            <w:tcW w:w="140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Licenses, Patents</w:t>
            </w:r>
          </w:p>
        </w:tc>
        <w:tc>
          <w:tcPr>
            <w:tcW w:w="960" w:type="dxa"/>
            <w:vAlign w:val="bottom"/>
            <w:tcBorders>
              <w:top w:val="single" w:sz="8" w:color="2360A6"/>
              <w:right w:val="single" w:sz="8" w:color="2360A6"/>
            </w:tcBorders>
          </w:tcPr>
          <w:p>
            <w:pPr>
              <w:spacing w:after="0"/>
              <w:rPr>
                <w:sz w:val="13"/>
                <w:szCs w:val="13"/>
                <w:color w:val="auto"/>
              </w:rPr>
            </w:pPr>
          </w:p>
        </w:tc>
        <w:tc>
          <w:tcPr>
            <w:tcW w:w="940" w:type="dxa"/>
            <w:vAlign w:val="bottom"/>
            <w:tcBorders>
              <w:top w:val="single" w:sz="8" w:color="2360A6"/>
              <w:right w:val="single" w:sz="8" w:color="2360A6"/>
            </w:tcBorders>
          </w:tcPr>
          <w:p>
            <w:pPr>
              <w:spacing w:after="0"/>
              <w:rPr>
                <w:sz w:val="13"/>
                <w:szCs w:val="13"/>
                <w:color w:val="auto"/>
              </w:rPr>
            </w:pPr>
          </w:p>
        </w:tc>
        <w:tc>
          <w:tcPr>
            <w:tcW w:w="940" w:type="dxa"/>
            <w:vAlign w:val="bottom"/>
            <w:tcBorders>
              <w:top w:val="single" w:sz="8" w:color="2360A6"/>
              <w:right w:val="single" w:sz="8" w:color="2360A6"/>
            </w:tcBorders>
          </w:tcPr>
          <w:p>
            <w:pPr>
              <w:spacing w:after="0"/>
              <w:rPr>
                <w:sz w:val="13"/>
                <w:szCs w:val="13"/>
                <w:color w:val="auto"/>
              </w:rPr>
            </w:pPr>
          </w:p>
        </w:tc>
      </w:tr>
      <w:tr>
        <w:trPr>
          <w:trHeight w:val="178"/>
        </w:trPr>
        <w:tc>
          <w:tcPr>
            <w:tcW w:w="5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In millions of Euro</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Goodwill</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and Trademarks</w:t>
            </w: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Software</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Other</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Total</w:t>
            </w:r>
          </w:p>
        </w:tc>
      </w:tr>
      <w:tr>
        <w:trPr>
          <w:trHeight w:val="210"/>
        </w:trPr>
        <w:tc>
          <w:tcPr>
            <w:tcW w:w="5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Net Book Value as of January 1, 2014</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3,226.1</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46.6</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59.2</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0.7</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3,332.6</w:t>
            </w:r>
          </w:p>
        </w:tc>
      </w:tr>
      <w:tr>
        <w:trPr>
          <w:trHeight w:val="210"/>
        </w:trPr>
        <w:tc>
          <w:tcPr>
            <w:tcW w:w="5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Costs</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3,388.7</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157.2</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139.5</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3.0</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3,688.4</w:t>
            </w:r>
          </w:p>
        </w:tc>
      </w:tr>
      <w:tr>
        <w:trPr>
          <w:trHeight w:val="210"/>
        </w:trPr>
        <w:tc>
          <w:tcPr>
            <w:tcW w:w="5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Accumulated Amortization</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(108.3)</w:t>
            </w: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(81.2)</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(2.4)</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(191.9)</w:t>
            </w:r>
          </w:p>
        </w:tc>
      </w:tr>
      <w:tr>
        <w:trPr>
          <w:trHeight w:val="210"/>
        </w:trPr>
        <w:tc>
          <w:tcPr>
            <w:tcW w:w="5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Accumulated Impairment Losses</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r>
      <w:tr>
        <w:trPr>
          <w:trHeight w:val="210"/>
        </w:trPr>
        <w:tc>
          <w:tcPr>
            <w:tcW w:w="5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Net Book Value as of December 31, 2014</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3,388.7</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48.9</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58.3</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0.6</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3,496.5</w:t>
            </w:r>
          </w:p>
        </w:tc>
      </w:tr>
      <w:tr>
        <w:trPr>
          <w:trHeight w:val="187"/>
        </w:trPr>
        <w:tc>
          <w:tcPr>
            <w:tcW w:w="53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Costs</w:t>
            </w:r>
          </w:p>
        </w:tc>
        <w:tc>
          <w:tcPr>
            <w:tcW w:w="106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3,478.0</w:t>
            </w:r>
          </w:p>
        </w:tc>
        <w:tc>
          <w:tcPr>
            <w:tcW w:w="140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164.3</w:t>
            </w:r>
          </w:p>
        </w:tc>
        <w:tc>
          <w:tcPr>
            <w:tcW w:w="96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153.2</w:t>
            </w:r>
          </w:p>
        </w:tc>
        <w:tc>
          <w:tcPr>
            <w:tcW w:w="9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3.5</w:t>
            </w:r>
          </w:p>
        </w:tc>
        <w:tc>
          <w:tcPr>
            <w:tcW w:w="9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3,799.0</w:t>
            </w:r>
          </w:p>
        </w:tc>
      </w:tr>
      <w:tr>
        <w:trPr>
          <w:trHeight w:val="30"/>
        </w:trPr>
        <w:tc>
          <w:tcPr>
            <w:tcW w:w="5360" w:type="dxa"/>
            <w:vAlign w:val="bottom"/>
            <w:tcBorders>
              <w:left w:val="single" w:sz="8" w:color="2360A6"/>
              <w:bottom w:val="single" w:sz="8" w:color="2360A6"/>
              <w:right w:val="single" w:sz="8" w:color="2360A6"/>
            </w:tcBorders>
          </w:tcPr>
          <w:p>
            <w:pPr>
              <w:spacing w:after="0"/>
              <w:rPr>
                <w:sz w:val="2"/>
                <w:szCs w:val="2"/>
                <w:color w:val="auto"/>
              </w:rPr>
            </w:pPr>
          </w:p>
        </w:tc>
        <w:tc>
          <w:tcPr>
            <w:tcW w:w="1060" w:type="dxa"/>
            <w:vAlign w:val="bottom"/>
            <w:tcBorders>
              <w:bottom w:val="single" w:sz="8" w:color="2360A6"/>
              <w:right w:val="single" w:sz="8" w:color="2360A6"/>
            </w:tcBorders>
          </w:tcPr>
          <w:p>
            <w:pPr>
              <w:spacing w:after="0"/>
              <w:rPr>
                <w:sz w:val="2"/>
                <w:szCs w:val="2"/>
                <w:color w:val="auto"/>
              </w:rPr>
            </w:pPr>
          </w:p>
        </w:tc>
        <w:tc>
          <w:tcPr>
            <w:tcW w:w="140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r>
      <w:tr>
        <w:trPr>
          <w:trHeight w:val="180"/>
        </w:trPr>
        <w:tc>
          <w:tcPr>
            <w:tcW w:w="53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Accumulated Amortization</w:t>
            </w:r>
          </w:p>
        </w:tc>
        <w:tc>
          <w:tcPr>
            <w:tcW w:w="106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(115.3)</w:t>
            </w:r>
          </w:p>
        </w:tc>
        <w:tc>
          <w:tcPr>
            <w:tcW w:w="960" w:type="dxa"/>
            <w:vAlign w:val="bottom"/>
            <w:tcBorders>
              <w:right w:val="single" w:sz="8" w:color="2360A6"/>
            </w:tcBorders>
          </w:tcPr>
          <w:p>
            <w:pPr>
              <w:jc w:val="right"/>
              <w:ind w:right="17"/>
              <w:spacing w:after="0"/>
              <w:rPr>
                <w:sz w:val="20"/>
                <w:szCs w:val="20"/>
                <w:color w:val="auto"/>
              </w:rPr>
            </w:pPr>
            <w:r>
              <w:rPr>
                <w:rFonts w:ascii="Arial" w:cs="Arial" w:eastAsia="Arial" w:hAnsi="Arial"/>
                <w:sz w:val="13"/>
                <w:szCs w:val="13"/>
                <w:color w:val="231F20"/>
              </w:rPr>
              <w:t>(99.7)</w:t>
            </w:r>
          </w:p>
        </w:tc>
        <w:tc>
          <w:tcPr>
            <w:tcW w:w="940" w:type="dxa"/>
            <w:vAlign w:val="bottom"/>
            <w:tcBorders>
              <w:right w:val="single" w:sz="8" w:color="2360A6"/>
            </w:tcBorders>
          </w:tcPr>
          <w:p>
            <w:pPr>
              <w:jc w:val="right"/>
              <w:ind w:right="17"/>
              <w:spacing w:after="0"/>
              <w:rPr>
                <w:sz w:val="20"/>
                <w:szCs w:val="20"/>
                <w:color w:val="auto"/>
              </w:rPr>
            </w:pPr>
            <w:r>
              <w:rPr>
                <w:rFonts w:ascii="Arial" w:cs="Arial" w:eastAsia="Arial" w:hAnsi="Arial"/>
                <w:sz w:val="13"/>
                <w:szCs w:val="13"/>
                <w:color w:val="231F20"/>
              </w:rPr>
              <w:t>(1.5)</w:t>
            </w:r>
          </w:p>
        </w:tc>
        <w:tc>
          <w:tcPr>
            <w:tcW w:w="940" w:type="dxa"/>
            <w:vAlign w:val="bottom"/>
            <w:tcBorders>
              <w:right w:val="single" w:sz="8" w:color="2360A6"/>
            </w:tcBorders>
          </w:tcPr>
          <w:p>
            <w:pPr>
              <w:jc w:val="right"/>
              <w:ind w:right="17"/>
              <w:spacing w:after="0"/>
              <w:rPr>
                <w:sz w:val="20"/>
                <w:szCs w:val="20"/>
                <w:color w:val="auto"/>
              </w:rPr>
            </w:pPr>
            <w:r>
              <w:rPr>
                <w:rFonts w:ascii="Arial" w:cs="Arial" w:eastAsia="Arial" w:hAnsi="Arial"/>
                <w:sz w:val="13"/>
                <w:szCs w:val="13"/>
                <w:color w:val="231F20"/>
              </w:rPr>
              <w:t>(216.5)</w:t>
            </w:r>
          </w:p>
        </w:tc>
      </w:tr>
      <w:tr>
        <w:trPr>
          <w:trHeight w:val="30"/>
        </w:trPr>
        <w:tc>
          <w:tcPr>
            <w:tcW w:w="5360" w:type="dxa"/>
            <w:vAlign w:val="bottom"/>
            <w:tcBorders>
              <w:left w:val="single" w:sz="8" w:color="2360A6"/>
              <w:bottom w:val="single" w:sz="8" w:color="2360A6"/>
              <w:right w:val="single" w:sz="8" w:color="2360A6"/>
            </w:tcBorders>
          </w:tcPr>
          <w:p>
            <w:pPr>
              <w:spacing w:after="0"/>
              <w:rPr>
                <w:sz w:val="2"/>
                <w:szCs w:val="2"/>
                <w:color w:val="auto"/>
              </w:rPr>
            </w:pPr>
          </w:p>
        </w:tc>
        <w:tc>
          <w:tcPr>
            <w:tcW w:w="1060" w:type="dxa"/>
            <w:vAlign w:val="bottom"/>
            <w:tcBorders>
              <w:bottom w:val="single" w:sz="8" w:color="2360A6"/>
              <w:right w:val="single" w:sz="8" w:color="2360A6"/>
            </w:tcBorders>
          </w:tcPr>
          <w:p>
            <w:pPr>
              <w:spacing w:after="0"/>
              <w:rPr>
                <w:sz w:val="2"/>
                <w:szCs w:val="2"/>
                <w:color w:val="auto"/>
              </w:rPr>
            </w:pPr>
          </w:p>
        </w:tc>
        <w:tc>
          <w:tcPr>
            <w:tcW w:w="140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r>
      <w:tr>
        <w:trPr>
          <w:trHeight w:val="180"/>
        </w:trPr>
        <w:tc>
          <w:tcPr>
            <w:tcW w:w="53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Accumulated Impairment Losses</w:t>
            </w:r>
          </w:p>
        </w:tc>
        <w:tc>
          <w:tcPr>
            <w:tcW w:w="106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6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r>
      <w:tr>
        <w:trPr>
          <w:trHeight w:val="30"/>
        </w:trPr>
        <w:tc>
          <w:tcPr>
            <w:tcW w:w="5360" w:type="dxa"/>
            <w:vAlign w:val="bottom"/>
            <w:tcBorders>
              <w:left w:val="single" w:sz="8" w:color="2360A6"/>
              <w:bottom w:val="single" w:sz="8" w:color="2360A6"/>
              <w:right w:val="single" w:sz="8" w:color="2360A6"/>
            </w:tcBorders>
          </w:tcPr>
          <w:p>
            <w:pPr>
              <w:spacing w:after="0"/>
              <w:rPr>
                <w:sz w:val="2"/>
                <w:szCs w:val="2"/>
                <w:color w:val="auto"/>
              </w:rPr>
            </w:pPr>
          </w:p>
        </w:tc>
        <w:tc>
          <w:tcPr>
            <w:tcW w:w="1060" w:type="dxa"/>
            <w:vAlign w:val="bottom"/>
            <w:tcBorders>
              <w:bottom w:val="single" w:sz="8" w:color="2360A6"/>
              <w:right w:val="single" w:sz="8" w:color="2360A6"/>
            </w:tcBorders>
          </w:tcPr>
          <w:p>
            <w:pPr>
              <w:spacing w:after="0"/>
              <w:rPr>
                <w:sz w:val="2"/>
                <w:szCs w:val="2"/>
                <w:color w:val="auto"/>
              </w:rPr>
            </w:pPr>
          </w:p>
        </w:tc>
        <w:tc>
          <w:tcPr>
            <w:tcW w:w="140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r>
      <w:tr>
        <w:trPr>
          <w:trHeight w:val="180"/>
        </w:trPr>
        <w:tc>
          <w:tcPr>
            <w:tcW w:w="53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Net Book Value as of December 31, 2015</w:t>
            </w:r>
          </w:p>
        </w:tc>
        <w:tc>
          <w:tcPr>
            <w:tcW w:w="106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3,478.0</w:t>
            </w:r>
          </w:p>
        </w:tc>
        <w:tc>
          <w:tcPr>
            <w:tcW w:w="140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49.0</w:t>
            </w:r>
          </w:p>
        </w:tc>
        <w:tc>
          <w:tcPr>
            <w:tcW w:w="96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53.5</w:t>
            </w:r>
          </w:p>
        </w:tc>
        <w:tc>
          <w:tcPr>
            <w:tcW w:w="9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2.0</w:t>
            </w:r>
          </w:p>
        </w:tc>
        <w:tc>
          <w:tcPr>
            <w:tcW w:w="9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3,582.5</w:t>
            </w:r>
          </w:p>
        </w:tc>
      </w:tr>
      <w:tr>
        <w:trPr>
          <w:trHeight w:val="30"/>
        </w:trPr>
        <w:tc>
          <w:tcPr>
            <w:tcW w:w="5360" w:type="dxa"/>
            <w:vAlign w:val="bottom"/>
            <w:tcBorders>
              <w:left w:val="single" w:sz="8" w:color="2360A6"/>
              <w:bottom w:val="single" w:sz="8" w:color="2360A6"/>
              <w:right w:val="single" w:sz="8" w:color="2360A6"/>
            </w:tcBorders>
          </w:tcPr>
          <w:p>
            <w:pPr>
              <w:spacing w:after="0"/>
              <w:rPr>
                <w:sz w:val="2"/>
                <w:szCs w:val="2"/>
                <w:color w:val="auto"/>
              </w:rPr>
            </w:pPr>
          </w:p>
        </w:tc>
        <w:tc>
          <w:tcPr>
            <w:tcW w:w="1060" w:type="dxa"/>
            <w:vAlign w:val="bottom"/>
            <w:tcBorders>
              <w:bottom w:val="single" w:sz="8" w:color="2360A6"/>
              <w:right w:val="single" w:sz="8" w:color="2360A6"/>
            </w:tcBorders>
          </w:tcPr>
          <w:p>
            <w:pPr>
              <w:spacing w:after="0"/>
              <w:rPr>
                <w:sz w:val="2"/>
                <w:szCs w:val="2"/>
                <w:color w:val="auto"/>
              </w:rPr>
            </w:pPr>
          </w:p>
        </w:tc>
        <w:tc>
          <w:tcPr>
            <w:tcW w:w="140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r>
      <w:tr>
        <w:trPr>
          <w:trHeight w:val="180"/>
        </w:trPr>
        <w:tc>
          <w:tcPr>
            <w:tcW w:w="53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Costs</w:t>
            </w:r>
          </w:p>
        </w:tc>
        <w:tc>
          <w:tcPr>
            <w:tcW w:w="106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3,527.5</w:t>
            </w:r>
          </w:p>
        </w:tc>
        <w:tc>
          <w:tcPr>
            <w:tcW w:w="140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158.8</w:t>
            </w:r>
          </w:p>
        </w:tc>
        <w:tc>
          <w:tcPr>
            <w:tcW w:w="96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148.5</w:t>
            </w:r>
          </w:p>
        </w:tc>
        <w:tc>
          <w:tcPr>
            <w:tcW w:w="9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160.1</w:t>
            </w:r>
          </w:p>
        </w:tc>
        <w:tc>
          <w:tcPr>
            <w:tcW w:w="9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3,994.9</w:t>
            </w:r>
          </w:p>
        </w:tc>
      </w:tr>
      <w:tr>
        <w:trPr>
          <w:trHeight w:val="30"/>
        </w:trPr>
        <w:tc>
          <w:tcPr>
            <w:tcW w:w="5360" w:type="dxa"/>
            <w:vAlign w:val="bottom"/>
            <w:tcBorders>
              <w:left w:val="single" w:sz="8" w:color="2360A6"/>
              <w:bottom w:val="single" w:sz="8" w:color="2360A6"/>
              <w:right w:val="single" w:sz="8" w:color="2360A6"/>
            </w:tcBorders>
          </w:tcPr>
          <w:p>
            <w:pPr>
              <w:spacing w:after="0"/>
              <w:rPr>
                <w:sz w:val="2"/>
                <w:szCs w:val="2"/>
                <w:color w:val="auto"/>
              </w:rPr>
            </w:pPr>
          </w:p>
        </w:tc>
        <w:tc>
          <w:tcPr>
            <w:tcW w:w="1060" w:type="dxa"/>
            <w:vAlign w:val="bottom"/>
            <w:tcBorders>
              <w:bottom w:val="single" w:sz="8" w:color="2360A6"/>
              <w:right w:val="single" w:sz="8" w:color="2360A6"/>
            </w:tcBorders>
          </w:tcPr>
          <w:p>
            <w:pPr>
              <w:spacing w:after="0"/>
              <w:rPr>
                <w:sz w:val="2"/>
                <w:szCs w:val="2"/>
                <w:color w:val="auto"/>
              </w:rPr>
            </w:pPr>
          </w:p>
        </w:tc>
        <w:tc>
          <w:tcPr>
            <w:tcW w:w="140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r>
      <w:tr>
        <w:trPr>
          <w:trHeight w:val="180"/>
        </w:trPr>
        <w:tc>
          <w:tcPr>
            <w:tcW w:w="53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Accumulated Amortization</w:t>
            </w:r>
          </w:p>
        </w:tc>
        <w:tc>
          <w:tcPr>
            <w:tcW w:w="106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(114.8)</w:t>
            </w:r>
          </w:p>
        </w:tc>
        <w:tc>
          <w:tcPr>
            <w:tcW w:w="960" w:type="dxa"/>
            <w:vAlign w:val="bottom"/>
            <w:tcBorders>
              <w:right w:val="single" w:sz="8" w:color="2360A6"/>
            </w:tcBorders>
          </w:tcPr>
          <w:p>
            <w:pPr>
              <w:jc w:val="right"/>
              <w:ind w:right="17"/>
              <w:spacing w:after="0"/>
              <w:rPr>
                <w:sz w:val="20"/>
                <w:szCs w:val="20"/>
                <w:color w:val="auto"/>
              </w:rPr>
            </w:pPr>
            <w:r>
              <w:rPr>
                <w:rFonts w:ascii="Arial" w:cs="Arial" w:eastAsia="Arial" w:hAnsi="Arial"/>
                <w:sz w:val="13"/>
                <w:szCs w:val="13"/>
                <w:color w:val="231F20"/>
              </w:rPr>
              <w:t>(101.9)</w:t>
            </w:r>
          </w:p>
        </w:tc>
        <w:tc>
          <w:tcPr>
            <w:tcW w:w="940" w:type="dxa"/>
            <w:vAlign w:val="bottom"/>
            <w:tcBorders>
              <w:right w:val="single" w:sz="8" w:color="2360A6"/>
            </w:tcBorders>
          </w:tcPr>
          <w:p>
            <w:pPr>
              <w:jc w:val="right"/>
              <w:ind w:right="17"/>
              <w:spacing w:after="0"/>
              <w:rPr>
                <w:sz w:val="20"/>
                <w:szCs w:val="20"/>
                <w:color w:val="auto"/>
              </w:rPr>
            </w:pPr>
            <w:r>
              <w:rPr>
                <w:rFonts w:ascii="Arial" w:cs="Arial" w:eastAsia="Arial" w:hAnsi="Arial"/>
                <w:sz w:val="13"/>
                <w:szCs w:val="13"/>
                <w:color w:val="231F20"/>
              </w:rPr>
              <w:t>(8.4)</w:t>
            </w:r>
          </w:p>
        </w:tc>
        <w:tc>
          <w:tcPr>
            <w:tcW w:w="940" w:type="dxa"/>
            <w:vAlign w:val="bottom"/>
            <w:tcBorders>
              <w:right w:val="single" w:sz="8" w:color="2360A6"/>
            </w:tcBorders>
          </w:tcPr>
          <w:p>
            <w:pPr>
              <w:jc w:val="right"/>
              <w:ind w:right="17"/>
              <w:spacing w:after="0"/>
              <w:rPr>
                <w:sz w:val="20"/>
                <w:szCs w:val="20"/>
                <w:color w:val="auto"/>
              </w:rPr>
            </w:pPr>
            <w:r>
              <w:rPr>
                <w:rFonts w:ascii="Arial" w:cs="Arial" w:eastAsia="Arial" w:hAnsi="Arial"/>
                <w:sz w:val="13"/>
                <w:szCs w:val="13"/>
                <w:color w:val="231F20"/>
              </w:rPr>
              <w:t>(225.1)</w:t>
            </w:r>
          </w:p>
        </w:tc>
      </w:tr>
      <w:tr>
        <w:trPr>
          <w:trHeight w:val="30"/>
        </w:trPr>
        <w:tc>
          <w:tcPr>
            <w:tcW w:w="5360" w:type="dxa"/>
            <w:vAlign w:val="bottom"/>
            <w:tcBorders>
              <w:left w:val="single" w:sz="8" w:color="2360A6"/>
              <w:bottom w:val="single" w:sz="8" w:color="2360A6"/>
              <w:right w:val="single" w:sz="8" w:color="2360A6"/>
            </w:tcBorders>
          </w:tcPr>
          <w:p>
            <w:pPr>
              <w:spacing w:after="0"/>
              <w:rPr>
                <w:sz w:val="2"/>
                <w:szCs w:val="2"/>
                <w:color w:val="auto"/>
              </w:rPr>
            </w:pPr>
          </w:p>
        </w:tc>
        <w:tc>
          <w:tcPr>
            <w:tcW w:w="1060" w:type="dxa"/>
            <w:vAlign w:val="bottom"/>
            <w:tcBorders>
              <w:bottom w:val="single" w:sz="8" w:color="2360A6"/>
              <w:right w:val="single" w:sz="8" w:color="2360A6"/>
            </w:tcBorders>
          </w:tcPr>
          <w:p>
            <w:pPr>
              <w:spacing w:after="0"/>
              <w:rPr>
                <w:sz w:val="2"/>
                <w:szCs w:val="2"/>
                <w:color w:val="auto"/>
              </w:rPr>
            </w:pPr>
          </w:p>
        </w:tc>
        <w:tc>
          <w:tcPr>
            <w:tcW w:w="140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r>
      <w:tr>
        <w:trPr>
          <w:trHeight w:val="180"/>
        </w:trPr>
        <w:tc>
          <w:tcPr>
            <w:tcW w:w="53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Accumulated Impairment Losses</w:t>
            </w:r>
          </w:p>
        </w:tc>
        <w:tc>
          <w:tcPr>
            <w:tcW w:w="106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6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r>
      <w:tr>
        <w:trPr>
          <w:trHeight w:val="30"/>
        </w:trPr>
        <w:tc>
          <w:tcPr>
            <w:tcW w:w="5360" w:type="dxa"/>
            <w:vAlign w:val="bottom"/>
            <w:tcBorders>
              <w:left w:val="single" w:sz="8" w:color="2360A6"/>
              <w:bottom w:val="single" w:sz="8" w:color="2360A6"/>
              <w:right w:val="single" w:sz="8" w:color="2360A6"/>
            </w:tcBorders>
          </w:tcPr>
          <w:p>
            <w:pPr>
              <w:spacing w:after="0"/>
              <w:rPr>
                <w:sz w:val="2"/>
                <w:szCs w:val="2"/>
                <w:color w:val="auto"/>
              </w:rPr>
            </w:pPr>
          </w:p>
        </w:tc>
        <w:tc>
          <w:tcPr>
            <w:tcW w:w="1060" w:type="dxa"/>
            <w:vAlign w:val="bottom"/>
            <w:tcBorders>
              <w:bottom w:val="single" w:sz="8" w:color="2360A6"/>
              <w:right w:val="single" w:sz="8" w:color="2360A6"/>
            </w:tcBorders>
          </w:tcPr>
          <w:p>
            <w:pPr>
              <w:spacing w:after="0"/>
              <w:rPr>
                <w:sz w:val="2"/>
                <w:szCs w:val="2"/>
                <w:color w:val="auto"/>
              </w:rPr>
            </w:pPr>
          </w:p>
        </w:tc>
        <w:tc>
          <w:tcPr>
            <w:tcW w:w="1400" w:type="dxa"/>
            <w:vAlign w:val="bottom"/>
            <w:tcBorders>
              <w:bottom w:val="single" w:sz="8" w:color="2360A6"/>
              <w:right w:val="single" w:sz="8" w:color="2360A6"/>
            </w:tcBorders>
          </w:tcPr>
          <w:p>
            <w:pPr>
              <w:spacing w:after="0"/>
              <w:rPr>
                <w:sz w:val="2"/>
                <w:szCs w:val="2"/>
                <w:color w:val="auto"/>
              </w:rPr>
            </w:pPr>
          </w:p>
        </w:tc>
        <w:tc>
          <w:tcPr>
            <w:tcW w:w="96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c>
          <w:tcPr>
            <w:tcW w:w="940" w:type="dxa"/>
            <w:vAlign w:val="bottom"/>
            <w:tcBorders>
              <w:bottom w:val="single" w:sz="8" w:color="2360A6"/>
              <w:right w:val="single" w:sz="8" w:color="2360A6"/>
            </w:tcBorders>
          </w:tcPr>
          <w:p>
            <w:pPr>
              <w:spacing w:after="0"/>
              <w:rPr>
                <w:sz w:val="2"/>
                <w:szCs w:val="2"/>
                <w:color w:val="auto"/>
              </w:rPr>
            </w:pPr>
          </w:p>
        </w:tc>
      </w:tr>
      <w:tr>
        <w:trPr>
          <w:trHeight w:val="190"/>
        </w:trPr>
        <w:tc>
          <w:tcPr>
            <w:tcW w:w="5360" w:type="dxa"/>
            <w:vAlign w:val="bottom"/>
            <w:tcBorders>
              <w:left w:val="single" w:sz="8" w:color="2360A6"/>
              <w:bottom w:val="single" w:sz="8" w:color="D2DEEC"/>
              <w:right w:val="single" w:sz="8" w:color="2360A6"/>
            </w:tcBorders>
            <w:shd w:val="clear" w:color="auto" w:fill="D2DEEC"/>
          </w:tcPr>
          <w:p>
            <w:pPr>
              <w:ind w:left="40"/>
              <w:spacing w:after="0"/>
              <w:rPr>
                <w:sz w:val="20"/>
                <w:szCs w:val="20"/>
                <w:color w:val="auto"/>
              </w:rPr>
            </w:pPr>
            <w:r>
              <w:rPr>
                <w:rFonts w:ascii="Arial" w:cs="Arial" w:eastAsia="Arial" w:hAnsi="Arial"/>
                <w:sz w:val="13"/>
                <w:szCs w:val="13"/>
                <w:b w:val="1"/>
                <w:bCs w:val="1"/>
                <w:color w:val="2360A6"/>
              </w:rPr>
              <w:t>NET BOOK VALUE AS OF DECEMBER 31, 2016</w:t>
            </w:r>
          </w:p>
        </w:tc>
        <w:tc>
          <w:tcPr>
            <w:tcW w:w="1060" w:type="dxa"/>
            <w:vAlign w:val="bottom"/>
            <w:tcBorders>
              <w:bottom w:val="single" w:sz="8" w:color="D2DEEC"/>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3,527.5</w:t>
            </w:r>
          </w:p>
        </w:tc>
        <w:tc>
          <w:tcPr>
            <w:tcW w:w="1400" w:type="dxa"/>
            <w:vAlign w:val="bottom"/>
            <w:tcBorders>
              <w:bottom w:val="single" w:sz="8" w:color="D2DEEC"/>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44.0</w:t>
            </w:r>
          </w:p>
        </w:tc>
        <w:tc>
          <w:tcPr>
            <w:tcW w:w="960" w:type="dxa"/>
            <w:vAlign w:val="bottom"/>
            <w:tcBorders>
              <w:bottom w:val="single" w:sz="8" w:color="D2DEEC"/>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46.6</w:t>
            </w:r>
          </w:p>
        </w:tc>
        <w:tc>
          <w:tcPr>
            <w:tcW w:w="940" w:type="dxa"/>
            <w:vAlign w:val="bottom"/>
            <w:tcBorders>
              <w:bottom w:val="single" w:sz="8" w:color="D2DEEC"/>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151.7</w:t>
            </w:r>
          </w:p>
        </w:tc>
        <w:tc>
          <w:tcPr>
            <w:tcW w:w="940" w:type="dxa"/>
            <w:vAlign w:val="bottom"/>
            <w:tcBorders>
              <w:bottom w:val="single" w:sz="8" w:color="D2DEEC"/>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3,769.8</w:t>
            </w:r>
          </w:p>
        </w:tc>
      </w:tr>
      <w:tr>
        <w:trPr>
          <w:trHeight w:val="20"/>
        </w:trPr>
        <w:tc>
          <w:tcPr>
            <w:tcW w:w="5360" w:type="dxa"/>
            <w:vAlign w:val="bottom"/>
            <w:tcBorders>
              <w:left w:val="single" w:sz="8" w:color="2360A6"/>
              <w:right w:val="single" w:sz="8" w:color="2360A6"/>
            </w:tcBorders>
            <w:shd w:val="clear" w:color="auto" w:fill="2360A6"/>
          </w:tcPr>
          <w:p>
            <w:pPr>
              <w:spacing w:after="0" w:line="20" w:lineRule="exact"/>
              <w:rPr>
                <w:sz w:val="1"/>
                <w:szCs w:val="1"/>
                <w:color w:val="auto"/>
              </w:rPr>
            </w:pPr>
          </w:p>
        </w:tc>
        <w:tc>
          <w:tcPr>
            <w:tcW w:w="1060" w:type="dxa"/>
            <w:vAlign w:val="bottom"/>
            <w:tcBorders>
              <w:right w:val="single" w:sz="8" w:color="2360A6"/>
            </w:tcBorders>
            <w:shd w:val="clear" w:color="auto" w:fill="2360A6"/>
          </w:tcPr>
          <w:p>
            <w:pPr>
              <w:spacing w:after="0" w:line="20" w:lineRule="exact"/>
              <w:rPr>
                <w:sz w:val="1"/>
                <w:szCs w:val="1"/>
                <w:color w:val="auto"/>
              </w:rPr>
            </w:pPr>
          </w:p>
        </w:tc>
        <w:tc>
          <w:tcPr>
            <w:tcW w:w="1400" w:type="dxa"/>
            <w:vAlign w:val="bottom"/>
            <w:tcBorders>
              <w:right w:val="single" w:sz="8" w:color="2360A6"/>
            </w:tcBorders>
            <w:shd w:val="clear" w:color="auto" w:fill="2360A6"/>
          </w:tcPr>
          <w:p>
            <w:pPr>
              <w:spacing w:after="0" w:line="20" w:lineRule="exact"/>
              <w:rPr>
                <w:sz w:val="1"/>
                <w:szCs w:val="1"/>
                <w:color w:val="auto"/>
              </w:rPr>
            </w:pPr>
          </w:p>
        </w:tc>
        <w:tc>
          <w:tcPr>
            <w:tcW w:w="960" w:type="dxa"/>
            <w:vAlign w:val="bottom"/>
            <w:tcBorders>
              <w:right w:val="single" w:sz="8" w:color="2360A6"/>
            </w:tcBorders>
            <w:shd w:val="clear" w:color="auto" w:fill="2360A6"/>
          </w:tcPr>
          <w:p>
            <w:pPr>
              <w:spacing w:after="0" w:line="20" w:lineRule="exact"/>
              <w:rPr>
                <w:sz w:val="1"/>
                <w:szCs w:val="1"/>
                <w:color w:val="auto"/>
              </w:rPr>
            </w:pPr>
          </w:p>
        </w:tc>
        <w:tc>
          <w:tcPr>
            <w:tcW w:w="940" w:type="dxa"/>
            <w:vAlign w:val="bottom"/>
            <w:tcBorders>
              <w:right w:val="single" w:sz="8" w:color="2360A6"/>
            </w:tcBorders>
            <w:shd w:val="clear" w:color="auto" w:fill="2360A6"/>
          </w:tcPr>
          <w:p>
            <w:pPr>
              <w:spacing w:after="0" w:line="20" w:lineRule="exact"/>
              <w:rPr>
                <w:sz w:val="1"/>
                <w:szCs w:val="1"/>
                <w:color w:val="auto"/>
              </w:rPr>
            </w:pPr>
          </w:p>
        </w:tc>
        <w:tc>
          <w:tcPr>
            <w:tcW w:w="940" w:type="dxa"/>
            <w:vAlign w:val="bottom"/>
            <w:tcBorders>
              <w:right w:val="single" w:sz="8" w:color="2360A6"/>
            </w:tcBorders>
            <w:shd w:val="clear" w:color="auto" w:fill="2360A6"/>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Changes in Net Intangible Assets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Changes in net intangible assets break down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87630</wp:posOffset>
            </wp:positionV>
            <wp:extent cx="6766560" cy="4459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66560" cy="4459605"/>
                    </a:xfrm>
                    <a:prstGeom prst="rect">
                      <a:avLst/>
                    </a:prstGeom>
                    <a:noFill/>
                  </pic:spPr>
                </pic:pic>
              </a:graphicData>
            </a:graphic>
          </wp:anchor>
        </w:drawing>
      </w:r>
    </w:p>
    <w:p>
      <w:pPr>
        <w:spacing w:after="0" w:line="98" w:lineRule="exact"/>
        <w:rPr>
          <w:sz w:val="20"/>
          <w:szCs w:val="20"/>
          <w:color w:val="auto"/>
        </w:rPr>
      </w:pPr>
    </w:p>
    <w:tbl>
      <w:tblPr>
        <w:tblLayout w:type="fixed"/>
        <w:tblInd w:w="320" w:type="dxa"/>
        <w:tblCellMar>
          <w:top w:w="0" w:type="dxa"/>
          <w:left w:w="0" w:type="dxa"/>
          <w:bottom w:w="0" w:type="dxa"/>
          <w:right w:w="0" w:type="dxa"/>
        </w:tblCellMar>
      </w:tblPr>
      <w:tr>
        <w:trPr>
          <w:trHeight w:val="154"/>
        </w:trPr>
        <w:tc>
          <w:tcPr>
            <w:tcW w:w="5360" w:type="dxa"/>
            <w:vAlign w:val="bottom"/>
            <w:tcBorders>
              <w:top w:val="single" w:sz="8" w:color="2360A6"/>
              <w:right w:val="single" w:sz="8" w:color="2360A6"/>
            </w:tcBorders>
          </w:tcPr>
          <w:p>
            <w:pPr>
              <w:spacing w:after="0"/>
              <w:rPr>
                <w:sz w:val="13"/>
                <w:szCs w:val="13"/>
                <w:color w:val="auto"/>
              </w:rPr>
            </w:pPr>
          </w:p>
        </w:tc>
        <w:tc>
          <w:tcPr>
            <w:tcW w:w="1060" w:type="dxa"/>
            <w:vAlign w:val="bottom"/>
            <w:tcBorders>
              <w:top w:val="single" w:sz="8" w:color="2360A6"/>
              <w:right w:val="single" w:sz="8" w:color="2360A6"/>
            </w:tcBorders>
          </w:tcPr>
          <w:p>
            <w:pPr>
              <w:spacing w:after="0"/>
              <w:rPr>
                <w:sz w:val="13"/>
                <w:szCs w:val="13"/>
                <w:color w:val="auto"/>
              </w:rPr>
            </w:pPr>
          </w:p>
        </w:tc>
        <w:tc>
          <w:tcPr>
            <w:tcW w:w="140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Licenses, Patents</w:t>
            </w:r>
          </w:p>
        </w:tc>
        <w:tc>
          <w:tcPr>
            <w:tcW w:w="960" w:type="dxa"/>
            <w:vAlign w:val="bottom"/>
            <w:tcBorders>
              <w:top w:val="single" w:sz="8" w:color="2360A6"/>
              <w:right w:val="single" w:sz="8" w:color="2360A6"/>
            </w:tcBorders>
          </w:tcPr>
          <w:p>
            <w:pPr>
              <w:spacing w:after="0"/>
              <w:rPr>
                <w:sz w:val="13"/>
                <w:szCs w:val="13"/>
                <w:color w:val="auto"/>
              </w:rPr>
            </w:pPr>
          </w:p>
        </w:tc>
        <w:tc>
          <w:tcPr>
            <w:tcW w:w="940" w:type="dxa"/>
            <w:vAlign w:val="bottom"/>
            <w:tcBorders>
              <w:top w:val="single" w:sz="8" w:color="2360A6"/>
              <w:right w:val="single" w:sz="8" w:color="2360A6"/>
            </w:tcBorders>
          </w:tcPr>
          <w:p>
            <w:pPr>
              <w:spacing w:after="0"/>
              <w:rPr>
                <w:sz w:val="13"/>
                <w:szCs w:val="13"/>
                <w:color w:val="auto"/>
              </w:rPr>
            </w:pPr>
          </w:p>
        </w:tc>
        <w:tc>
          <w:tcPr>
            <w:tcW w:w="920" w:type="dxa"/>
            <w:vAlign w:val="bottom"/>
            <w:tcBorders>
              <w:top w:val="single" w:sz="8" w:color="2360A6"/>
            </w:tcBorders>
          </w:tcPr>
          <w:p>
            <w:pPr>
              <w:spacing w:after="0"/>
              <w:rPr>
                <w:sz w:val="13"/>
                <w:szCs w:val="13"/>
                <w:color w:val="auto"/>
              </w:rPr>
            </w:pPr>
          </w:p>
        </w:tc>
        <w:tc>
          <w:tcPr>
            <w:tcW w:w="20" w:type="dxa"/>
            <w:vAlign w:val="bottom"/>
            <w:tcBorders>
              <w:top w:val="single" w:sz="8" w:color="2360A6"/>
            </w:tcBorders>
          </w:tcPr>
          <w:p>
            <w:pPr>
              <w:spacing w:after="0"/>
              <w:rPr>
                <w:sz w:val="13"/>
                <w:szCs w:val="13"/>
                <w:color w:val="auto"/>
              </w:rPr>
            </w:pPr>
          </w:p>
        </w:tc>
      </w:tr>
      <w:tr>
        <w:trPr>
          <w:trHeight w:val="178"/>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In millions of Euro</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Goodwill</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and Trademarks</w:t>
            </w: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Software</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Other</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Total</w:t>
            </w:r>
          </w:p>
        </w:tc>
        <w:tc>
          <w:tcPr>
            <w:tcW w:w="20" w:type="dxa"/>
            <w:vAlign w:val="bottom"/>
            <w:tcBorders>
              <w:bottom w:val="single" w:sz="8" w:color="2360A6"/>
            </w:tcBorders>
          </w:tcPr>
          <w:p>
            <w:pPr>
              <w:spacing w:after="0"/>
              <w:rPr>
                <w:sz w:val="15"/>
                <w:szCs w:val="15"/>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Net Book Value as of January 1, 2014</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3,226.1</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46.6</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59.2</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0.7</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3,332.6</w:t>
            </w:r>
          </w:p>
        </w:tc>
        <w:tc>
          <w:tcPr>
            <w:tcW w:w="20" w:type="dxa"/>
            <w:vAlign w:val="bottom"/>
            <w:tcBorders>
              <w:bottom w:val="single" w:sz="8" w:color="2360A6"/>
            </w:tcBorders>
          </w:tcPr>
          <w:p>
            <w:pPr>
              <w:spacing w:after="0"/>
              <w:rPr>
                <w:sz w:val="18"/>
                <w:szCs w:val="18"/>
                <w:color w:val="auto"/>
              </w:rPr>
            </w:pPr>
          </w:p>
        </w:tc>
      </w:tr>
      <w:tr>
        <w:trPr>
          <w:trHeight w:val="223"/>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Additions - Acquisitions - Internal Developments</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15.2</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15.2</w:t>
            </w:r>
          </w:p>
        </w:tc>
        <w:tc>
          <w:tcPr>
            <w:tcW w:w="20" w:type="dxa"/>
            <w:vAlign w:val="bottom"/>
            <w:tcBorders>
              <w:bottom w:val="single" w:sz="8" w:color="2360A6"/>
            </w:tcBorders>
          </w:tcPr>
          <w:p>
            <w:pPr>
              <w:spacing w:after="0"/>
              <w:rPr>
                <w:sz w:val="19"/>
                <w:szCs w:val="19"/>
                <w:color w:val="auto"/>
              </w:rPr>
            </w:pPr>
          </w:p>
        </w:tc>
      </w:tr>
      <w:tr>
        <w:trPr>
          <w:trHeight w:val="223"/>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Additions - Business Combinations</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72.9</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1.0</w:t>
            </w: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73.9</w:t>
            </w:r>
          </w:p>
        </w:tc>
        <w:tc>
          <w:tcPr>
            <w:tcW w:w="20" w:type="dxa"/>
            <w:vAlign w:val="bottom"/>
            <w:tcBorders>
              <w:bottom w:val="single" w:sz="8" w:color="2360A6"/>
            </w:tcBorders>
          </w:tcPr>
          <w:p>
            <w:pPr>
              <w:spacing w:after="0"/>
              <w:rPr>
                <w:sz w:val="19"/>
                <w:szCs w:val="19"/>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Disposals - Write-off</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Amortization Charge for the Year</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(3.1)</w:t>
            </w: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(16.1)</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(0.3)</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(19.5)</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Impairment Losses</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Net Foreign Exchange Differences </w:t>
            </w:r>
            <w:r>
              <w:rPr>
                <w:rFonts w:ascii="Arial" w:cs="Arial" w:eastAsia="Arial" w:hAnsi="Arial"/>
                <w:sz w:val="8"/>
                <w:szCs w:val="8"/>
                <w:color w:val="231F20"/>
              </w:rPr>
              <w:t>(1)</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89.7</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4.4</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0.6</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0.1</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94.8</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Other</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(0.6)</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0.1</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(0.5)</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Net Book Value as of December 31, 2014</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3,388.7</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48.9</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58.3</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0.6</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3,496.5</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Additions - Acquisitions - Internal Developments </w:t>
            </w:r>
            <w:r>
              <w:rPr>
                <w:rFonts w:ascii="Arial" w:cs="Arial" w:eastAsia="Arial" w:hAnsi="Arial"/>
                <w:sz w:val="8"/>
                <w:szCs w:val="8"/>
                <w:color w:val="231F20"/>
              </w:rPr>
              <w:t>(2)</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0.1</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11.5</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1.4</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13.0</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Additions - Business Combinations</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36.5</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0.1</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36.6</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Disposals - Write-off</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(0.1)</w:t>
            </w: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(0.1)</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Amortization Charge for the Year</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(4.1)</w:t>
            </w: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(17.0)</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(21.1)</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Impairment Losses</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Net Foreign Exchange Differences </w:t>
            </w:r>
            <w:r>
              <w:rPr>
                <w:rFonts w:ascii="Arial" w:cs="Arial" w:eastAsia="Arial" w:hAnsi="Arial"/>
                <w:sz w:val="8"/>
                <w:szCs w:val="8"/>
                <w:color w:val="231F20"/>
              </w:rPr>
              <w:t>(1)</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52.8</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2.4</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0.5</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55.7</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Other</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1.8</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0.1</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1.9</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Net Book Value as of December 31, 2015</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3,478.0</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49.0</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53.5</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2.0</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3,582.5</w:t>
            </w:r>
          </w:p>
        </w:tc>
        <w:tc>
          <w:tcPr>
            <w:tcW w:w="20" w:type="dxa"/>
            <w:vAlign w:val="bottom"/>
            <w:tcBorders>
              <w:bottom w:val="single" w:sz="8" w:color="2360A6"/>
            </w:tcBorders>
          </w:tcPr>
          <w:p>
            <w:pPr>
              <w:spacing w:after="0"/>
              <w:rPr>
                <w:sz w:val="18"/>
                <w:szCs w:val="18"/>
                <w:color w:val="auto"/>
              </w:rPr>
            </w:pPr>
          </w:p>
        </w:tc>
      </w:tr>
      <w:tr>
        <w:trPr>
          <w:trHeight w:val="223"/>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Additions - Acquisitions - Internal Developments </w:t>
            </w:r>
            <w:r>
              <w:rPr>
                <w:rFonts w:ascii="Arial" w:cs="Arial" w:eastAsia="Arial" w:hAnsi="Arial"/>
                <w:sz w:val="8"/>
                <w:szCs w:val="8"/>
                <w:color w:val="231F20"/>
              </w:rPr>
              <w:t>(3)</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2.5</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6.5</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145.5</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154.5</w:t>
            </w:r>
          </w:p>
        </w:tc>
        <w:tc>
          <w:tcPr>
            <w:tcW w:w="20" w:type="dxa"/>
            <w:vAlign w:val="bottom"/>
            <w:tcBorders>
              <w:bottom w:val="single" w:sz="8" w:color="2360A6"/>
            </w:tcBorders>
          </w:tcPr>
          <w:p>
            <w:pPr>
              <w:spacing w:after="0"/>
              <w:rPr>
                <w:sz w:val="19"/>
                <w:szCs w:val="19"/>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Additions - Business Combinations</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Disposals - Write-off</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(0.8)</w:t>
            </w: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(1.0)</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(1.8)</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Amortization Charge for the Year</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(2.7)</w:t>
            </w: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(12.5)</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(0.6)</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(15.8)</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Impairment Losses</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bottom w:val="single" w:sz="8" w:color="2360A6"/>
            </w:tcBorders>
          </w:tcPr>
          <w:p>
            <w:pPr>
              <w:spacing w:after="0"/>
              <w:rPr>
                <w:sz w:val="18"/>
                <w:szCs w:val="18"/>
                <w:color w:val="auto"/>
              </w:rPr>
            </w:pPr>
          </w:p>
        </w:tc>
      </w:tr>
      <w:tr>
        <w:trPr>
          <w:trHeight w:val="223"/>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Net Foreign Exchange Differences </w:t>
            </w:r>
            <w:r>
              <w:rPr>
                <w:rFonts w:ascii="Arial" w:cs="Arial" w:eastAsia="Arial" w:hAnsi="Arial"/>
                <w:sz w:val="8"/>
                <w:szCs w:val="8"/>
                <w:color w:val="231F20"/>
              </w:rPr>
              <w:t>(1)</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49.5</w:t>
            </w:r>
          </w:p>
        </w:tc>
        <w:tc>
          <w:tcPr>
            <w:tcW w:w="140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0.8</w:t>
            </w: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0.2</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1.4</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color w:val="231F20"/>
              </w:rPr>
              <w:t>51.9</w:t>
            </w:r>
          </w:p>
        </w:tc>
        <w:tc>
          <w:tcPr>
            <w:tcW w:w="20" w:type="dxa"/>
            <w:vAlign w:val="bottom"/>
            <w:tcBorders>
              <w:bottom w:val="single" w:sz="8" w:color="2360A6"/>
            </w:tcBorders>
          </w:tcPr>
          <w:p>
            <w:pPr>
              <w:spacing w:after="0"/>
              <w:rPr>
                <w:sz w:val="19"/>
                <w:szCs w:val="19"/>
                <w:color w:val="auto"/>
              </w:rPr>
            </w:pPr>
          </w:p>
        </w:tc>
      </w:tr>
      <w:tr>
        <w:trPr>
          <w:trHeight w:val="210"/>
        </w:trPr>
        <w:tc>
          <w:tcPr>
            <w:tcW w:w="53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Other</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40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(4.8)</w:t>
            </w: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(0.1)</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3.4</w:t>
            </w:r>
          </w:p>
        </w:tc>
        <w:tc>
          <w:tcPr>
            <w:tcW w:w="9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(1.5)</w:t>
            </w:r>
          </w:p>
        </w:tc>
        <w:tc>
          <w:tcPr>
            <w:tcW w:w="20" w:type="dxa"/>
            <w:vAlign w:val="bottom"/>
            <w:tcBorders>
              <w:bottom w:val="single" w:sz="8" w:color="2360A6"/>
            </w:tcBorders>
          </w:tcPr>
          <w:p>
            <w:pPr>
              <w:spacing w:after="0"/>
              <w:rPr>
                <w:sz w:val="18"/>
                <w:szCs w:val="18"/>
                <w:color w:val="auto"/>
              </w:rPr>
            </w:pPr>
          </w:p>
        </w:tc>
      </w:tr>
      <w:tr>
        <w:trPr>
          <w:trHeight w:val="210"/>
        </w:trPr>
        <w:tc>
          <w:tcPr>
            <w:tcW w:w="5360" w:type="dxa"/>
            <w:vAlign w:val="bottom"/>
            <w:tcBorders>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3"/>
                <w:szCs w:val="13"/>
                <w:b w:val="1"/>
                <w:bCs w:val="1"/>
                <w:color w:val="2360A6"/>
              </w:rPr>
              <w:t>NET BOOK VALUE AS OF DECEMBER 31, 2016</w:t>
            </w:r>
          </w:p>
        </w:tc>
        <w:tc>
          <w:tcPr>
            <w:tcW w:w="106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3,527.5</w:t>
            </w:r>
          </w:p>
        </w:tc>
        <w:tc>
          <w:tcPr>
            <w:tcW w:w="140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44.0</w:t>
            </w:r>
          </w:p>
        </w:tc>
        <w:tc>
          <w:tcPr>
            <w:tcW w:w="96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46.6</w:t>
            </w:r>
          </w:p>
        </w:tc>
        <w:tc>
          <w:tcPr>
            <w:tcW w:w="94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151.7</w:t>
            </w:r>
          </w:p>
        </w:tc>
        <w:tc>
          <w:tcPr>
            <w:tcW w:w="920" w:type="dxa"/>
            <w:vAlign w:val="bottom"/>
            <w:tcBorders>
              <w:bottom w:val="single" w:sz="8" w:color="2360A6"/>
            </w:tcBorders>
            <w:shd w:val="clear" w:color="auto" w:fill="D2DEEC"/>
          </w:tcPr>
          <w:p>
            <w:pPr>
              <w:jc w:val="right"/>
              <w:ind w:right="37"/>
              <w:spacing w:after="0"/>
              <w:rPr>
                <w:sz w:val="20"/>
                <w:szCs w:val="20"/>
                <w:color w:val="auto"/>
              </w:rPr>
            </w:pPr>
            <w:r>
              <w:rPr>
                <w:rFonts w:ascii="Arial" w:cs="Arial" w:eastAsia="Arial" w:hAnsi="Arial"/>
                <w:sz w:val="13"/>
                <w:szCs w:val="13"/>
                <w:b w:val="1"/>
                <w:bCs w:val="1"/>
                <w:color w:val="2360A6"/>
              </w:rPr>
              <w:t>3,769.8</w:t>
            </w:r>
          </w:p>
        </w:tc>
        <w:tc>
          <w:tcPr>
            <w:tcW w:w="20" w:type="dxa"/>
            <w:vAlign w:val="bottom"/>
            <w:tcBorders>
              <w:bottom w:val="single" w:sz="8" w:color="2360A6"/>
            </w:tcBorders>
          </w:tcPr>
          <w:p>
            <w:pPr>
              <w:spacing w:after="0"/>
              <w:rPr>
                <w:sz w:val="18"/>
                <w:szCs w:val="18"/>
                <w:color w:val="auto"/>
              </w:rPr>
            </w:pPr>
          </w:p>
        </w:tc>
      </w:tr>
    </w:tbl>
    <w:p>
      <w:pPr>
        <w:spacing w:after="0" w:line="18" w:lineRule="exact"/>
        <w:rPr>
          <w:sz w:val="20"/>
          <w:szCs w:val="20"/>
          <w:color w:val="auto"/>
        </w:rPr>
      </w:pPr>
    </w:p>
    <w:p>
      <w:pPr>
        <w:ind w:left="360"/>
        <w:spacing w:after="0"/>
        <w:rPr>
          <w:sz w:val="20"/>
          <w:szCs w:val="20"/>
          <w:color w:val="auto"/>
        </w:rPr>
      </w:pPr>
      <w:r>
        <w:rPr>
          <w:rFonts w:ascii="Arial" w:cs="Arial" w:eastAsia="Arial" w:hAnsi="Arial"/>
          <w:sz w:val="9"/>
          <w:szCs w:val="9"/>
          <w:color w:val="231F20"/>
        </w:rPr>
        <w:t>(1)</w:t>
      </w:r>
      <w:r>
        <w:rPr>
          <w:rFonts w:ascii="Arial" w:cs="Arial" w:eastAsia="Arial" w:hAnsi="Arial"/>
          <w:sz w:val="12"/>
          <w:szCs w:val="12"/>
          <w:color w:val="231F20"/>
        </w:rPr>
        <w:t>Goodwill is mainly denominated in Euro.</w:t>
      </w:r>
    </w:p>
    <w:p>
      <w:pPr>
        <w:ind w:left="360" w:right="60"/>
        <w:spacing w:after="0" w:line="234" w:lineRule="auto"/>
        <w:rPr>
          <w:sz w:val="20"/>
          <w:szCs w:val="20"/>
          <w:color w:val="auto"/>
        </w:rPr>
      </w:pPr>
      <w:r>
        <w:rPr>
          <w:rFonts w:ascii="Arial" w:cs="Arial" w:eastAsia="Arial" w:hAnsi="Arial"/>
          <w:sz w:val="9"/>
          <w:szCs w:val="9"/>
          <w:color w:val="231F20"/>
        </w:rPr>
        <w:t>(2)</w:t>
      </w:r>
      <w:r>
        <w:rPr>
          <w:rFonts w:ascii="Arial" w:cs="Arial" w:eastAsia="Arial" w:hAnsi="Arial"/>
          <w:sz w:val="12"/>
          <w:szCs w:val="12"/>
          <w:color w:val="231F20"/>
        </w:rPr>
        <w:t>There is no variation of the intangible assets payables between December 31, 2014, and December 31, 2015. The cash flows associated with the acquisition of intangible assets then equal</w:t>
      </w:r>
      <w:r>
        <w:rPr>
          <w:rFonts w:ascii="Arial" w:cs="Arial" w:eastAsia="Arial" w:hAnsi="Arial"/>
          <w:sz w:val="9"/>
          <w:szCs w:val="9"/>
          <w:color w:val="231F20"/>
        </w:rPr>
        <w:t xml:space="preserve"> </w:t>
      </w:r>
      <w:r>
        <w:rPr>
          <w:rFonts w:ascii="Arial" w:cs="Arial" w:eastAsia="Arial" w:hAnsi="Arial"/>
          <w:sz w:val="12"/>
          <w:szCs w:val="12"/>
          <w:color w:val="231F20"/>
        </w:rPr>
        <w:t>to €(13.0) million.</w:t>
      </w:r>
    </w:p>
    <w:p>
      <w:pPr>
        <w:spacing w:after="0" w:line="1" w:lineRule="exact"/>
        <w:rPr>
          <w:sz w:val="20"/>
          <w:szCs w:val="20"/>
          <w:color w:val="auto"/>
        </w:rPr>
      </w:pPr>
    </w:p>
    <w:p>
      <w:pPr>
        <w:ind w:left="360" w:right="220"/>
        <w:spacing w:after="0" w:line="234" w:lineRule="auto"/>
        <w:rPr>
          <w:sz w:val="20"/>
          <w:szCs w:val="20"/>
          <w:color w:val="auto"/>
        </w:rPr>
      </w:pPr>
      <w:r>
        <w:rPr>
          <w:rFonts w:ascii="Arial" w:cs="Arial" w:eastAsia="Arial" w:hAnsi="Arial"/>
          <w:sz w:val="9"/>
          <w:szCs w:val="9"/>
          <w:color w:val="231F20"/>
        </w:rPr>
        <w:t>(3)</w:t>
      </w:r>
      <w:r>
        <w:rPr>
          <w:rFonts w:ascii="Arial" w:cs="Arial" w:eastAsia="Arial" w:hAnsi="Arial"/>
          <w:sz w:val="12"/>
          <w:szCs w:val="12"/>
          <w:color w:val="231F20"/>
        </w:rPr>
        <w:t>There is no variation of the intangible assets payables between December 31, 2015, and December 31, 2016. A non-cash intangible asset of €145.5 million was recognized as part of an</w:t>
      </w:r>
      <w:r>
        <w:rPr>
          <w:rFonts w:ascii="Arial" w:cs="Arial" w:eastAsia="Arial" w:hAnsi="Arial"/>
          <w:sz w:val="9"/>
          <w:szCs w:val="9"/>
          <w:color w:val="231F20"/>
        </w:rPr>
        <w:t xml:space="preserve"> </w:t>
      </w:r>
      <w:r>
        <w:rPr>
          <w:rFonts w:ascii="Arial" w:cs="Arial" w:eastAsia="Arial" w:hAnsi="Arial"/>
          <w:sz w:val="12"/>
          <w:szCs w:val="12"/>
          <w:color w:val="231F20"/>
        </w:rPr>
        <w:t>asset acquisition achieved as of December 31, 2016, which did not constitute a business as per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3"/>
          <w:szCs w:val="13"/>
          <w:color w:val="231F20"/>
        </w:rPr>
        <w:t>IFRS 3 “Business Combination”. The cash flows associated with the acquisition of intangible assets then equal to €(9.0) million.</w:t>
      </w:r>
    </w:p>
    <w:p>
      <w:pPr>
        <w:sectPr>
          <w:pgSz w:w="11900" w:h="16838" w:orient="portrait"/>
          <w:cols w:equalWidth="0" w:num="1">
            <w:col w:w="10980"/>
          </w:cols>
          <w:pgMar w:left="320" w:top="694" w:right="599" w:bottom="1440" w:gutter="0" w:footer="0" w:header="0"/>
        </w:sectPr>
      </w:pPr>
    </w:p>
    <w:bookmarkStart w:id="119" w:name="page120"/>
    <w:bookmarkEnd w:id="119"/>
    <w:p>
      <w:pPr>
        <w:ind w:left="80"/>
        <w:spacing w:after="0"/>
        <w:rPr>
          <w:sz w:val="20"/>
          <w:szCs w:val="20"/>
          <w:color w:val="auto"/>
        </w:rPr>
      </w:pPr>
      <w:r>
        <w:rPr>
          <w:rFonts w:ascii="Arial" w:cs="Arial" w:eastAsia="Arial" w:hAnsi="Arial"/>
          <w:sz w:val="25"/>
          <w:szCs w:val="25"/>
          <w:b w:val="1"/>
          <w:bCs w:val="1"/>
          <w:color w:val="231F20"/>
        </w:rPr>
        <w:t>(B) Goodwill</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The following table illustrates the detail of goodwill by business segment:</w:t>
      </w:r>
    </w:p>
    <w:p>
      <w:pPr>
        <w:spacing w:after="0" w:line="118" w:lineRule="exact"/>
        <w:rPr>
          <w:sz w:val="20"/>
          <w:szCs w:val="20"/>
          <w:color w:val="auto"/>
        </w:rPr>
      </w:pPr>
    </w:p>
    <w:tbl>
      <w:tblPr>
        <w:tblLayout w:type="fixed"/>
        <w:tblInd w:w="430" w:type="dxa"/>
        <w:tblCellMar>
          <w:top w:w="0" w:type="dxa"/>
          <w:left w:w="0" w:type="dxa"/>
          <w:bottom w:w="0" w:type="dxa"/>
          <w:right w:w="0" w:type="dxa"/>
        </w:tblCellMar>
      </w:tblPr>
      <w:tr>
        <w:trPr>
          <w:trHeight w:val="189"/>
        </w:trPr>
        <w:tc>
          <w:tcPr>
            <w:tcW w:w="4580" w:type="dxa"/>
            <w:vAlign w:val="bottom"/>
            <w:tcBorders>
              <w:top w:val="single" w:sz="8" w:color="2360A6"/>
              <w:left w:val="single" w:sz="8" w:color="2360A6"/>
              <w:right w:val="single" w:sz="8" w:color="2360A6"/>
            </w:tcBorders>
          </w:tcPr>
          <w:p>
            <w:pPr>
              <w:spacing w:after="0"/>
              <w:rPr>
                <w:sz w:val="16"/>
                <w:szCs w:val="16"/>
                <w:color w:val="auto"/>
              </w:rPr>
            </w:pPr>
          </w:p>
        </w:tc>
        <w:tc>
          <w:tcPr>
            <w:tcW w:w="2020" w:type="dxa"/>
            <w:vAlign w:val="bottom"/>
            <w:tcBorders>
              <w:top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w:t>
            </w:r>
          </w:p>
        </w:tc>
        <w:tc>
          <w:tcPr>
            <w:tcW w:w="200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As of</w:t>
            </w:r>
          </w:p>
        </w:tc>
        <w:tc>
          <w:tcPr>
            <w:tcW w:w="202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As of</w:t>
            </w:r>
          </w:p>
        </w:tc>
      </w:tr>
      <w:tr>
        <w:trPr>
          <w:trHeight w:val="162"/>
        </w:trPr>
        <w:tc>
          <w:tcPr>
            <w:tcW w:w="4580" w:type="dxa"/>
            <w:vAlign w:val="bottom"/>
            <w:tcBorders>
              <w:left w:val="single" w:sz="8" w:color="2360A6"/>
              <w:right w:val="single" w:sz="8" w:color="2360A6"/>
            </w:tcBorders>
          </w:tcPr>
          <w:p>
            <w:pPr>
              <w:spacing w:after="0"/>
              <w:rPr>
                <w:sz w:val="14"/>
                <w:szCs w:val="14"/>
                <w:color w:val="auto"/>
              </w:rPr>
            </w:pPr>
          </w:p>
        </w:tc>
        <w:tc>
          <w:tcPr>
            <w:tcW w:w="2020" w:type="dxa"/>
            <w:vAlign w:val="bottom"/>
            <w:tcBorders>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December 31,</w:t>
            </w:r>
          </w:p>
        </w:tc>
        <w:tc>
          <w:tcPr>
            <w:tcW w:w="200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December 31,</w:t>
            </w:r>
          </w:p>
        </w:tc>
        <w:tc>
          <w:tcPr>
            <w:tcW w:w="202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202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2015</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Subsea</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2,780.7</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2,734.8</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2,662.1</w:t>
            </w:r>
          </w:p>
        </w:tc>
      </w:tr>
      <w:tr>
        <w:trPr>
          <w:trHeight w:val="210"/>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Onshore/Offshore</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746.8</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743.2</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726.6</w:t>
            </w:r>
          </w:p>
        </w:tc>
      </w:tr>
      <w:tr>
        <w:trPr>
          <w:trHeight w:val="210"/>
        </w:trPr>
        <w:tc>
          <w:tcPr>
            <w:tcW w:w="458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GOODWILL</w:t>
            </w:r>
          </w:p>
        </w:tc>
        <w:tc>
          <w:tcPr>
            <w:tcW w:w="20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3,527.5</w:t>
            </w:r>
          </w:p>
        </w:tc>
        <w:tc>
          <w:tcPr>
            <w:tcW w:w="20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3,478.0</w:t>
            </w:r>
          </w:p>
        </w:tc>
        <w:tc>
          <w:tcPr>
            <w:tcW w:w="20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3,388.7</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231F20"/>
        </w:rPr>
        <w:t>Impairment tests were performed on the goodwill, using the method described in Note 1-C (a) - Use of estimates.</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2360A6"/>
        </w:rPr>
        <w:t>As of December 31, 2016</w:t>
      </w:r>
    </w:p>
    <w:p>
      <w:pPr>
        <w:spacing w:after="0" w:line="92" w:lineRule="exact"/>
        <w:rPr>
          <w:sz w:val="20"/>
          <w:szCs w:val="20"/>
          <w:color w:val="auto"/>
        </w:rPr>
      </w:pPr>
    </w:p>
    <w:p>
      <w:pPr>
        <w:jc w:val="both"/>
        <w:ind w:left="80"/>
        <w:spacing w:after="0" w:line="258" w:lineRule="auto"/>
        <w:rPr>
          <w:sz w:val="20"/>
          <w:szCs w:val="20"/>
          <w:color w:val="auto"/>
        </w:rPr>
      </w:pPr>
      <w:r>
        <w:rPr>
          <w:rFonts w:ascii="Arial" w:cs="Arial" w:eastAsia="Arial" w:hAnsi="Arial"/>
          <w:sz w:val="16"/>
          <w:szCs w:val="16"/>
          <w:color w:val="231F20"/>
        </w:rPr>
        <w:t>By using the discounted cash flow method, the impairment tests performed by the Group were based on the most likely assumptions with respect to activity and result. Assumptions made in 2016 relied on the business plans covering years 2017 to 2020 for each Cash-Generating Units (Onshore/Offshore and Subsea).</w:t>
      </w:r>
    </w:p>
    <w:p>
      <w:pPr>
        <w:spacing w:after="0" w:line="239" w:lineRule="exact"/>
        <w:rPr>
          <w:sz w:val="20"/>
          <w:szCs w:val="20"/>
          <w:color w:val="auto"/>
        </w:rPr>
      </w:pPr>
    </w:p>
    <w:p>
      <w:pPr>
        <w:jc w:val="both"/>
        <w:ind w:left="80"/>
        <w:spacing w:after="0" w:line="253" w:lineRule="auto"/>
        <w:rPr>
          <w:sz w:val="20"/>
          <w:szCs w:val="20"/>
          <w:color w:val="auto"/>
        </w:rPr>
      </w:pPr>
      <w:r>
        <w:rPr>
          <w:rFonts w:ascii="Arial" w:cs="Arial" w:eastAsia="Arial" w:hAnsi="Arial"/>
          <w:sz w:val="16"/>
          <w:szCs w:val="16"/>
          <w:color w:val="231F20"/>
        </w:rPr>
        <w:t>Beyond 2020, the growth rate taken into account was 2.25%, rate 0.25% lower than the one considered for 2015 impairment test. Cash flows were discounted at a rate of 9.0% after tax, rate 0.5% lower than the one considered for 2015 impairment test. The tax rate used in the model was 27.5%, rate 2.5% lower than the one considered for 2015 impairment test.</w:t>
      </w:r>
    </w:p>
    <w:p>
      <w:pPr>
        <w:spacing w:after="0" w:line="53" w:lineRule="exact"/>
        <w:rPr>
          <w:sz w:val="20"/>
          <w:szCs w:val="20"/>
          <w:color w:val="auto"/>
        </w:rPr>
      </w:pPr>
    </w:p>
    <w:p>
      <w:pPr>
        <w:jc w:val="both"/>
        <w:ind w:left="80"/>
        <w:spacing w:after="0" w:line="249" w:lineRule="auto"/>
        <w:rPr>
          <w:sz w:val="20"/>
          <w:szCs w:val="20"/>
          <w:color w:val="auto"/>
        </w:rPr>
      </w:pPr>
      <w:r>
        <w:rPr>
          <w:rFonts w:ascii="Arial" w:cs="Arial" w:eastAsia="Arial" w:hAnsi="Arial"/>
          <w:sz w:val="16"/>
          <w:szCs w:val="16"/>
          <w:color w:val="231F20"/>
        </w:rPr>
        <w:t>As of December 31, 2016, impairment tests performed on the net book value of goodwill did not result in the accounting of an impairment loss. A 1.0% (100 basis points) decrease in the 2017-2020 operating margin ratio relative to the business plan estimates, the use of a 1.25% (125 basis points) growth rate after 2020, or a plus or minus 1.0% (100 basis points) variation in the discount rate, or a plus or minus 20 days of revenues positive variation in the working capital per year on the business plan, would have no impact on the value of goodwill. The determination of recoverable amounts using a post-tax discount rate applied to post-tax cash flows would not be materially different from the ones that would have been obtained using a pre-tax discount rate applied to pre-tax cash flows.</w:t>
      </w: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2360A6"/>
        </w:rPr>
        <w:t>As of December 31, 2015</w:t>
      </w:r>
    </w:p>
    <w:p>
      <w:pPr>
        <w:spacing w:after="0" w:line="92" w:lineRule="exact"/>
        <w:rPr>
          <w:sz w:val="20"/>
          <w:szCs w:val="20"/>
          <w:color w:val="auto"/>
        </w:rPr>
      </w:pPr>
    </w:p>
    <w:p>
      <w:pPr>
        <w:jc w:val="both"/>
        <w:ind w:left="80"/>
        <w:spacing w:after="0" w:line="258" w:lineRule="auto"/>
        <w:rPr>
          <w:sz w:val="20"/>
          <w:szCs w:val="20"/>
          <w:color w:val="auto"/>
        </w:rPr>
      </w:pPr>
      <w:r>
        <w:rPr>
          <w:rFonts w:ascii="Arial" w:cs="Arial" w:eastAsia="Arial" w:hAnsi="Arial"/>
          <w:sz w:val="16"/>
          <w:szCs w:val="16"/>
          <w:color w:val="231F20"/>
        </w:rPr>
        <w:t>By using the discounted cash flow method, the impairment tests performed by the Group were based on the most likely assumptions with respect to activity and result. Assumptions made in 2015 relied on the business plans covering years 2016 to 2019 for each Cash-Generating Units (Onshore/Offshore and Subsea).</w:t>
      </w:r>
    </w:p>
    <w:p>
      <w:pPr>
        <w:spacing w:after="0" w:line="239" w:lineRule="exact"/>
        <w:rPr>
          <w:sz w:val="20"/>
          <w:szCs w:val="20"/>
          <w:color w:val="auto"/>
        </w:rPr>
      </w:pPr>
    </w:p>
    <w:p>
      <w:pPr>
        <w:jc w:val="both"/>
        <w:ind w:left="80"/>
        <w:spacing w:after="0" w:line="246" w:lineRule="auto"/>
        <w:rPr>
          <w:sz w:val="20"/>
          <w:szCs w:val="20"/>
          <w:color w:val="auto"/>
        </w:rPr>
      </w:pPr>
      <w:r>
        <w:rPr>
          <w:rFonts w:ascii="Arial" w:cs="Arial" w:eastAsia="Arial" w:hAnsi="Arial"/>
          <w:sz w:val="16"/>
          <w:szCs w:val="16"/>
          <w:color w:val="231F20"/>
        </w:rPr>
        <w:t>Beyond 2019, the growth rate taken into account was 2.5%, rate 0.5% lower than the one considered for 2014 impairment test. Cash flows were discounted at a rate of 9.5% after tax, rate 0.5% lower than the one considered for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2014 impairment test. The tax rate used in the model was 30.0%, unchanged compared to 2014.</w:t>
      </w:r>
    </w:p>
    <w:p>
      <w:pPr>
        <w:spacing w:after="0" w:line="73" w:lineRule="exact"/>
        <w:rPr>
          <w:sz w:val="20"/>
          <w:szCs w:val="20"/>
          <w:color w:val="auto"/>
        </w:rPr>
      </w:pPr>
    </w:p>
    <w:p>
      <w:pPr>
        <w:jc w:val="both"/>
        <w:ind w:left="80"/>
        <w:spacing w:after="0" w:line="249" w:lineRule="auto"/>
        <w:rPr>
          <w:sz w:val="20"/>
          <w:szCs w:val="20"/>
          <w:color w:val="auto"/>
        </w:rPr>
      </w:pPr>
      <w:r>
        <w:rPr>
          <w:rFonts w:ascii="Arial" w:cs="Arial" w:eastAsia="Arial" w:hAnsi="Arial"/>
          <w:sz w:val="16"/>
          <w:szCs w:val="16"/>
          <w:color w:val="231F20"/>
        </w:rPr>
        <w:t>As of December 31, 2015, impairment tests performed on the net book value of goodwill did not result in the accounting of an impairment loss. A 1.0% (100 basis points) decrease in the 2016-2019 operating margin ratio relative to the business plan estimates, the use of a 1.5% (150 basis points) growth rate after 2019, or a plus or minus 1.0% (100 basis points) variation in the discount rate, or a plus or minus 20 days of revenues positive variation in the working capital per year on the business plan, would have no impact on the value of goodwill. The determination of recoverable amounts using a post-tax discount rate applied to post-tax cash flows would not be materially different from the ones that would have been obtained using a pre-tax discount rate applied to pre-tax cash flows.</w:t>
      </w:r>
    </w:p>
    <w:p>
      <w:pPr>
        <w:spacing w:after="0" w:line="37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2360A6"/>
        </w:rPr>
        <w:t>As of December 31, 2014</w:t>
      </w:r>
    </w:p>
    <w:p>
      <w:pPr>
        <w:spacing w:after="0" w:line="241" w:lineRule="exact"/>
        <w:rPr>
          <w:sz w:val="20"/>
          <w:szCs w:val="20"/>
          <w:color w:val="auto"/>
        </w:rPr>
      </w:pPr>
    </w:p>
    <w:p>
      <w:pPr>
        <w:jc w:val="both"/>
        <w:ind w:left="80"/>
        <w:spacing w:after="0" w:line="260" w:lineRule="auto"/>
        <w:rPr>
          <w:sz w:val="20"/>
          <w:szCs w:val="20"/>
          <w:color w:val="auto"/>
        </w:rPr>
      </w:pPr>
      <w:r>
        <w:rPr>
          <w:rFonts w:ascii="Arial" w:cs="Arial" w:eastAsia="Arial" w:hAnsi="Arial"/>
          <w:sz w:val="16"/>
          <w:szCs w:val="16"/>
          <w:color w:val="231F20"/>
        </w:rPr>
        <w:t>By using the discounted cash flow method, the impairment tests performed by the Group were based on the most likely assumptions with respect to activity and result. Assumptions made in 2014 relied on the business plans covering years 2015 to 2017 for each Cash-Generating Units (Onshore/Offshore/Subsea).</w:t>
      </w:r>
    </w:p>
    <w:p>
      <w:pPr>
        <w:spacing w:after="0" w:line="196" w:lineRule="exact"/>
        <w:rPr>
          <w:sz w:val="20"/>
          <w:szCs w:val="20"/>
          <w:color w:val="auto"/>
        </w:rPr>
      </w:pPr>
    </w:p>
    <w:p>
      <w:pPr>
        <w:jc w:val="both"/>
        <w:ind w:left="80"/>
        <w:spacing w:after="0" w:line="253" w:lineRule="auto"/>
        <w:rPr>
          <w:sz w:val="20"/>
          <w:szCs w:val="20"/>
          <w:color w:val="auto"/>
        </w:rPr>
      </w:pPr>
      <w:r>
        <w:rPr>
          <w:rFonts w:ascii="Arial" w:cs="Arial" w:eastAsia="Arial" w:hAnsi="Arial"/>
          <w:sz w:val="16"/>
          <w:szCs w:val="16"/>
          <w:color w:val="231F20"/>
        </w:rPr>
        <w:t>As a general rule, these business plans are determined in accordance with the Group accounting methods to establish its consolidated historical statements. The backlog and backlog scheduling forecasts, the investments in production capabilities, fleet and other logistic capabilities, as well as the internal and external market studies are critical to the elaboration of Technip’s business plans.</w:t>
      </w:r>
    </w:p>
    <w:p>
      <w:pPr>
        <w:spacing w:after="0" w:line="201" w:lineRule="exact"/>
        <w:rPr>
          <w:sz w:val="20"/>
          <w:szCs w:val="20"/>
          <w:color w:val="auto"/>
        </w:rPr>
      </w:pPr>
    </w:p>
    <w:p>
      <w:pPr>
        <w:jc w:val="both"/>
        <w:ind w:left="80"/>
        <w:spacing w:after="0" w:line="253" w:lineRule="auto"/>
        <w:rPr>
          <w:sz w:val="20"/>
          <w:szCs w:val="20"/>
          <w:color w:val="auto"/>
        </w:rPr>
      </w:pPr>
      <w:r>
        <w:rPr>
          <w:rFonts w:ascii="Arial" w:cs="Arial" w:eastAsia="Arial" w:hAnsi="Arial"/>
          <w:sz w:val="16"/>
          <w:szCs w:val="16"/>
          <w:color w:val="231F20"/>
        </w:rPr>
        <w:t>Beyond 2017, the growth rate taken into account was 3.0% (according to the rates of the World Bank distinguishing countries OECD and not OECD and that of the International Monetary Fund). Cash flows were discounted at a rate of 10.0% after tax. The tax rate used in the model was 30.0%. The assumptions of growth rate, discount rate and tax rate used in 2014 are unchanged compared to 2013.</w:t>
      </w:r>
    </w:p>
    <w:p>
      <w:pPr>
        <w:sectPr>
          <w:pgSz w:w="11900" w:h="16838" w:orient="portrait"/>
          <w:cols w:equalWidth="0" w:num="1">
            <w:col w:w="11420"/>
          </w:cols>
          <w:pgMar w:left="240" w:top="676" w:right="239" w:bottom="1440" w:gutter="0" w:footer="0" w:header="0"/>
        </w:sectPr>
      </w:pPr>
    </w:p>
    <w:bookmarkStart w:id="120" w:name="page121"/>
    <w:bookmarkEnd w:id="120"/>
    <w:p>
      <w:pPr>
        <w:jc w:val="both"/>
        <w:spacing w:after="0" w:line="250" w:lineRule="auto"/>
        <w:rPr>
          <w:sz w:val="20"/>
          <w:szCs w:val="20"/>
          <w:color w:val="auto"/>
        </w:rPr>
      </w:pPr>
      <w:r>
        <w:rPr>
          <w:rFonts w:ascii="Arial" w:cs="Arial" w:eastAsia="Arial" w:hAnsi="Arial"/>
          <w:sz w:val="16"/>
          <w:szCs w:val="16"/>
          <w:color w:val="231F20"/>
        </w:rPr>
        <w:t>As of December 31, 2014, impairment tests performed on the net book value of goodwill did not result in the accounting of an impairment loss. A 1.0% decrease in the 2017 operating margin ratio relative to the business plan estimates, the use of a 2.0% growth rate after 2017, or a plus or minus 1.0% variation in the discount rate would have no impact on the value of goodwill. The determination of recoverable amounts using a post-tax discount rate applied to post-tax cash flows would not be materially different from the ones that would have been obtained using a pre-tax discount rate applied to pre-tax cash flows.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11 Investments in Equity Affiliates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231F20"/>
        </w:rPr>
        <w:t>Financial information (at 100%) of the Joint Ventures as of December 31, 2016, are as follows:</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6180" w:type="dxa"/>
            <w:vAlign w:val="bottom"/>
            <w:tcBorders>
              <w:top w:val="single" w:sz="8" w:color="2360A6"/>
              <w:left w:val="single" w:sz="8" w:color="2360A6"/>
              <w:right w:val="single" w:sz="8" w:color="2360A6"/>
            </w:tcBorders>
          </w:tcPr>
          <w:p>
            <w:pPr>
              <w:spacing w:after="0"/>
              <w:rPr>
                <w:sz w:val="16"/>
                <w:szCs w:val="16"/>
                <w:color w:val="auto"/>
              </w:rPr>
            </w:pPr>
          </w:p>
        </w:tc>
        <w:tc>
          <w:tcPr>
            <w:tcW w:w="1500" w:type="dxa"/>
            <w:vAlign w:val="bottom"/>
            <w:tcBorders>
              <w:top w:val="single" w:sz="8" w:color="2360A6"/>
              <w:right w:val="single" w:sz="8" w:color="2360A6"/>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As of</w:t>
            </w:r>
          </w:p>
        </w:tc>
        <w:tc>
          <w:tcPr>
            <w:tcW w:w="14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As of</w:t>
            </w:r>
          </w:p>
        </w:tc>
        <w:tc>
          <w:tcPr>
            <w:tcW w:w="14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As of</w:t>
            </w:r>
          </w:p>
        </w:tc>
      </w:tr>
      <w:tr>
        <w:trPr>
          <w:trHeight w:val="162"/>
        </w:trPr>
        <w:tc>
          <w:tcPr>
            <w:tcW w:w="6180" w:type="dxa"/>
            <w:vAlign w:val="bottom"/>
            <w:tcBorders>
              <w:left w:val="single" w:sz="8" w:color="2360A6"/>
              <w:right w:val="single" w:sz="8" w:color="2360A6"/>
            </w:tcBorders>
          </w:tcPr>
          <w:p>
            <w:pPr>
              <w:spacing w:after="0"/>
              <w:rPr>
                <w:sz w:val="14"/>
                <w:szCs w:val="14"/>
                <w:color w:val="auto"/>
              </w:rPr>
            </w:pPr>
          </w:p>
        </w:tc>
        <w:tc>
          <w:tcPr>
            <w:tcW w:w="1500" w:type="dxa"/>
            <w:vAlign w:val="bottom"/>
            <w:tcBorders>
              <w:right w:val="single" w:sz="8" w:color="2360A6"/>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December 31,</w:t>
            </w:r>
          </w:p>
        </w:tc>
        <w:tc>
          <w:tcPr>
            <w:tcW w:w="146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December 31,</w:t>
            </w:r>
          </w:p>
        </w:tc>
        <w:tc>
          <w:tcPr>
            <w:tcW w:w="148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500" w:type="dxa"/>
            <w:vAlign w:val="bottom"/>
            <w:tcBorders>
              <w:bottom w:val="single" w:sz="8" w:color="2360A6"/>
              <w:right w:val="single" w:sz="8" w:color="2360A6"/>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2016</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2015</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64"/>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Data at 100%</w:t>
            </w:r>
          </w:p>
        </w:tc>
        <w:tc>
          <w:tcPr>
            <w:tcW w:w="1500" w:type="dxa"/>
            <w:vAlign w:val="bottom"/>
            <w:tcBorders>
              <w:bottom w:val="single" w:sz="8" w:color="2360A6"/>
              <w:right w:val="single" w:sz="8" w:color="2360A6"/>
            </w:tcBorders>
            <w:shd w:val="clear" w:color="auto" w:fill="EDEDEE"/>
          </w:tcPr>
          <w:p>
            <w:pPr>
              <w:spacing w:after="0"/>
              <w:rPr>
                <w:sz w:val="22"/>
                <w:szCs w:val="22"/>
                <w:color w:val="auto"/>
              </w:rPr>
            </w:pPr>
          </w:p>
        </w:tc>
        <w:tc>
          <w:tcPr>
            <w:tcW w:w="1460" w:type="dxa"/>
            <w:vAlign w:val="bottom"/>
            <w:tcBorders>
              <w:bottom w:val="single" w:sz="8" w:color="2360A6"/>
              <w:right w:val="single" w:sz="8" w:color="2360A6"/>
            </w:tcBorders>
          </w:tcPr>
          <w:p>
            <w:pPr>
              <w:spacing w:after="0"/>
              <w:rPr>
                <w:sz w:val="22"/>
                <w:szCs w:val="22"/>
                <w:color w:val="auto"/>
              </w:rPr>
            </w:pPr>
          </w:p>
        </w:tc>
        <w:tc>
          <w:tcPr>
            <w:tcW w:w="1480" w:type="dxa"/>
            <w:vAlign w:val="bottom"/>
            <w:tcBorders>
              <w:bottom w:val="single" w:sz="8" w:color="2360A6"/>
              <w:right w:val="single" w:sz="8" w:color="2360A6"/>
            </w:tcBorders>
          </w:tcPr>
          <w:p>
            <w:pPr>
              <w:spacing w:after="0"/>
              <w:rPr>
                <w:sz w:val="22"/>
                <w:szCs w:val="22"/>
                <w:color w:val="auto"/>
              </w:rPr>
            </w:pP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Non-Current Assets</w:t>
            </w:r>
          </w:p>
        </w:tc>
        <w:tc>
          <w:tcPr>
            <w:tcW w:w="15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2,064.2</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1,457.9</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1,383.2</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Current Assets</w:t>
            </w:r>
          </w:p>
        </w:tc>
        <w:tc>
          <w:tcPr>
            <w:tcW w:w="15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587.9</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4,359.7</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3,259.6</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Total Assets</w:t>
            </w:r>
          </w:p>
        </w:tc>
        <w:tc>
          <w:tcPr>
            <w:tcW w:w="15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2,652.1</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5,817.6</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4,642.8</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Total Equity</w:t>
            </w:r>
          </w:p>
        </w:tc>
        <w:tc>
          <w:tcPr>
            <w:tcW w:w="15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665.6</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508.7</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361.2</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Non-Current Liabilities</w:t>
            </w:r>
          </w:p>
        </w:tc>
        <w:tc>
          <w:tcPr>
            <w:tcW w:w="15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1,285.6</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850.3</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817.1</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Current Liabilities</w:t>
            </w:r>
          </w:p>
        </w:tc>
        <w:tc>
          <w:tcPr>
            <w:tcW w:w="15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700.9</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4,458.6</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3,464.5</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Total Equity and Liabilities</w:t>
            </w:r>
          </w:p>
        </w:tc>
        <w:tc>
          <w:tcPr>
            <w:tcW w:w="15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2,652.1</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5,817.6</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4,642.8</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Revenues</w:t>
            </w:r>
          </w:p>
        </w:tc>
        <w:tc>
          <w:tcPr>
            <w:tcW w:w="15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514.0</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4,889.4</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2,223.0</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Net Income/(Loss)</w:t>
            </w:r>
          </w:p>
        </w:tc>
        <w:tc>
          <w:tcPr>
            <w:tcW w:w="15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56.4</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473.2</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77.1</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Comprehensive Income</w:t>
            </w:r>
          </w:p>
        </w:tc>
        <w:tc>
          <w:tcPr>
            <w:tcW w:w="15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22.7</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(54.0)</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(43.0)</w:t>
            </w:r>
          </w:p>
        </w:tc>
      </w:tr>
      <w:tr>
        <w:trPr>
          <w:trHeight w:val="25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Comprehensive Income for the Year</w:t>
            </w:r>
          </w:p>
        </w:tc>
        <w:tc>
          <w:tcPr>
            <w:tcW w:w="15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79.4</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451.6</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22.4</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Cash and Cash Equivalents</w:t>
            </w:r>
          </w:p>
        </w:tc>
        <w:tc>
          <w:tcPr>
            <w:tcW w:w="15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80.1</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1,618.8</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1,090.4</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Depreciation and Amortization</w:t>
            </w:r>
          </w:p>
        </w:tc>
        <w:tc>
          <w:tcPr>
            <w:tcW w:w="15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25.8</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23.0</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19.4</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231F20"/>
        </w:rPr>
        <w:t>Changes in investments in equity affiliates break down as follows:</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224"/>
        </w:trPr>
        <w:tc>
          <w:tcPr>
            <w:tcW w:w="6180" w:type="dxa"/>
            <w:vAlign w:val="bottom"/>
            <w:tcBorders>
              <w:top w:val="single" w:sz="8" w:color="2360A6"/>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480" w:type="dxa"/>
            <w:vAlign w:val="bottom"/>
            <w:tcBorders>
              <w:top w:val="single" w:sz="8" w:color="2360A6"/>
              <w:bottom w:val="single" w:sz="8" w:color="2360A6"/>
              <w:right w:val="single" w:sz="8" w:color="2360A6"/>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2016</w:t>
            </w:r>
          </w:p>
        </w:tc>
        <w:tc>
          <w:tcPr>
            <w:tcW w:w="1480" w:type="dxa"/>
            <w:vAlign w:val="bottom"/>
            <w:tcBorders>
              <w:top w:val="single" w:sz="8" w:color="2360A6"/>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2015</w:t>
            </w:r>
          </w:p>
        </w:tc>
        <w:tc>
          <w:tcPr>
            <w:tcW w:w="1460" w:type="dxa"/>
            <w:vAlign w:val="bottom"/>
            <w:tcBorders>
              <w:top w:val="single" w:sz="8" w:color="2360A6"/>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2014</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Carrying Amount of Investments as of January 1</w:t>
            </w:r>
          </w:p>
        </w:tc>
        <w:tc>
          <w:tcPr>
            <w:tcW w:w="14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131.4</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195.6</w:t>
            </w:r>
          </w:p>
        </w:tc>
        <w:tc>
          <w:tcPr>
            <w:tcW w:w="14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172.2</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Additions - Capital Increase</w:t>
            </w:r>
          </w:p>
        </w:tc>
        <w:tc>
          <w:tcPr>
            <w:tcW w:w="14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6.6</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2.4</w:t>
            </w:r>
          </w:p>
        </w:tc>
        <w:tc>
          <w:tcPr>
            <w:tcW w:w="14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37.5</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Additions - Business Combinations</w:t>
            </w:r>
          </w:p>
        </w:tc>
        <w:tc>
          <w:tcPr>
            <w:tcW w:w="14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24.5</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3.7</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Change in Consolidation Scope</w:t>
            </w:r>
          </w:p>
        </w:tc>
        <w:tc>
          <w:tcPr>
            <w:tcW w:w="14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(74.8)</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(44.5)</w:t>
            </w:r>
          </w:p>
        </w:tc>
        <w:tc>
          <w:tcPr>
            <w:tcW w:w="14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Disposals</w:t>
            </w:r>
          </w:p>
        </w:tc>
        <w:tc>
          <w:tcPr>
            <w:tcW w:w="14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(0.9)</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 of Income/(Loss) of Equity Affiliates</w:t>
            </w:r>
          </w:p>
        </w:tc>
        <w:tc>
          <w:tcPr>
            <w:tcW w:w="14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102.1</w:t>
            </w:r>
          </w:p>
        </w:tc>
        <w:tc>
          <w:tcPr>
            <w:tcW w:w="14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54.6</w:t>
            </w:r>
          </w:p>
        </w:tc>
        <w:tc>
          <w:tcPr>
            <w:tcW w:w="14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40.3</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Distributed Dividends</w:t>
            </w:r>
          </w:p>
        </w:tc>
        <w:tc>
          <w:tcPr>
            <w:tcW w:w="14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(57.5)</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(18.9)</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(8.4)</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Comprehensive Income</w:t>
            </w:r>
          </w:p>
        </w:tc>
        <w:tc>
          <w:tcPr>
            <w:tcW w:w="14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10.0</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(54.1)</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(43.5)</w:t>
            </w:r>
          </w:p>
        </w:tc>
      </w:tr>
      <w:tr>
        <w:trPr>
          <w:trHeight w:val="210"/>
        </w:trPr>
        <w:tc>
          <w:tcPr>
            <w:tcW w:w="61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Net Foreign Exchange Differences and Other</w:t>
            </w:r>
          </w:p>
        </w:tc>
        <w:tc>
          <w:tcPr>
            <w:tcW w:w="14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26.4</w:t>
            </w:r>
          </w:p>
        </w:tc>
        <w:tc>
          <w:tcPr>
            <w:tcW w:w="14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(3.7)</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(5.3)</w:t>
            </w:r>
          </w:p>
        </w:tc>
      </w:tr>
      <w:tr>
        <w:trPr>
          <w:trHeight w:val="210"/>
        </w:trPr>
        <w:tc>
          <w:tcPr>
            <w:tcW w:w="618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CARRYING AMOUNT OF INVESTMENTS AS OF DECEMBER 31</w:t>
            </w:r>
          </w:p>
        </w:tc>
        <w:tc>
          <w:tcPr>
            <w:tcW w:w="14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168.7</w:t>
            </w:r>
          </w:p>
        </w:tc>
        <w:tc>
          <w:tcPr>
            <w:tcW w:w="14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131.4</w:t>
            </w:r>
          </w:p>
        </w:tc>
        <w:tc>
          <w:tcPr>
            <w:tcW w:w="14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195.6</w:t>
            </w:r>
          </w:p>
        </w:tc>
      </w:tr>
    </w:tbl>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stated in Note 2, during the second half of the year, the Group and its partners have amended the contractual terms and schemes of some construction contracts on which the Group is working. As a consequence, some joint arrangements such as the ones related to Yamal contract were therefore amended and re-qualified as entities fully consolidated as of December 31, 2016.</w:t>
      </w:r>
    </w:p>
    <w:p>
      <w:pPr>
        <w:sectPr>
          <w:pgSz w:w="11900" w:h="16838" w:orient="portrait"/>
          <w:cols w:equalWidth="0" w:num="1">
            <w:col w:w="11340"/>
          </w:cols>
          <w:pgMar w:left="320" w:top="601" w:right="239" w:bottom="1440" w:gutter="0" w:footer="0" w:header="0"/>
        </w:sectPr>
      </w:pPr>
    </w:p>
    <w:bookmarkStart w:id="121" w:name="page122"/>
    <w:bookmarkEnd w:id="121"/>
    <w:p>
      <w:pPr>
        <w:spacing w:after="0"/>
        <w:rPr>
          <w:sz w:val="20"/>
          <w:szCs w:val="20"/>
          <w:color w:val="auto"/>
        </w:rPr>
      </w:pPr>
      <w:r>
        <w:rPr>
          <w:rFonts w:ascii="Arial" w:cs="Arial" w:eastAsia="Arial" w:hAnsi="Arial"/>
          <w:sz w:val="29"/>
          <w:szCs w:val="29"/>
          <w:b w:val="1"/>
          <w:bCs w:val="1"/>
          <w:color w:val="2360A6"/>
        </w:rPr>
        <w:t>Note 12 Other Financial Assets</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As of December 31, 2016, impairment tests performed on the net book value of other financial assets (non-current) did not result in any recognition of impairment loss on investments and related receivables.</w:t>
      </w: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As of December 31, 2015, impairment tests performed on the net book value of other financial assets (non-current) did not result in any recognition of impairment loss on investments and related receivables.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As of December 31, 2014, impairment tests performed on the net book value of other financial assets (non-current) did not result in any recognition of impairment loss on investments and related receivables.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231F20"/>
        </w:rPr>
        <w:t>The breakdown by nature of other financial assets, net is presented below:</w:t>
      </w:r>
    </w:p>
    <w:p>
      <w:pPr>
        <w:spacing w:after="0" w:line="118" w:lineRule="exact"/>
        <w:rPr>
          <w:sz w:val="20"/>
          <w:szCs w:val="20"/>
          <w:color w:val="auto"/>
        </w:rPr>
      </w:pPr>
    </w:p>
    <w:tbl>
      <w:tblPr>
        <w:tblLayout w:type="fixed"/>
        <w:tblInd w:w="250" w:type="dxa"/>
        <w:tblCellMar>
          <w:top w:w="0" w:type="dxa"/>
          <w:left w:w="0" w:type="dxa"/>
          <w:bottom w:w="0" w:type="dxa"/>
          <w:right w:w="0" w:type="dxa"/>
        </w:tblCellMar>
      </w:tblPr>
      <w:tr>
        <w:trPr>
          <w:trHeight w:val="189"/>
        </w:trPr>
        <w:tc>
          <w:tcPr>
            <w:tcW w:w="5320" w:type="dxa"/>
            <w:vAlign w:val="bottom"/>
            <w:tcBorders>
              <w:top w:val="single" w:sz="8" w:color="2360A6"/>
              <w:left w:val="single" w:sz="8" w:color="2360A6"/>
              <w:right w:val="single" w:sz="8" w:color="2360A6"/>
            </w:tcBorders>
          </w:tcPr>
          <w:p>
            <w:pPr>
              <w:spacing w:after="0"/>
              <w:rPr>
                <w:sz w:val="16"/>
                <w:szCs w:val="16"/>
                <w:color w:val="auto"/>
              </w:rPr>
            </w:pPr>
          </w:p>
        </w:tc>
        <w:tc>
          <w:tcPr>
            <w:tcW w:w="1220" w:type="dxa"/>
            <w:vAlign w:val="bottom"/>
            <w:tcBorders>
              <w:top w:val="single" w:sz="8" w:color="2360A6"/>
            </w:tcBorders>
            <w:gridSpan w:val="2"/>
            <w:shd w:val="clear" w:color="auto" w:fill="2360A6"/>
          </w:tcPr>
          <w:p>
            <w:pPr>
              <w:jc w:val="center"/>
              <w:ind w:left="588"/>
              <w:spacing w:after="0"/>
              <w:rPr>
                <w:sz w:val="20"/>
                <w:szCs w:val="20"/>
                <w:color w:val="auto"/>
              </w:rPr>
            </w:pPr>
            <w:r>
              <w:rPr>
                <w:rFonts w:ascii="Arial" w:cs="Arial" w:eastAsia="Arial" w:hAnsi="Arial"/>
                <w:sz w:val="14"/>
                <w:szCs w:val="14"/>
                <w:b w:val="1"/>
                <w:bCs w:val="1"/>
                <w:color w:val="FFFFFF"/>
              </w:rPr>
              <w:t>As of</w:t>
            </w:r>
          </w:p>
        </w:tc>
        <w:tc>
          <w:tcPr>
            <w:tcW w:w="600" w:type="dxa"/>
            <w:vAlign w:val="bottom"/>
            <w:tcBorders>
              <w:top w:val="single" w:sz="8" w:color="2360A6"/>
              <w:right w:val="single" w:sz="8" w:color="2360A6"/>
            </w:tcBorders>
            <w:shd w:val="clear" w:color="auto" w:fill="2360A6"/>
          </w:tcPr>
          <w:p>
            <w:pPr>
              <w:spacing w:after="0"/>
              <w:rPr>
                <w:sz w:val="16"/>
                <w:szCs w:val="16"/>
                <w:color w:val="auto"/>
              </w:rPr>
            </w:pPr>
          </w:p>
        </w:tc>
        <w:tc>
          <w:tcPr>
            <w:tcW w:w="1240" w:type="dxa"/>
            <w:vAlign w:val="bottom"/>
            <w:tcBorders>
              <w:top w:val="single" w:sz="8" w:color="2360A6"/>
            </w:tcBorders>
            <w:gridSpan w:val="2"/>
          </w:tcPr>
          <w:p>
            <w:pPr>
              <w:jc w:val="center"/>
              <w:ind w:left="608"/>
              <w:spacing w:after="0"/>
              <w:rPr>
                <w:sz w:val="20"/>
                <w:szCs w:val="20"/>
                <w:color w:val="auto"/>
              </w:rPr>
            </w:pPr>
            <w:r>
              <w:rPr>
                <w:rFonts w:ascii="Arial" w:cs="Arial" w:eastAsia="Arial" w:hAnsi="Arial"/>
                <w:sz w:val="14"/>
                <w:szCs w:val="14"/>
                <w:b w:val="1"/>
                <w:bCs w:val="1"/>
                <w:color w:val="2360BA"/>
              </w:rPr>
              <w:t>As of</w:t>
            </w:r>
          </w:p>
        </w:tc>
        <w:tc>
          <w:tcPr>
            <w:tcW w:w="600" w:type="dxa"/>
            <w:vAlign w:val="bottom"/>
            <w:tcBorders>
              <w:top w:val="single" w:sz="8" w:color="2360A6"/>
              <w:right w:val="single" w:sz="8" w:color="2360A6"/>
            </w:tcBorders>
          </w:tcPr>
          <w:p>
            <w:pPr>
              <w:spacing w:after="0"/>
              <w:rPr>
                <w:sz w:val="16"/>
                <w:szCs w:val="16"/>
                <w:color w:val="auto"/>
              </w:rPr>
            </w:pPr>
          </w:p>
        </w:tc>
        <w:tc>
          <w:tcPr>
            <w:tcW w:w="1240" w:type="dxa"/>
            <w:vAlign w:val="bottom"/>
            <w:tcBorders>
              <w:top w:val="single" w:sz="8" w:color="2360A6"/>
            </w:tcBorders>
            <w:gridSpan w:val="2"/>
          </w:tcPr>
          <w:p>
            <w:pPr>
              <w:jc w:val="center"/>
              <w:ind w:left="608"/>
              <w:spacing w:after="0"/>
              <w:rPr>
                <w:sz w:val="20"/>
                <w:szCs w:val="20"/>
                <w:color w:val="auto"/>
              </w:rPr>
            </w:pPr>
            <w:r>
              <w:rPr>
                <w:rFonts w:ascii="Arial" w:cs="Arial" w:eastAsia="Arial" w:hAnsi="Arial"/>
                <w:sz w:val="14"/>
                <w:szCs w:val="14"/>
                <w:b w:val="1"/>
                <w:bCs w:val="1"/>
                <w:color w:val="2360A6"/>
              </w:rPr>
              <w:t>As of</w:t>
            </w:r>
          </w:p>
        </w:tc>
        <w:tc>
          <w:tcPr>
            <w:tcW w:w="600" w:type="dxa"/>
            <w:vAlign w:val="bottom"/>
            <w:tcBorders>
              <w:top w:val="single" w:sz="8" w:color="2360A6"/>
              <w:right w:val="single" w:sz="8" w:color="2360A6"/>
            </w:tcBorders>
          </w:tcPr>
          <w:p>
            <w:pPr>
              <w:spacing w:after="0"/>
              <w:rPr>
                <w:sz w:val="16"/>
                <w:szCs w:val="16"/>
                <w:color w:val="auto"/>
              </w:rPr>
            </w:pPr>
          </w:p>
        </w:tc>
      </w:tr>
      <w:tr>
        <w:trPr>
          <w:trHeight w:val="162"/>
        </w:trPr>
        <w:tc>
          <w:tcPr>
            <w:tcW w:w="5320" w:type="dxa"/>
            <w:vAlign w:val="bottom"/>
            <w:tcBorders>
              <w:left w:val="single" w:sz="8" w:color="2360A6"/>
              <w:right w:val="single" w:sz="8" w:color="2360A6"/>
            </w:tcBorders>
          </w:tcPr>
          <w:p>
            <w:pPr>
              <w:spacing w:after="0"/>
              <w:rPr>
                <w:sz w:val="14"/>
                <w:szCs w:val="14"/>
                <w:color w:val="auto"/>
              </w:rPr>
            </w:pPr>
          </w:p>
        </w:tc>
        <w:tc>
          <w:tcPr>
            <w:tcW w:w="1820" w:type="dxa"/>
            <w:vAlign w:val="bottom"/>
            <w:tcBorders>
              <w:right w:val="single" w:sz="8" w:color="2360A6"/>
            </w:tcBorders>
            <w:gridSpan w:val="3"/>
            <w:shd w:val="clear" w:color="auto" w:fill="2360A6"/>
          </w:tcPr>
          <w:p>
            <w:pPr>
              <w:jc w:val="center"/>
              <w:spacing w:after="0"/>
              <w:rPr>
                <w:sz w:val="20"/>
                <w:szCs w:val="20"/>
                <w:color w:val="auto"/>
              </w:rPr>
            </w:pPr>
            <w:r>
              <w:rPr>
                <w:rFonts w:ascii="Arial" w:cs="Arial" w:eastAsia="Arial" w:hAnsi="Arial"/>
                <w:sz w:val="14"/>
                <w:szCs w:val="14"/>
                <w:b w:val="1"/>
                <w:bCs w:val="1"/>
                <w:color w:val="FFFFFF"/>
              </w:rPr>
              <w:t>December 31,</w:t>
            </w:r>
          </w:p>
        </w:tc>
        <w:tc>
          <w:tcPr>
            <w:tcW w:w="1840" w:type="dxa"/>
            <w:vAlign w:val="bottom"/>
            <w:tcBorders>
              <w:right w:val="single" w:sz="8" w:color="2360A6"/>
            </w:tcBorders>
            <w:gridSpan w:val="3"/>
          </w:tcPr>
          <w:p>
            <w:pPr>
              <w:jc w:val="center"/>
              <w:spacing w:after="0"/>
              <w:rPr>
                <w:sz w:val="20"/>
                <w:szCs w:val="20"/>
                <w:color w:val="auto"/>
              </w:rPr>
            </w:pPr>
            <w:r>
              <w:rPr>
                <w:rFonts w:ascii="Arial" w:cs="Arial" w:eastAsia="Arial" w:hAnsi="Arial"/>
                <w:sz w:val="14"/>
                <w:szCs w:val="14"/>
                <w:b w:val="1"/>
                <w:bCs w:val="1"/>
                <w:color w:val="2360BA"/>
              </w:rPr>
              <w:t>December 31,</w:t>
            </w:r>
          </w:p>
        </w:tc>
        <w:tc>
          <w:tcPr>
            <w:tcW w:w="1840" w:type="dxa"/>
            <w:vAlign w:val="bottom"/>
            <w:tcBorders>
              <w:right w:val="single" w:sz="8" w:color="2360A6"/>
            </w:tcBorders>
            <w:gridSpan w:val="3"/>
          </w:tcPr>
          <w:p>
            <w:pPr>
              <w:jc w:val="center"/>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5320" w:type="dxa"/>
            <w:vAlign w:val="bottom"/>
            <w:tcBorders>
              <w:left w:val="single" w:sz="8" w:color="2360A6"/>
              <w:right w:val="single" w:sz="8" w:color="2360A6"/>
            </w:tcBorders>
          </w:tcPr>
          <w:p>
            <w:pPr>
              <w:spacing w:after="0"/>
              <w:rPr>
                <w:sz w:val="17"/>
                <w:szCs w:val="17"/>
                <w:color w:val="auto"/>
              </w:rPr>
            </w:pPr>
          </w:p>
        </w:tc>
        <w:tc>
          <w:tcPr>
            <w:tcW w:w="1220" w:type="dxa"/>
            <w:vAlign w:val="bottom"/>
            <w:tcBorders>
              <w:bottom w:val="single" w:sz="8" w:color="2360A6"/>
            </w:tcBorders>
            <w:gridSpan w:val="2"/>
            <w:shd w:val="clear" w:color="auto" w:fill="2360A6"/>
          </w:tcPr>
          <w:p>
            <w:pPr>
              <w:jc w:val="center"/>
              <w:ind w:left="588"/>
              <w:spacing w:after="0"/>
              <w:rPr>
                <w:sz w:val="20"/>
                <w:szCs w:val="20"/>
                <w:color w:val="auto"/>
              </w:rPr>
            </w:pPr>
            <w:r>
              <w:rPr>
                <w:rFonts w:ascii="Arial" w:cs="Arial" w:eastAsia="Arial" w:hAnsi="Arial"/>
                <w:sz w:val="14"/>
                <w:szCs w:val="14"/>
                <w:b w:val="1"/>
                <w:bCs w:val="1"/>
                <w:color w:val="FFFFFF"/>
              </w:rPr>
              <w:t>2016</w:t>
            </w:r>
          </w:p>
        </w:tc>
        <w:tc>
          <w:tcPr>
            <w:tcW w:w="600" w:type="dxa"/>
            <w:vAlign w:val="bottom"/>
            <w:tcBorders>
              <w:bottom w:val="single" w:sz="8" w:color="2360A6"/>
              <w:right w:val="single" w:sz="8" w:color="2360A6"/>
            </w:tcBorders>
            <w:shd w:val="clear" w:color="auto" w:fill="2360A6"/>
          </w:tcPr>
          <w:p>
            <w:pPr>
              <w:spacing w:after="0"/>
              <w:rPr>
                <w:sz w:val="17"/>
                <w:szCs w:val="17"/>
                <w:color w:val="auto"/>
              </w:rPr>
            </w:pPr>
          </w:p>
        </w:tc>
        <w:tc>
          <w:tcPr>
            <w:tcW w:w="1240" w:type="dxa"/>
            <w:vAlign w:val="bottom"/>
            <w:tcBorders>
              <w:bottom w:val="single" w:sz="8" w:color="2360A6"/>
            </w:tcBorders>
            <w:gridSpan w:val="2"/>
          </w:tcPr>
          <w:p>
            <w:pPr>
              <w:jc w:val="center"/>
              <w:ind w:left="608"/>
              <w:spacing w:after="0"/>
              <w:rPr>
                <w:sz w:val="20"/>
                <w:szCs w:val="20"/>
                <w:color w:val="auto"/>
              </w:rPr>
            </w:pPr>
            <w:r>
              <w:rPr>
                <w:rFonts w:ascii="Arial" w:cs="Arial" w:eastAsia="Arial" w:hAnsi="Arial"/>
                <w:sz w:val="14"/>
                <w:szCs w:val="14"/>
                <w:b w:val="1"/>
                <w:bCs w:val="1"/>
                <w:color w:val="2360BA"/>
              </w:rPr>
              <w:t>2015</w:t>
            </w:r>
          </w:p>
        </w:tc>
        <w:tc>
          <w:tcPr>
            <w:tcW w:w="600" w:type="dxa"/>
            <w:vAlign w:val="bottom"/>
            <w:tcBorders>
              <w:bottom w:val="single" w:sz="8" w:color="2360A6"/>
              <w:right w:val="single" w:sz="8" w:color="2360A6"/>
            </w:tcBorders>
          </w:tcPr>
          <w:p>
            <w:pPr>
              <w:spacing w:after="0"/>
              <w:rPr>
                <w:sz w:val="17"/>
                <w:szCs w:val="17"/>
                <w:color w:val="auto"/>
              </w:rPr>
            </w:pPr>
          </w:p>
        </w:tc>
        <w:tc>
          <w:tcPr>
            <w:tcW w:w="1240" w:type="dxa"/>
            <w:vAlign w:val="bottom"/>
            <w:tcBorders>
              <w:bottom w:val="single" w:sz="8" w:color="2360A6"/>
            </w:tcBorders>
            <w:gridSpan w:val="2"/>
          </w:tcPr>
          <w:p>
            <w:pPr>
              <w:jc w:val="center"/>
              <w:ind w:left="608"/>
              <w:spacing w:after="0"/>
              <w:rPr>
                <w:sz w:val="20"/>
                <w:szCs w:val="20"/>
                <w:color w:val="auto"/>
              </w:rPr>
            </w:pPr>
            <w:r>
              <w:rPr>
                <w:rFonts w:ascii="Arial" w:cs="Arial" w:eastAsia="Arial" w:hAnsi="Arial"/>
                <w:sz w:val="14"/>
                <w:szCs w:val="14"/>
                <w:b w:val="1"/>
                <w:bCs w:val="1"/>
                <w:color w:val="2360A6"/>
              </w:rPr>
              <w:t>2014</w:t>
            </w:r>
          </w:p>
        </w:tc>
        <w:tc>
          <w:tcPr>
            <w:tcW w:w="600" w:type="dxa"/>
            <w:vAlign w:val="bottom"/>
            <w:tcBorders>
              <w:bottom w:val="single" w:sz="8" w:color="2360A6"/>
              <w:right w:val="single" w:sz="8" w:color="2360A6"/>
            </w:tcBorders>
          </w:tcPr>
          <w:p>
            <w:pPr>
              <w:spacing w:after="0"/>
              <w:rPr>
                <w:sz w:val="17"/>
                <w:szCs w:val="17"/>
                <w:color w:val="auto"/>
              </w:rPr>
            </w:pPr>
          </w:p>
        </w:tc>
      </w:tr>
      <w:tr>
        <w:trPr>
          <w:trHeight w:val="175"/>
        </w:trPr>
        <w:tc>
          <w:tcPr>
            <w:tcW w:w="5320" w:type="dxa"/>
            <w:vAlign w:val="bottom"/>
            <w:tcBorders>
              <w:left w:val="single" w:sz="8" w:color="2360A6"/>
              <w:right w:val="single" w:sz="8" w:color="2360A6"/>
            </w:tcBorders>
          </w:tcPr>
          <w:p>
            <w:pPr>
              <w:spacing w:after="0"/>
              <w:rPr>
                <w:sz w:val="15"/>
                <w:szCs w:val="15"/>
                <w:color w:val="auto"/>
              </w:rPr>
            </w:pPr>
          </w:p>
        </w:tc>
        <w:tc>
          <w:tcPr>
            <w:tcW w:w="960" w:type="dxa"/>
            <w:vAlign w:val="bottom"/>
            <w:tcBorders>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Carrying</w:t>
            </w:r>
          </w:p>
        </w:tc>
        <w:tc>
          <w:tcPr>
            <w:tcW w:w="260" w:type="dxa"/>
            <w:vAlign w:val="bottom"/>
            <w:shd w:val="clear" w:color="auto" w:fill="EDEDEE"/>
          </w:tcPr>
          <w:p>
            <w:pPr>
              <w:spacing w:after="0"/>
              <w:rPr>
                <w:sz w:val="15"/>
                <w:szCs w:val="15"/>
                <w:color w:val="auto"/>
              </w:rPr>
            </w:pPr>
          </w:p>
        </w:tc>
        <w:tc>
          <w:tcPr>
            <w:tcW w:w="600" w:type="dxa"/>
            <w:vAlign w:val="bottom"/>
            <w:tcBorders>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Fair</w:t>
            </w:r>
          </w:p>
        </w:tc>
        <w:tc>
          <w:tcPr>
            <w:tcW w:w="9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Carrying</w:t>
            </w:r>
          </w:p>
        </w:tc>
        <w:tc>
          <w:tcPr>
            <w:tcW w:w="260" w:type="dxa"/>
            <w:vAlign w:val="bottom"/>
          </w:tcPr>
          <w:p>
            <w:pPr>
              <w:spacing w:after="0"/>
              <w:rPr>
                <w:sz w:val="15"/>
                <w:szCs w:val="15"/>
                <w:color w:val="auto"/>
              </w:rPr>
            </w:pPr>
          </w:p>
        </w:tc>
        <w:tc>
          <w:tcPr>
            <w:tcW w:w="60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Fair</w:t>
            </w:r>
          </w:p>
        </w:tc>
        <w:tc>
          <w:tcPr>
            <w:tcW w:w="9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Carrying</w:t>
            </w:r>
          </w:p>
        </w:tc>
        <w:tc>
          <w:tcPr>
            <w:tcW w:w="260" w:type="dxa"/>
            <w:vAlign w:val="bottom"/>
          </w:tcPr>
          <w:p>
            <w:pPr>
              <w:spacing w:after="0"/>
              <w:rPr>
                <w:sz w:val="15"/>
                <w:szCs w:val="15"/>
                <w:color w:val="auto"/>
              </w:rPr>
            </w:pPr>
          </w:p>
        </w:tc>
        <w:tc>
          <w:tcPr>
            <w:tcW w:w="60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Fair</w:t>
            </w:r>
          </w:p>
        </w:tc>
      </w:tr>
      <w:tr>
        <w:trPr>
          <w:trHeight w:val="196"/>
        </w:trPr>
        <w:tc>
          <w:tcPr>
            <w:tcW w:w="53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9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Amount</w:t>
            </w:r>
          </w:p>
        </w:tc>
        <w:tc>
          <w:tcPr>
            <w:tcW w:w="260" w:type="dxa"/>
            <w:vAlign w:val="bottom"/>
            <w:tcBorders>
              <w:bottom w:val="single" w:sz="8" w:color="2360A6"/>
            </w:tcBorders>
            <w:shd w:val="clear" w:color="auto" w:fill="EDEDEE"/>
          </w:tcPr>
          <w:p>
            <w:pPr>
              <w:spacing w:after="0"/>
              <w:rPr>
                <w:sz w:val="17"/>
                <w:szCs w:val="17"/>
                <w:color w:val="auto"/>
              </w:rPr>
            </w:pPr>
          </w:p>
        </w:tc>
        <w:tc>
          <w:tcPr>
            <w:tcW w:w="6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Value</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Amount</w:t>
            </w:r>
          </w:p>
        </w:tc>
        <w:tc>
          <w:tcPr>
            <w:tcW w:w="260" w:type="dxa"/>
            <w:vAlign w:val="bottom"/>
            <w:tcBorders>
              <w:bottom w:val="single" w:sz="8" w:color="2360A6"/>
            </w:tcBorders>
          </w:tcPr>
          <w:p>
            <w:pPr>
              <w:spacing w:after="0"/>
              <w:rPr>
                <w:sz w:val="17"/>
                <w:szCs w:val="17"/>
                <w:color w:val="auto"/>
              </w:rPr>
            </w:pPr>
          </w:p>
        </w:tc>
        <w:tc>
          <w:tcPr>
            <w:tcW w:w="6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Value</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Amount</w:t>
            </w:r>
          </w:p>
        </w:tc>
        <w:tc>
          <w:tcPr>
            <w:tcW w:w="260" w:type="dxa"/>
            <w:vAlign w:val="bottom"/>
            <w:tcBorders>
              <w:bottom w:val="single" w:sz="8" w:color="2360A6"/>
            </w:tcBorders>
          </w:tcPr>
          <w:p>
            <w:pPr>
              <w:spacing w:after="0"/>
              <w:rPr>
                <w:sz w:val="17"/>
                <w:szCs w:val="17"/>
                <w:color w:val="auto"/>
              </w:rPr>
            </w:pPr>
          </w:p>
        </w:tc>
        <w:tc>
          <w:tcPr>
            <w:tcW w:w="6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Value</w:t>
            </w:r>
          </w:p>
        </w:tc>
      </w:tr>
      <w:tr>
        <w:trPr>
          <w:trHeight w:val="210"/>
        </w:trPr>
        <w:tc>
          <w:tcPr>
            <w:tcW w:w="53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Non-Consolidated Investments</w:t>
            </w:r>
          </w:p>
        </w:tc>
        <w:tc>
          <w:tcPr>
            <w:tcW w:w="9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14.4</w:t>
            </w:r>
          </w:p>
        </w:tc>
        <w:tc>
          <w:tcPr>
            <w:tcW w:w="260" w:type="dxa"/>
            <w:vAlign w:val="bottom"/>
            <w:tcBorders>
              <w:bottom w:val="single" w:sz="8" w:color="2360A6"/>
            </w:tcBorders>
            <w:shd w:val="clear" w:color="auto" w:fill="EDEDEE"/>
          </w:tcPr>
          <w:p>
            <w:pPr>
              <w:spacing w:after="0"/>
              <w:rPr>
                <w:sz w:val="18"/>
                <w:szCs w:val="18"/>
                <w:color w:val="auto"/>
              </w:rPr>
            </w:pPr>
          </w:p>
        </w:tc>
        <w:tc>
          <w:tcPr>
            <w:tcW w:w="6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14.4</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7.8</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7.8</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7.9</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7.9</w:t>
            </w:r>
          </w:p>
        </w:tc>
      </w:tr>
      <w:tr>
        <w:trPr>
          <w:trHeight w:val="210"/>
        </w:trPr>
        <w:tc>
          <w:tcPr>
            <w:tcW w:w="53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Valuation Allowance</w:t>
            </w:r>
          </w:p>
        </w:tc>
        <w:tc>
          <w:tcPr>
            <w:tcW w:w="9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(1.0)</w:t>
            </w:r>
          </w:p>
        </w:tc>
        <w:tc>
          <w:tcPr>
            <w:tcW w:w="260" w:type="dxa"/>
            <w:vAlign w:val="bottom"/>
            <w:tcBorders>
              <w:bottom w:val="single" w:sz="8" w:color="2360A6"/>
            </w:tcBorders>
            <w:shd w:val="clear" w:color="auto" w:fill="EDEDEE"/>
          </w:tcPr>
          <w:p>
            <w:pPr>
              <w:spacing w:after="0"/>
              <w:rPr>
                <w:sz w:val="18"/>
                <w:szCs w:val="18"/>
                <w:color w:val="auto"/>
              </w:rPr>
            </w:pPr>
          </w:p>
        </w:tc>
        <w:tc>
          <w:tcPr>
            <w:tcW w:w="6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(1.0)</w:t>
            </w:r>
          </w:p>
        </w:tc>
        <w:tc>
          <w:tcPr>
            <w:tcW w:w="9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(1.3)</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(1.3)</w:t>
            </w:r>
          </w:p>
        </w:tc>
        <w:tc>
          <w:tcPr>
            <w:tcW w:w="9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(1.1)</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(1.1)</w:t>
            </w:r>
          </w:p>
        </w:tc>
      </w:tr>
      <w:tr>
        <w:trPr>
          <w:trHeight w:val="210"/>
        </w:trPr>
        <w:tc>
          <w:tcPr>
            <w:tcW w:w="53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Value of Non-Consolidated Investments</w:t>
            </w:r>
          </w:p>
        </w:tc>
        <w:tc>
          <w:tcPr>
            <w:tcW w:w="9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13.4</w:t>
            </w:r>
          </w:p>
        </w:tc>
        <w:tc>
          <w:tcPr>
            <w:tcW w:w="260" w:type="dxa"/>
            <w:vAlign w:val="bottom"/>
            <w:tcBorders>
              <w:bottom w:val="single" w:sz="8" w:color="2360A6"/>
            </w:tcBorders>
            <w:shd w:val="clear" w:color="auto" w:fill="EDEDEE"/>
          </w:tcPr>
          <w:p>
            <w:pPr>
              <w:spacing w:after="0"/>
              <w:rPr>
                <w:sz w:val="18"/>
                <w:szCs w:val="18"/>
                <w:color w:val="auto"/>
              </w:rPr>
            </w:pPr>
          </w:p>
        </w:tc>
        <w:tc>
          <w:tcPr>
            <w:tcW w:w="6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13.4</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6.5</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6.5</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6.8</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6.8</w:t>
            </w:r>
          </w:p>
        </w:tc>
      </w:tr>
      <w:tr>
        <w:trPr>
          <w:trHeight w:val="210"/>
        </w:trPr>
        <w:tc>
          <w:tcPr>
            <w:tcW w:w="53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Loans</w:t>
            </w:r>
          </w:p>
        </w:tc>
        <w:tc>
          <w:tcPr>
            <w:tcW w:w="9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146.4</w:t>
            </w:r>
          </w:p>
        </w:tc>
        <w:tc>
          <w:tcPr>
            <w:tcW w:w="260" w:type="dxa"/>
            <w:vAlign w:val="bottom"/>
            <w:tcBorders>
              <w:bottom w:val="single" w:sz="8" w:color="2360A6"/>
            </w:tcBorders>
            <w:shd w:val="clear" w:color="auto" w:fill="EDEDEE"/>
          </w:tcPr>
          <w:p>
            <w:pPr>
              <w:spacing w:after="0"/>
              <w:rPr>
                <w:sz w:val="18"/>
                <w:szCs w:val="18"/>
                <w:color w:val="auto"/>
              </w:rPr>
            </w:pPr>
          </w:p>
        </w:tc>
        <w:tc>
          <w:tcPr>
            <w:tcW w:w="6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146.4</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91.7</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91.7</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44.4</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44.4</w:t>
            </w:r>
          </w:p>
        </w:tc>
      </w:tr>
      <w:tr>
        <w:trPr>
          <w:trHeight w:val="210"/>
        </w:trPr>
        <w:tc>
          <w:tcPr>
            <w:tcW w:w="53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Value of Loans</w:t>
            </w:r>
          </w:p>
        </w:tc>
        <w:tc>
          <w:tcPr>
            <w:tcW w:w="9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146.4</w:t>
            </w:r>
          </w:p>
        </w:tc>
        <w:tc>
          <w:tcPr>
            <w:tcW w:w="260" w:type="dxa"/>
            <w:vAlign w:val="bottom"/>
            <w:tcBorders>
              <w:bottom w:val="single" w:sz="8" w:color="2360A6"/>
            </w:tcBorders>
            <w:shd w:val="clear" w:color="auto" w:fill="EDEDEE"/>
          </w:tcPr>
          <w:p>
            <w:pPr>
              <w:spacing w:after="0"/>
              <w:rPr>
                <w:sz w:val="18"/>
                <w:szCs w:val="18"/>
                <w:color w:val="auto"/>
              </w:rPr>
            </w:pPr>
          </w:p>
        </w:tc>
        <w:tc>
          <w:tcPr>
            <w:tcW w:w="6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146.4</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91.7</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91.7</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44.4</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44.4</w:t>
            </w:r>
          </w:p>
        </w:tc>
      </w:tr>
      <w:tr>
        <w:trPr>
          <w:trHeight w:val="210"/>
        </w:trPr>
        <w:tc>
          <w:tcPr>
            <w:tcW w:w="53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Liquidity Contract</w:t>
            </w:r>
          </w:p>
        </w:tc>
        <w:tc>
          <w:tcPr>
            <w:tcW w:w="9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260" w:type="dxa"/>
            <w:vAlign w:val="bottom"/>
            <w:tcBorders>
              <w:bottom w:val="single" w:sz="8" w:color="2360A6"/>
            </w:tcBorders>
            <w:shd w:val="clear" w:color="auto" w:fill="EDEDEE"/>
          </w:tcPr>
          <w:p>
            <w:pPr>
              <w:spacing w:after="0"/>
              <w:rPr>
                <w:sz w:val="18"/>
                <w:szCs w:val="18"/>
                <w:color w:val="auto"/>
              </w:rPr>
            </w:pPr>
          </w:p>
        </w:tc>
        <w:tc>
          <w:tcPr>
            <w:tcW w:w="6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6.2</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6.2</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0.4</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0.4</w:t>
            </w:r>
          </w:p>
        </w:tc>
      </w:tr>
      <w:tr>
        <w:trPr>
          <w:trHeight w:val="210"/>
        </w:trPr>
        <w:tc>
          <w:tcPr>
            <w:tcW w:w="53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Value of Liquidity Contract</w:t>
            </w:r>
          </w:p>
        </w:tc>
        <w:tc>
          <w:tcPr>
            <w:tcW w:w="9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w:t>
            </w:r>
          </w:p>
        </w:tc>
        <w:tc>
          <w:tcPr>
            <w:tcW w:w="260" w:type="dxa"/>
            <w:vAlign w:val="bottom"/>
            <w:tcBorders>
              <w:bottom w:val="single" w:sz="8" w:color="2360A6"/>
            </w:tcBorders>
            <w:shd w:val="clear" w:color="auto" w:fill="EDEDEE"/>
          </w:tcPr>
          <w:p>
            <w:pPr>
              <w:spacing w:after="0"/>
              <w:rPr>
                <w:sz w:val="18"/>
                <w:szCs w:val="18"/>
                <w:color w:val="auto"/>
              </w:rPr>
            </w:pPr>
          </w:p>
        </w:tc>
        <w:tc>
          <w:tcPr>
            <w:tcW w:w="6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6.2</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6.2</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0.4</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0.4</w:t>
            </w:r>
          </w:p>
        </w:tc>
      </w:tr>
      <w:tr>
        <w:trPr>
          <w:trHeight w:val="210"/>
        </w:trPr>
        <w:tc>
          <w:tcPr>
            <w:tcW w:w="53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Security Deposits and Other</w:t>
            </w:r>
          </w:p>
        </w:tc>
        <w:tc>
          <w:tcPr>
            <w:tcW w:w="9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146.0</w:t>
            </w:r>
          </w:p>
        </w:tc>
        <w:tc>
          <w:tcPr>
            <w:tcW w:w="260" w:type="dxa"/>
            <w:vAlign w:val="bottom"/>
            <w:tcBorders>
              <w:bottom w:val="single" w:sz="8" w:color="2360A6"/>
            </w:tcBorders>
            <w:shd w:val="clear" w:color="auto" w:fill="EDEDEE"/>
          </w:tcPr>
          <w:p>
            <w:pPr>
              <w:spacing w:after="0"/>
              <w:rPr>
                <w:sz w:val="18"/>
                <w:szCs w:val="18"/>
                <w:color w:val="auto"/>
              </w:rPr>
            </w:pPr>
          </w:p>
        </w:tc>
        <w:tc>
          <w:tcPr>
            <w:tcW w:w="6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146.0</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193.7</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193.7</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152.9</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152.9</w:t>
            </w:r>
          </w:p>
        </w:tc>
      </w:tr>
      <w:tr>
        <w:trPr>
          <w:trHeight w:val="210"/>
        </w:trPr>
        <w:tc>
          <w:tcPr>
            <w:tcW w:w="53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Impairment</w:t>
            </w:r>
          </w:p>
        </w:tc>
        <w:tc>
          <w:tcPr>
            <w:tcW w:w="9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(95.0)</w:t>
            </w:r>
          </w:p>
        </w:tc>
        <w:tc>
          <w:tcPr>
            <w:tcW w:w="260" w:type="dxa"/>
            <w:vAlign w:val="bottom"/>
            <w:tcBorders>
              <w:bottom w:val="single" w:sz="8" w:color="2360A6"/>
            </w:tcBorders>
            <w:shd w:val="clear" w:color="auto" w:fill="EDEDEE"/>
          </w:tcPr>
          <w:p>
            <w:pPr>
              <w:spacing w:after="0"/>
              <w:rPr>
                <w:sz w:val="18"/>
                <w:szCs w:val="18"/>
                <w:color w:val="auto"/>
              </w:rPr>
            </w:pPr>
          </w:p>
        </w:tc>
        <w:tc>
          <w:tcPr>
            <w:tcW w:w="6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(95.0)</w:t>
            </w:r>
          </w:p>
        </w:tc>
        <w:tc>
          <w:tcPr>
            <w:tcW w:w="9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(76.9)</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(76.9)</w:t>
            </w:r>
          </w:p>
        </w:tc>
        <w:tc>
          <w:tcPr>
            <w:tcW w:w="98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(1.9)</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(1.9)</w:t>
            </w:r>
          </w:p>
        </w:tc>
      </w:tr>
      <w:tr>
        <w:trPr>
          <w:trHeight w:val="210"/>
        </w:trPr>
        <w:tc>
          <w:tcPr>
            <w:tcW w:w="53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Net Value of Security Deposits and Other</w:t>
            </w:r>
          </w:p>
        </w:tc>
        <w:tc>
          <w:tcPr>
            <w:tcW w:w="9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51.0</w:t>
            </w:r>
          </w:p>
        </w:tc>
        <w:tc>
          <w:tcPr>
            <w:tcW w:w="260" w:type="dxa"/>
            <w:vAlign w:val="bottom"/>
            <w:tcBorders>
              <w:bottom w:val="single" w:sz="8" w:color="2360A6"/>
            </w:tcBorders>
            <w:shd w:val="clear" w:color="auto" w:fill="EDEDEE"/>
          </w:tcPr>
          <w:p>
            <w:pPr>
              <w:spacing w:after="0"/>
              <w:rPr>
                <w:sz w:val="18"/>
                <w:szCs w:val="18"/>
                <w:color w:val="auto"/>
              </w:rPr>
            </w:pPr>
          </w:p>
        </w:tc>
        <w:tc>
          <w:tcPr>
            <w:tcW w:w="6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51.0</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116.8</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116.8</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151.0</w:t>
            </w:r>
          </w:p>
        </w:tc>
        <w:tc>
          <w:tcPr>
            <w:tcW w:w="260" w:type="dxa"/>
            <w:vAlign w:val="bottom"/>
            <w:tcBorders>
              <w:bottom w:val="single" w:sz="8" w:color="2360A6"/>
            </w:tcBorders>
          </w:tcPr>
          <w:p>
            <w:pPr>
              <w:spacing w:after="0"/>
              <w:rPr>
                <w:sz w:val="18"/>
                <w:szCs w:val="18"/>
                <w:color w:val="auto"/>
              </w:rPr>
            </w:pPr>
          </w:p>
        </w:tc>
        <w:tc>
          <w:tcPr>
            <w:tcW w:w="6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151.0</w:t>
            </w:r>
          </w:p>
        </w:tc>
      </w:tr>
      <w:tr>
        <w:trPr>
          <w:trHeight w:val="210"/>
        </w:trPr>
        <w:tc>
          <w:tcPr>
            <w:tcW w:w="532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OTHER FINANCIAL ASSETS, NET</w:t>
            </w:r>
          </w:p>
        </w:tc>
        <w:tc>
          <w:tcPr>
            <w:tcW w:w="9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210.8</w:t>
            </w:r>
          </w:p>
        </w:tc>
        <w:tc>
          <w:tcPr>
            <w:tcW w:w="260" w:type="dxa"/>
            <w:vAlign w:val="bottom"/>
            <w:tcBorders>
              <w:bottom w:val="single" w:sz="8" w:color="2360A6"/>
            </w:tcBorders>
            <w:shd w:val="clear" w:color="auto" w:fill="D2DEEC"/>
          </w:tcPr>
          <w:p>
            <w:pPr>
              <w:spacing w:after="0"/>
              <w:rPr>
                <w:sz w:val="18"/>
                <w:szCs w:val="18"/>
                <w:color w:val="auto"/>
              </w:rPr>
            </w:pPr>
          </w:p>
        </w:tc>
        <w:tc>
          <w:tcPr>
            <w:tcW w:w="60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210.8</w:t>
            </w:r>
          </w:p>
        </w:tc>
        <w:tc>
          <w:tcPr>
            <w:tcW w:w="9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221.2</w:t>
            </w:r>
          </w:p>
        </w:tc>
        <w:tc>
          <w:tcPr>
            <w:tcW w:w="260" w:type="dxa"/>
            <w:vAlign w:val="bottom"/>
            <w:tcBorders>
              <w:bottom w:val="single" w:sz="8" w:color="2360A6"/>
            </w:tcBorders>
            <w:shd w:val="clear" w:color="auto" w:fill="D2DEEC"/>
          </w:tcPr>
          <w:p>
            <w:pPr>
              <w:spacing w:after="0"/>
              <w:rPr>
                <w:sz w:val="18"/>
                <w:szCs w:val="18"/>
                <w:color w:val="auto"/>
              </w:rPr>
            </w:pPr>
          </w:p>
        </w:tc>
        <w:tc>
          <w:tcPr>
            <w:tcW w:w="60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221.2</w:t>
            </w:r>
          </w:p>
        </w:tc>
        <w:tc>
          <w:tcPr>
            <w:tcW w:w="9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202.6</w:t>
            </w:r>
          </w:p>
        </w:tc>
        <w:tc>
          <w:tcPr>
            <w:tcW w:w="260" w:type="dxa"/>
            <w:vAlign w:val="bottom"/>
            <w:tcBorders>
              <w:bottom w:val="single" w:sz="8" w:color="2360A6"/>
            </w:tcBorders>
            <w:shd w:val="clear" w:color="auto" w:fill="D2DEEC"/>
          </w:tcPr>
          <w:p>
            <w:pPr>
              <w:spacing w:after="0"/>
              <w:rPr>
                <w:sz w:val="18"/>
                <w:szCs w:val="18"/>
                <w:color w:val="auto"/>
              </w:rPr>
            </w:pPr>
          </w:p>
        </w:tc>
        <w:tc>
          <w:tcPr>
            <w:tcW w:w="60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202.6</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13 Available-for-Sale Financial Assets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231F20"/>
        </w:rPr>
        <w:t>In 2010, the Group acquired an 8% stake in Malaysia Marine and Heavy Engineering Holdings Berhad (MHB) for €114.5 million (</w:t>
      </w:r>
      <w:r>
        <w:rPr>
          <w:rFonts w:ascii="Arial" w:cs="Arial" w:eastAsia="Arial" w:hAnsi="Arial"/>
          <w:sz w:val="16"/>
          <w:szCs w:val="16"/>
          <w:i w:val="1"/>
          <w:iCs w:val="1"/>
          <w:color w:val="231F20"/>
        </w:rPr>
        <w:t>i.e.</w:t>
      </w:r>
      <w:r>
        <w:rPr>
          <w:rFonts w:ascii="Arial" w:cs="Arial" w:eastAsia="Arial" w:hAnsi="Arial"/>
          <w:sz w:val="16"/>
          <w:szCs w:val="16"/>
          <w:color w:val="231F20"/>
        </w:rPr>
        <w:t xml:space="preserve"> 128,000,000 shares). Technip’s stake in MHB increased by 0.35% in 2011 for €7.1 million (</w:t>
      </w:r>
      <w:r>
        <w:rPr>
          <w:rFonts w:ascii="Arial" w:cs="Arial" w:eastAsia="Arial" w:hAnsi="Arial"/>
          <w:sz w:val="16"/>
          <w:szCs w:val="16"/>
          <w:i w:val="1"/>
          <w:iCs w:val="1"/>
          <w:color w:val="231F20"/>
        </w:rPr>
        <w:t>i.e.</w:t>
      </w:r>
      <w:r>
        <w:rPr>
          <w:rFonts w:ascii="Arial" w:cs="Arial" w:eastAsia="Arial" w:hAnsi="Arial"/>
          <w:sz w:val="16"/>
          <w:szCs w:val="16"/>
          <w:color w:val="231F20"/>
        </w:rPr>
        <w:t xml:space="preserve"> 5,555,000 supplementary shares), then additionally 0.15% in 2012 for €3.2 million (</w:t>
      </w:r>
      <w:r>
        <w:rPr>
          <w:rFonts w:ascii="Arial" w:cs="Arial" w:eastAsia="Arial" w:hAnsi="Arial"/>
          <w:sz w:val="16"/>
          <w:szCs w:val="16"/>
          <w:i w:val="1"/>
          <w:iCs w:val="1"/>
          <w:color w:val="231F20"/>
        </w:rPr>
        <w:t>i.e.</w:t>
      </w:r>
      <w:r>
        <w:rPr>
          <w:rFonts w:ascii="Arial" w:cs="Arial" w:eastAsia="Arial" w:hAnsi="Arial"/>
          <w:sz w:val="16"/>
          <w:szCs w:val="16"/>
          <w:color w:val="231F20"/>
        </w:rPr>
        <w:t xml:space="preserve"> 2,445,000 supplementary shares), totaling 136 million shares. This company is listed in Malaysia (Bursa Malaysia Securities Berhad).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2016, the MHB available-for-sale financial assets amounted to €26.5 million.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2015, the MHB available-for-sale financial assets amounted to €29.0 million.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2014, the MHB available-for-sale financial assets amounted to €57.0 million.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231F20"/>
        </w:rPr>
        <w:t>In the financial year ended 2016, an impairment was booked in the statement of income for €2.5 million.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231F20"/>
        </w:rPr>
        <w:t>In the financial year ended 2015, an impairment was booked in the statement of income for €28.0 million.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231F20"/>
        </w:rPr>
        <w:t>In the financial year ended 2014, an impairment was booked in the statement of income for €68.0 million.</w:t>
      </w:r>
    </w:p>
    <w:p>
      <w:pPr>
        <w:spacing w:after="0" w:line="159" w:lineRule="exact"/>
        <w:rPr>
          <w:sz w:val="20"/>
          <w:szCs w:val="20"/>
          <w:color w:val="auto"/>
        </w:rPr>
      </w:pPr>
    </w:p>
    <w:tbl>
      <w:tblPr>
        <w:tblLayout w:type="fixed"/>
        <w:tblInd w:w="390" w:type="dxa"/>
        <w:tblCellMar>
          <w:top w:w="0" w:type="dxa"/>
          <w:left w:w="0" w:type="dxa"/>
          <w:bottom w:w="0" w:type="dxa"/>
          <w:right w:w="0" w:type="dxa"/>
        </w:tblCellMar>
      </w:tblPr>
      <w:tr>
        <w:trPr>
          <w:trHeight w:val="189"/>
        </w:trPr>
        <w:tc>
          <w:tcPr>
            <w:tcW w:w="4860" w:type="dxa"/>
            <w:vAlign w:val="bottom"/>
            <w:tcBorders>
              <w:top w:val="single" w:sz="8" w:color="2360A6"/>
              <w:left w:val="single" w:sz="8" w:color="2360A6"/>
              <w:right w:val="single" w:sz="8" w:color="2360A6"/>
            </w:tcBorders>
          </w:tcPr>
          <w:p>
            <w:pPr>
              <w:spacing w:after="0"/>
              <w:rPr>
                <w:sz w:val="16"/>
                <w:szCs w:val="16"/>
                <w:color w:val="auto"/>
              </w:rPr>
            </w:pPr>
          </w:p>
        </w:tc>
        <w:tc>
          <w:tcPr>
            <w:tcW w:w="1280" w:type="dxa"/>
            <w:vAlign w:val="bottom"/>
            <w:tcBorders>
              <w:top w:val="single" w:sz="8" w:color="2360A6"/>
            </w:tcBorders>
            <w:gridSpan w:val="2"/>
            <w:shd w:val="clear" w:color="auto" w:fill="2360A6"/>
          </w:tcPr>
          <w:p>
            <w:pPr>
              <w:jc w:val="center"/>
              <w:ind w:left="608"/>
              <w:spacing w:after="0"/>
              <w:rPr>
                <w:sz w:val="20"/>
                <w:szCs w:val="20"/>
                <w:color w:val="auto"/>
              </w:rPr>
            </w:pPr>
            <w:r>
              <w:rPr>
                <w:rFonts w:ascii="Arial" w:cs="Arial" w:eastAsia="Arial" w:hAnsi="Arial"/>
                <w:sz w:val="14"/>
                <w:szCs w:val="14"/>
                <w:b w:val="1"/>
                <w:bCs w:val="1"/>
                <w:color w:val="FFFFFF"/>
              </w:rPr>
              <w:t>As of</w:t>
            </w:r>
          </w:p>
        </w:tc>
        <w:tc>
          <w:tcPr>
            <w:tcW w:w="640" w:type="dxa"/>
            <w:vAlign w:val="bottom"/>
            <w:tcBorders>
              <w:top w:val="single" w:sz="8" w:color="2360A6"/>
              <w:right w:val="single" w:sz="8" w:color="2360A6"/>
            </w:tcBorders>
            <w:shd w:val="clear" w:color="auto" w:fill="2360A6"/>
          </w:tcPr>
          <w:p>
            <w:pPr>
              <w:spacing w:after="0"/>
              <w:rPr>
                <w:sz w:val="16"/>
                <w:szCs w:val="16"/>
                <w:color w:val="auto"/>
              </w:rPr>
            </w:pPr>
          </w:p>
        </w:tc>
        <w:tc>
          <w:tcPr>
            <w:tcW w:w="1280" w:type="dxa"/>
            <w:vAlign w:val="bottom"/>
            <w:tcBorders>
              <w:top w:val="single" w:sz="8" w:color="2360A6"/>
            </w:tcBorders>
            <w:gridSpan w:val="2"/>
          </w:tcPr>
          <w:p>
            <w:pPr>
              <w:jc w:val="center"/>
              <w:ind w:left="608"/>
              <w:spacing w:after="0"/>
              <w:rPr>
                <w:sz w:val="20"/>
                <w:szCs w:val="20"/>
                <w:color w:val="auto"/>
              </w:rPr>
            </w:pPr>
            <w:r>
              <w:rPr>
                <w:rFonts w:ascii="Arial" w:cs="Arial" w:eastAsia="Arial" w:hAnsi="Arial"/>
                <w:sz w:val="14"/>
                <w:szCs w:val="14"/>
                <w:b w:val="1"/>
                <w:bCs w:val="1"/>
                <w:color w:val="2360BA"/>
              </w:rPr>
              <w:t>As of</w:t>
            </w:r>
          </w:p>
        </w:tc>
        <w:tc>
          <w:tcPr>
            <w:tcW w:w="620" w:type="dxa"/>
            <w:vAlign w:val="bottom"/>
            <w:tcBorders>
              <w:top w:val="single" w:sz="8" w:color="2360A6"/>
              <w:right w:val="single" w:sz="8" w:color="2360A6"/>
            </w:tcBorders>
          </w:tcPr>
          <w:p>
            <w:pPr>
              <w:spacing w:after="0"/>
              <w:rPr>
                <w:sz w:val="16"/>
                <w:szCs w:val="16"/>
                <w:color w:val="auto"/>
              </w:rPr>
            </w:pPr>
          </w:p>
        </w:tc>
        <w:tc>
          <w:tcPr>
            <w:tcW w:w="1240" w:type="dxa"/>
            <w:vAlign w:val="bottom"/>
            <w:tcBorders>
              <w:top w:val="single" w:sz="8" w:color="2360A6"/>
            </w:tcBorders>
            <w:gridSpan w:val="2"/>
          </w:tcPr>
          <w:p>
            <w:pPr>
              <w:jc w:val="center"/>
              <w:ind w:left="568"/>
              <w:spacing w:after="0"/>
              <w:rPr>
                <w:sz w:val="20"/>
                <w:szCs w:val="20"/>
                <w:color w:val="auto"/>
              </w:rPr>
            </w:pPr>
            <w:r>
              <w:rPr>
                <w:rFonts w:ascii="Arial" w:cs="Arial" w:eastAsia="Arial" w:hAnsi="Arial"/>
                <w:sz w:val="14"/>
                <w:szCs w:val="14"/>
                <w:b w:val="1"/>
                <w:bCs w:val="1"/>
                <w:color w:val="2360A6"/>
              </w:rPr>
              <w:t>As of</w:t>
            </w:r>
          </w:p>
        </w:tc>
        <w:tc>
          <w:tcPr>
            <w:tcW w:w="620" w:type="dxa"/>
            <w:vAlign w:val="bottom"/>
            <w:tcBorders>
              <w:top w:val="single" w:sz="8" w:color="2360A6"/>
              <w:right w:val="single" w:sz="8" w:color="2360A6"/>
            </w:tcBorders>
          </w:tcPr>
          <w:p>
            <w:pPr>
              <w:spacing w:after="0"/>
              <w:rPr>
                <w:sz w:val="16"/>
                <w:szCs w:val="16"/>
                <w:color w:val="auto"/>
              </w:rPr>
            </w:pPr>
          </w:p>
        </w:tc>
      </w:tr>
      <w:tr>
        <w:trPr>
          <w:trHeight w:val="162"/>
        </w:trPr>
        <w:tc>
          <w:tcPr>
            <w:tcW w:w="4860" w:type="dxa"/>
            <w:vAlign w:val="bottom"/>
            <w:tcBorders>
              <w:left w:val="single" w:sz="8" w:color="2360A6"/>
              <w:right w:val="single" w:sz="8" w:color="2360A6"/>
            </w:tcBorders>
          </w:tcPr>
          <w:p>
            <w:pPr>
              <w:spacing w:after="0"/>
              <w:rPr>
                <w:sz w:val="14"/>
                <w:szCs w:val="14"/>
                <w:color w:val="auto"/>
              </w:rPr>
            </w:pPr>
          </w:p>
        </w:tc>
        <w:tc>
          <w:tcPr>
            <w:tcW w:w="1920" w:type="dxa"/>
            <w:vAlign w:val="bottom"/>
            <w:tcBorders>
              <w:right w:val="single" w:sz="8" w:color="2360A6"/>
            </w:tcBorders>
            <w:gridSpan w:val="3"/>
            <w:shd w:val="clear" w:color="auto" w:fill="2360A6"/>
          </w:tcPr>
          <w:p>
            <w:pPr>
              <w:jc w:val="center"/>
              <w:spacing w:after="0"/>
              <w:rPr>
                <w:sz w:val="20"/>
                <w:szCs w:val="20"/>
                <w:color w:val="auto"/>
              </w:rPr>
            </w:pPr>
            <w:r>
              <w:rPr>
                <w:rFonts w:ascii="Arial" w:cs="Arial" w:eastAsia="Arial" w:hAnsi="Arial"/>
                <w:sz w:val="14"/>
                <w:szCs w:val="14"/>
                <w:b w:val="1"/>
                <w:bCs w:val="1"/>
                <w:color w:val="FFFFFF"/>
              </w:rPr>
              <w:t>December 31,</w:t>
            </w:r>
          </w:p>
        </w:tc>
        <w:tc>
          <w:tcPr>
            <w:tcW w:w="1900" w:type="dxa"/>
            <w:vAlign w:val="bottom"/>
            <w:tcBorders>
              <w:right w:val="single" w:sz="8" w:color="2360A6"/>
            </w:tcBorders>
            <w:gridSpan w:val="3"/>
          </w:tcPr>
          <w:p>
            <w:pPr>
              <w:jc w:val="center"/>
              <w:spacing w:after="0"/>
              <w:rPr>
                <w:sz w:val="20"/>
                <w:szCs w:val="20"/>
                <w:color w:val="auto"/>
              </w:rPr>
            </w:pPr>
            <w:r>
              <w:rPr>
                <w:rFonts w:ascii="Arial" w:cs="Arial" w:eastAsia="Arial" w:hAnsi="Arial"/>
                <w:sz w:val="14"/>
                <w:szCs w:val="14"/>
                <w:b w:val="1"/>
                <w:bCs w:val="1"/>
                <w:color w:val="2360BA"/>
              </w:rPr>
              <w:t>December 31,</w:t>
            </w:r>
          </w:p>
        </w:tc>
        <w:tc>
          <w:tcPr>
            <w:tcW w:w="1860" w:type="dxa"/>
            <w:vAlign w:val="bottom"/>
            <w:tcBorders>
              <w:right w:val="single" w:sz="8" w:color="2360A6"/>
            </w:tcBorders>
            <w:gridSpan w:val="3"/>
          </w:tcPr>
          <w:p>
            <w:pPr>
              <w:jc w:val="center"/>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4860" w:type="dxa"/>
            <w:vAlign w:val="bottom"/>
            <w:tcBorders>
              <w:left w:val="single" w:sz="8" w:color="2360A6"/>
              <w:right w:val="single" w:sz="8" w:color="2360A6"/>
            </w:tcBorders>
          </w:tcPr>
          <w:p>
            <w:pPr>
              <w:spacing w:after="0"/>
              <w:rPr>
                <w:sz w:val="17"/>
                <w:szCs w:val="17"/>
                <w:color w:val="auto"/>
              </w:rPr>
            </w:pPr>
          </w:p>
        </w:tc>
        <w:tc>
          <w:tcPr>
            <w:tcW w:w="1280" w:type="dxa"/>
            <w:vAlign w:val="bottom"/>
            <w:tcBorders>
              <w:bottom w:val="single" w:sz="8" w:color="2360A6"/>
            </w:tcBorders>
            <w:gridSpan w:val="2"/>
            <w:shd w:val="clear" w:color="auto" w:fill="2360A6"/>
          </w:tcPr>
          <w:p>
            <w:pPr>
              <w:jc w:val="center"/>
              <w:ind w:left="608"/>
              <w:spacing w:after="0"/>
              <w:rPr>
                <w:sz w:val="20"/>
                <w:szCs w:val="20"/>
                <w:color w:val="auto"/>
              </w:rPr>
            </w:pPr>
            <w:r>
              <w:rPr>
                <w:rFonts w:ascii="Arial" w:cs="Arial" w:eastAsia="Arial" w:hAnsi="Arial"/>
                <w:sz w:val="14"/>
                <w:szCs w:val="14"/>
                <w:b w:val="1"/>
                <w:bCs w:val="1"/>
                <w:color w:val="FFFFFF"/>
              </w:rPr>
              <w:t>2016</w:t>
            </w:r>
          </w:p>
        </w:tc>
        <w:tc>
          <w:tcPr>
            <w:tcW w:w="640" w:type="dxa"/>
            <w:vAlign w:val="bottom"/>
            <w:tcBorders>
              <w:bottom w:val="single" w:sz="8" w:color="2360A6"/>
              <w:right w:val="single" w:sz="8" w:color="2360A6"/>
            </w:tcBorders>
            <w:shd w:val="clear" w:color="auto" w:fill="2360A6"/>
          </w:tcPr>
          <w:p>
            <w:pPr>
              <w:spacing w:after="0"/>
              <w:rPr>
                <w:sz w:val="17"/>
                <w:szCs w:val="17"/>
                <w:color w:val="auto"/>
              </w:rPr>
            </w:pPr>
          </w:p>
        </w:tc>
        <w:tc>
          <w:tcPr>
            <w:tcW w:w="1280" w:type="dxa"/>
            <w:vAlign w:val="bottom"/>
            <w:tcBorders>
              <w:bottom w:val="single" w:sz="8" w:color="2360A6"/>
            </w:tcBorders>
            <w:gridSpan w:val="2"/>
          </w:tcPr>
          <w:p>
            <w:pPr>
              <w:jc w:val="center"/>
              <w:ind w:left="608"/>
              <w:spacing w:after="0"/>
              <w:rPr>
                <w:sz w:val="20"/>
                <w:szCs w:val="20"/>
                <w:color w:val="auto"/>
              </w:rPr>
            </w:pPr>
            <w:r>
              <w:rPr>
                <w:rFonts w:ascii="Arial" w:cs="Arial" w:eastAsia="Arial" w:hAnsi="Arial"/>
                <w:sz w:val="14"/>
                <w:szCs w:val="14"/>
                <w:b w:val="1"/>
                <w:bCs w:val="1"/>
                <w:color w:val="2360BA"/>
              </w:rPr>
              <w:t>2015</w:t>
            </w:r>
          </w:p>
        </w:tc>
        <w:tc>
          <w:tcPr>
            <w:tcW w:w="620" w:type="dxa"/>
            <w:vAlign w:val="bottom"/>
            <w:tcBorders>
              <w:bottom w:val="single" w:sz="8" w:color="2360A6"/>
              <w:right w:val="single" w:sz="8" w:color="2360A6"/>
            </w:tcBorders>
          </w:tcPr>
          <w:p>
            <w:pPr>
              <w:spacing w:after="0"/>
              <w:rPr>
                <w:sz w:val="17"/>
                <w:szCs w:val="17"/>
                <w:color w:val="auto"/>
              </w:rPr>
            </w:pPr>
          </w:p>
        </w:tc>
        <w:tc>
          <w:tcPr>
            <w:tcW w:w="1240" w:type="dxa"/>
            <w:vAlign w:val="bottom"/>
            <w:tcBorders>
              <w:bottom w:val="single" w:sz="8" w:color="2360A6"/>
            </w:tcBorders>
            <w:gridSpan w:val="2"/>
          </w:tcPr>
          <w:p>
            <w:pPr>
              <w:jc w:val="center"/>
              <w:ind w:left="568"/>
              <w:spacing w:after="0"/>
              <w:rPr>
                <w:sz w:val="20"/>
                <w:szCs w:val="20"/>
                <w:color w:val="auto"/>
              </w:rPr>
            </w:pPr>
            <w:r>
              <w:rPr>
                <w:rFonts w:ascii="Arial" w:cs="Arial" w:eastAsia="Arial" w:hAnsi="Arial"/>
                <w:sz w:val="14"/>
                <w:szCs w:val="14"/>
                <w:b w:val="1"/>
                <w:bCs w:val="1"/>
                <w:color w:val="2360A6"/>
              </w:rPr>
              <w:t>2014</w:t>
            </w:r>
          </w:p>
        </w:tc>
        <w:tc>
          <w:tcPr>
            <w:tcW w:w="620" w:type="dxa"/>
            <w:vAlign w:val="bottom"/>
            <w:tcBorders>
              <w:bottom w:val="single" w:sz="8" w:color="2360A6"/>
              <w:right w:val="single" w:sz="8" w:color="2360A6"/>
            </w:tcBorders>
          </w:tcPr>
          <w:p>
            <w:pPr>
              <w:spacing w:after="0"/>
              <w:rPr>
                <w:sz w:val="17"/>
                <w:szCs w:val="17"/>
                <w:color w:val="auto"/>
              </w:rPr>
            </w:pPr>
          </w:p>
        </w:tc>
      </w:tr>
      <w:tr>
        <w:trPr>
          <w:trHeight w:val="175"/>
        </w:trPr>
        <w:tc>
          <w:tcPr>
            <w:tcW w:w="4860" w:type="dxa"/>
            <w:vAlign w:val="bottom"/>
            <w:tcBorders>
              <w:left w:val="single" w:sz="8" w:color="2360A6"/>
              <w:right w:val="single" w:sz="8" w:color="2360A6"/>
            </w:tcBorders>
          </w:tcPr>
          <w:p>
            <w:pPr>
              <w:spacing w:after="0"/>
              <w:rPr>
                <w:sz w:val="15"/>
                <w:szCs w:val="15"/>
                <w:color w:val="auto"/>
              </w:rPr>
            </w:pPr>
          </w:p>
        </w:tc>
        <w:tc>
          <w:tcPr>
            <w:tcW w:w="960" w:type="dxa"/>
            <w:vAlign w:val="bottom"/>
            <w:tcBorders>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Carrying</w:t>
            </w:r>
          </w:p>
        </w:tc>
        <w:tc>
          <w:tcPr>
            <w:tcW w:w="320" w:type="dxa"/>
            <w:vAlign w:val="bottom"/>
            <w:shd w:val="clear" w:color="auto" w:fill="EDEDEE"/>
          </w:tcPr>
          <w:p>
            <w:pPr>
              <w:spacing w:after="0"/>
              <w:rPr>
                <w:sz w:val="15"/>
                <w:szCs w:val="15"/>
                <w:color w:val="auto"/>
              </w:rPr>
            </w:pPr>
          </w:p>
        </w:tc>
        <w:tc>
          <w:tcPr>
            <w:tcW w:w="640" w:type="dxa"/>
            <w:vAlign w:val="bottom"/>
            <w:tcBorders>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Fair</w:t>
            </w:r>
          </w:p>
        </w:tc>
        <w:tc>
          <w:tcPr>
            <w:tcW w:w="96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Carrying</w:t>
            </w:r>
          </w:p>
        </w:tc>
        <w:tc>
          <w:tcPr>
            <w:tcW w:w="320" w:type="dxa"/>
            <w:vAlign w:val="bottom"/>
          </w:tcPr>
          <w:p>
            <w:pPr>
              <w:spacing w:after="0"/>
              <w:rPr>
                <w:sz w:val="15"/>
                <w:szCs w:val="15"/>
                <w:color w:val="auto"/>
              </w:rPr>
            </w:pPr>
          </w:p>
        </w:tc>
        <w:tc>
          <w:tcPr>
            <w:tcW w:w="62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Fair</w:t>
            </w:r>
          </w:p>
        </w:tc>
        <w:tc>
          <w:tcPr>
            <w:tcW w:w="92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Carrying</w:t>
            </w:r>
          </w:p>
        </w:tc>
        <w:tc>
          <w:tcPr>
            <w:tcW w:w="320" w:type="dxa"/>
            <w:vAlign w:val="bottom"/>
          </w:tcPr>
          <w:p>
            <w:pPr>
              <w:spacing w:after="0"/>
              <w:rPr>
                <w:sz w:val="15"/>
                <w:szCs w:val="15"/>
                <w:color w:val="auto"/>
              </w:rPr>
            </w:pPr>
          </w:p>
        </w:tc>
        <w:tc>
          <w:tcPr>
            <w:tcW w:w="62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Fair</w:t>
            </w:r>
          </w:p>
        </w:tc>
      </w:tr>
      <w:tr>
        <w:trPr>
          <w:trHeight w:val="196"/>
        </w:trPr>
        <w:tc>
          <w:tcPr>
            <w:tcW w:w="48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96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Amount</w:t>
            </w:r>
          </w:p>
        </w:tc>
        <w:tc>
          <w:tcPr>
            <w:tcW w:w="320" w:type="dxa"/>
            <w:vAlign w:val="bottom"/>
            <w:tcBorders>
              <w:bottom w:val="single" w:sz="8" w:color="2360A6"/>
            </w:tcBorders>
            <w:shd w:val="clear" w:color="auto" w:fill="EDEDEE"/>
          </w:tcPr>
          <w:p>
            <w:pPr>
              <w:spacing w:after="0"/>
              <w:rPr>
                <w:sz w:val="17"/>
                <w:szCs w:val="17"/>
                <w:color w:val="auto"/>
              </w:rPr>
            </w:pPr>
          </w:p>
        </w:tc>
        <w:tc>
          <w:tcPr>
            <w:tcW w:w="64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Value</w:t>
            </w:r>
          </w:p>
        </w:tc>
        <w:tc>
          <w:tcPr>
            <w:tcW w:w="9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Amount</w:t>
            </w:r>
          </w:p>
        </w:tc>
        <w:tc>
          <w:tcPr>
            <w:tcW w:w="320" w:type="dxa"/>
            <w:vAlign w:val="bottom"/>
            <w:tcBorders>
              <w:bottom w:val="single" w:sz="8" w:color="2360A6"/>
            </w:tcBorders>
          </w:tcPr>
          <w:p>
            <w:pPr>
              <w:spacing w:after="0"/>
              <w:rPr>
                <w:sz w:val="17"/>
                <w:szCs w:val="17"/>
                <w:color w:val="auto"/>
              </w:rPr>
            </w:pPr>
          </w:p>
        </w:tc>
        <w:tc>
          <w:tcPr>
            <w:tcW w:w="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Value</w:t>
            </w:r>
          </w:p>
        </w:tc>
        <w:tc>
          <w:tcPr>
            <w:tcW w:w="9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Amount</w:t>
            </w:r>
          </w:p>
        </w:tc>
        <w:tc>
          <w:tcPr>
            <w:tcW w:w="320" w:type="dxa"/>
            <w:vAlign w:val="bottom"/>
            <w:tcBorders>
              <w:bottom w:val="single" w:sz="8" w:color="2360A6"/>
            </w:tcBorders>
          </w:tcPr>
          <w:p>
            <w:pPr>
              <w:spacing w:after="0"/>
              <w:rPr>
                <w:sz w:val="17"/>
                <w:szCs w:val="17"/>
                <w:color w:val="auto"/>
              </w:rPr>
            </w:pPr>
          </w:p>
        </w:tc>
        <w:tc>
          <w:tcPr>
            <w:tcW w:w="6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Value</w:t>
            </w:r>
          </w:p>
        </w:tc>
      </w:tr>
      <w:tr>
        <w:trPr>
          <w:trHeight w:val="210"/>
        </w:trPr>
        <w:tc>
          <w:tcPr>
            <w:tcW w:w="48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 - Unlisted</w:t>
            </w:r>
          </w:p>
        </w:tc>
        <w:tc>
          <w:tcPr>
            <w:tcW w:w="96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2360A6"/>
            </w:tcBorders>
            <w:shd w:val="clear" w:color="auto" w:fill="EDEDEE"/>
          </w:tcPr>
          <w:p>
            <w:pPr>
              <w:spacing w:after="0"/>
              <w:rPr>
                <w:sz w:val="18"/>
                <w:szCs w:val="18"/>
                <w:color w:val="auto"/>
              </w:rPr>
            </w:pPr>
          </w:p>
        </w:tc>
        <w:tc>
          <w:tcPr>
            <w:tcW w:w="64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320" w:type="dxa"/>
            <w:vAlign w:val="bottom"/>
            <w:tcBorders>
              <w:bottom w:val="single" w:sz="8" w:color="2360A6"/>
            </w:tcBorders>
          </w:tcPr>
          <w:p>
            <w:pPr>
              <w:spacing w:after="0"/>
              <w:rPr>
                <w:sz w:val="18"/>
                <w:szCs w:val="18"/>
                <w:color w:val="auto"/>
              </w:rPr>
            </w:pPr>
          </w:p>
        </w:tc>
        <w:tc>
          <w:tcPr>
            <w:tcW w:w="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320" w:type="dxa"/>
            <w:vAlign w:val="bottom"/>
            <w:tcBorders>
              <w:bottom w:val="single" w:sz="8" w:color="2360A6"/>
            </w:tcBorders>
          </w:tcPr>
          <w:p>
            <w:pPr>
              <w:spacing w:after="0"/>
              <w:rPr>
                <w:sz w:val="18"/>
                <w:szCs w:val="18"/>
                <w:color w:val="auto"/>
              </w:rPr>
            </w:pPr>
          </w:p>
        </w:tc>
        <w:tc>
          <w:tcPr>
            <w:tcW w:w="6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48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 - Listed</w:t>
            </w:r>
          </w:p>
        </w:tc>
        <w:tc>
          <w:tcPr>
            <w:tcW w:w="96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26.5</w:t>
            </w:r>
          </w:p>
        </w:tc>
        <w:tc>
          <w:tcPr>
            <w:tcW w:w="320" w:type="dxa"/>
            <w:vAlign w:val="bottom"/>
            <w:tcBorders>
              <w:bottom w:val="single" w:sz="8" w:color="2360A6"/>
            </w:tcBorders>
            <w:shd w:val="clear" w:color="auto" w:fill="EDEDEE"/>
          </w:tcPr>
          <w:p>
            <w:pPr>
              <w:spacing w:after="0"/>
              <w:rPr>
                <w:sz w:val="18"/>
                <w:szCs w:val="18"/>
                <w:color w:val="auto"/>
              </w:rPr>
            </w:pPr>
          </w:p>
        </w:tc>
        <w:tc>
          <w:tcPr>
            <w:tcW w:w="64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26.5</w:t>
            </w:r>
          </w:p>
        </w:tc>
        <w:tc>
          <w:tcPr>
            <w:tcW w:w="9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29.0</w:t>
            </w:r>
          </w:p>
        </w:tc>
        <w:tc>
          <w:tcPr>
            <w:tcW w:w="320" w:type="dxa"/>
            <w:vAlign w:val="bottom"/>
            <w:tcBorders>
              <w:bottom w:val="single" w:sz="8" w:color="2360A6"/>
            </w:tcBorders>
          </w:tcPr>
          <w:p>
            <w:pPr>
              <w:spacing w:after="0"/>
              <w:rPr>
                <w:sz w:val="18"/>
                <w:szCs w:val="18"/>
                <w:color w:val="auto"/>
              </w:rPr>
            </w:pPr>
          </w:p>
        </w:tc>
        <w:tc>
          <w:tcPr>
            <w:tcW w:w="62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29.0</w:t>
            </w:r>
          </w:p>
        </w:tc>
        <w:tc>
          <w:tcPr>
            <w:tcW w:w="9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57.0</w:t>
            </w:r>
          </w:p>
        </w:tc>
        <w:tc>
          <w:tcPr>
            <w:tcW w:w="320" w:type="dxa"/>
            <w:vAlign w:val="bottom"/>
            <w:tcBorders>
              <w:bottom w:val="single" w:sz="8" w:color="2360A6"/>
            </w:tcBorders>
          </w:tcPr>
          <w:p>
            <w:pPr>
              <w:spacing w:after="0"/>
              <w:rPr>
                <w:sz w:val="18"/>
                <w:szCs w:val="18"/>
                <w:color w:val="auto"/>
              </w:rPr>
            </w:pPr>
          </w:p>
        </w:tc>
        <w:tc>
          <w:tcPr>
            <w:tcW w:w="6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57.0</w:t>
            </w:r>
          </w:p>
        </w:tc>
      </w:tr>
      <w:tr>
        <w:trPr>
          <w:trHeight w:val="210"/>
        </w:trPr>
        <w:tc>
          <w:tcPr>
            <w:tcW w:w="486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AVAILABLE-FOR-SALE FINANCIAL ASSETS</w:t>
            </w:r>
          </w:p>
        </w:tc>
        <w:tc>
          <w:tcPr>
            <w:tcW w:w="96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26.5</w:t>
            </w:r>
          </w:p>
        </w:tc>
        <w:tc>
          <w:tcPr>
            <w:tcW w:w="320" w:type="dxa"/>
            <w:vAlign w:val="bottom"/>
            <w:tcBorders>
              <w:bottom w:val="single" w:sz="8" w:color="2360A6"/>
            </w:tcBorders>
            <w:shd w:val="clear" w:color="auto" w:fill="D2DEEC"/>
          </w:tcPr>
          <w:p>
            <w:pPr>
              <w:spacing w:after="0"/>
              <w:rPr>
                <w:sz w:val="18"/>
                <w:szCs w:val="18"/>
                <w:color w:val="auto"/>
              </w:rPr>
            </w:pPr>
          </w:p>
        </w:tc>
        <w:tc>
          <w:tcPr>
            <w:tcW w:w="64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26.5</w:t>
            </w:r>
          </w:p>
        </w:tc>
        <w:tc>
          <w:tcPr>
            <w:tcW w:w="96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29.0</w:t>
            </w:r>
          </w:p>
        </w:tc>
        <w:tc>
          <w:tcPr>
            <w:tcW w:w="320" w:type="dxa"/>
            <w:vAlign w:val="bottom"/>
            <w:tcBorders>
              <w:bottom w:val="single" w:sz="8" w:color="2360A6"/>
            </w:tcBorders>
            <w:shd w:val="clear" w:color="auto" w:fill="D2DEEC"/>
          </w:tcPr>
          <w:p>
            <w:pPr>
              <w:spacing w:after="0"/>
              <w:rPr>
                <w:sz w:val="18"/>
                <w:szCs w:val="18"/>
                <w:color w:val="auto"/>
              </w:rPr>
            </w:pPr>
          </w:p>
        </w:tc>
        <w:tc>
          <w:tcPr>
            <w:tcW w:w="62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29.0</w:t>
            </w:r>
          </w:p>
        </w:tc>
        <w:tc>
          <w:tcPr>
            <w:tcW w:w="92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57.0</w:t>
            </w:r>
          </w:p>
        </w:tc>
        <w:tc>
          <w:tcPr>
            <w:tcW w:w="320" w:type="dxa"/>
            <w:vAlign w:val="bottom"/>
            <w:tcBorders>
              <w:bottom w:val="single" w:sz="8" w:color="2360A6"/>
            </w:tcBorders>
            <w:shd w:val="clear" w:color="auto" w:fill="D2DEEC"/>
          </w:tcPr>
          <w:p>
            <w:pPr>
              <w:spacing w:after="0"/>
              <w:rPr>
                <w:sz w:val="18"/>
                <w:szCs w:val="18"/>
                <w:color w:val="auto"/>
              </w:rPr>
            </w:pPr>
          </w:p>
        </w:tc>
        <w:tc>
          <w:tcPr>
            <w:tcW w:w="62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57.0</w:t>
            </w:r>
          </w:p>
        </w:tc>
      </w:tr>
    </w:tbl>
    <w:p>
      <w:pPr>
        <w:sectPr>
          <w:pgSz w:w="11900" w:h="16838" w:orient="portrait"/>
          <w:cols w:equalWidth="0" w:num="1">
            <w:col w:w="11340"/>
          </w:cols>
          <w:pgMar w:left="320" w:top="694" w:right="239" w:bottom="1440" w:gutter="0" w:footer="0" w:header="0"/>
        </w:sectPr>
      </w:pPr>
    </w:p>
    <w:bookmarkStart w:id="122" w:name="page123"/>
    <w:bookmarkEnd w:id="122"/>
    <w:p>
      <w:pPr>
        <w:spacing w:after="0"/>
        <w:rPr>
          <w:sz w:val="20"/>
          <w:szCs w:val="20"/>
          <w:color w:val="auto"/>
        </w:rPr>
      </w:pPr>
      <w:r>
        <w:rPr>
          <w:rFonts w:ascii="Arial" w:cs="Arial" w:eastAsia="Arial" w:hAnsi="Arial"/>
          <w:sz w:val="29"/>
          <w:szCs w:val="29"/>
          <w:b w:val="1"/>
          <w:bCs w:val="1"/>
          <w:color w:val="2360A6"/>
        </w:rPr>
        <w:t>Note 14 Inventories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31F20"/>
        </w:rPr>
        <w:t>The breakdown of inventories is as follows:</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4580" w:type="dxa"/>
            <w:vAlign w:val="bottom"/>
            <w:tcBorders>
              <w:top w:val="single" w:sz="8" w:color="2360A6"/>
              <w:left w:val="single" w:sz="8" w:color="2360A6"/>
              <w:right w:val="single" w:sz="8" w:color="2360A6"/>
            </w:tcBorders>
          </w:tcPr>
          <w:p>
            <w:pPr>
              <w:spacing w:after="0"/>
              <w:rPr>
                <w:sz w:val="16"/>
                <w:szCs w:val="16"/>
                <w:color w:val="auto"/>
              </w:rPr>
            </w:pPr>
          </w:p>
        </w:tc>
        <w:tc>
          <w:tcPr>
            <w:tcW w:w="2020" w:type="dxa"/>
            <w:vAlign w:val="bottom"/>
            <w:tcBorders>
              <w:top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w:t>
            </w:r>
          </w:p>
        </w:tc>
        <w:tc>
          <w:tcPr>
            <w:tcW w:w="200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As of</w:t>
            </w:r>
          </w:p>
        </w:tc>
        <w:tc>
          <w:tcPr>
            <w:tcW w:w="202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As of</w:t>
            </w:r>
          </w:p>
        </w:tc>
      </w:tr>
      <w:tr>
        <w:trPr>
          <w:trHeight w:val="162"/>
        </w:trPr>
        <w:tc>
          <w:tcPr>
            <w:tcW w:w="4580" w:type="dxa"/>
            <w:vAlign w:val="bottom"/>
            <w:tcBorders>
              <w:left w:val="single" w:sz="8" w:color="2360A6"/>
              <w:right w:val="single" w:sz="8" w:color="2360A6"/>
            </w:tcBorders>
          </w:tcPr>
          <w:p>
            <w:pPr>
              <w:spacing w:after="0"/>
              <w:rPr>
                <w:sz w:val="14"/>
                <w:szCs w:val="14"/>
                <w:color w:val="auto"/>
              </w:rPr>
            </w:pPr>
          </w:p>
        </w:tc>
        <w:tc>
          <w:tcPr>
            <w:tcW w:w="2020" w:type="dxa"/>
            <w:vAlign w:val="bottom"/>
            <w:tcBorders>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December 31,</w:t>
            </w:r>
          </w:p>
        </w:tc>
        <w:tc>
          <w:tcPr>
            <w:tcW w:w="200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December 31,</w:t>
            </w:r>
          </w:p>
        </w:tc>
        <w:tc>
          <w:tcPr>
            <w:tcW w:w="202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202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2015</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Raw Materials</w:t>
            </w:r>
          </w:p>
        </w:tc>
        <w:tc>
          <w:tcPr>
            <w:tcW w:w="20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258.9</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338.2</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284.1</w:t>
            </w:r>
          </w:p>
        </w:tc>
      </w:tr>
      <w:tr>
        <w:trPr>
          <w:trHeight w:val="210"/>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Work in Progress</w:t>
            </w:r>
          </w:p>
        </w:tc>
        <w:tc>
          <w:tcPr>
            <w:tcW w:w="20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34.2</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46.1</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32.5</w:t>
            </w:r>
          </w:p>
        </w:tc>
      </w:tr>
      <w:tr>
        <w:trPr>
          <w:trHeight w:val="210"/>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Finished Goods and Merchandise</w:t>
            </w:r>
          </w:p>
        </w:tc>
        <w:tc>
          <w:tcPr>
            <w:tcW w:w="20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61.3</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71.7</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61.3</w:t>
            </w:r>
          </w:p>
        </w:tc>
      </w:tr>
      <w:tr>
        <w:trPr>
          <w:trHeight w:val="210"/>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Valuation Allowance</w:t>
            </w:r>
          </w:p>
        </w:tc>
        <w:tc>
          <w:tcPr>
            <w:tcW w:w="20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(36.9)</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(24.7)</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(22.2)</w:t>
            </w:r>
          </w:p>
        </w:tc>
      </w:tr>
      <w:tr>
        <w:trPr>
          <w:trHeight w:val="210"/>
        </w:trPr>
        <w:tc>
          <w:tcPr>
            <w:tcW w:w="458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NET INVENTORIES</w:t>
            </w:r>
          </w:p>
        </w:tc>
        <w:tc>
          <w:tcPr>
            <w:tcW w:w="20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317.5</w:t>
            </w:r>
          </w:p>
        </w:tc>
        <w:tc>
          <w:tcPr>
            <w:tcW w:w="20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431.3</w:t>
            </w:r>
          </w:p>
        </w:tc>
        <w:tc>
          <w:tcPr>
            <w:tcW w:w="20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355.7</w:t>
            </w:r>
          </w:p>
        </w:tc>
      </w:tr>
    </w:tbl>
    <w:p>
      <w:pPr>
        <w:spacing w:after="0" w:line="313"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231F20"/>
        </w:rPr>
        <w:t>As of December 31, 2016, inventories meant to be used in the next 12 months amounted to €317.5 million. As of December 31, 2015, inventories meant to be used in the next 12 months amounted to €431.3 million. As of December 31, 2014, inventories meant to be used in the next 12 months amounted to €355.7 million.</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15 Construction Contracts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31F20"/>
        </w:rPr>
        <w:t>The breakdown of construction contracts is as follows:</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4580" w:type="dxa"/>
            <w:vAlign w:val="bottom"/>
            <w:tcBorders>
              <w:top w:val="single" w:sz="8" w:color="2360A6"/>
              <w:left w:val="single" w:sz="8" w:color="2360A6"/>
              <w:right w:val="single" w:sz="8" w:color="2360A6"/>
            </w:tcBorders>
          </w:tcPr>
          <w:p>
            <w:pPr>
              <w:spacing w:after="0"/>
              <w:rPr>
                <w:sz w:val="16"/>
                <w:szCs w:val="16"/>
                <w:color w:val="auto"/>
              </w:rPr>
            </w:pPr>
          </w:p>
        </w:tc>
        <w:tc>
          <w:tcPr>
            <w:tcW w:w="2020" w:type="dxa"/>
            <w:vAlign w:val="bottom"/>
            <w:tcBorders>
              <w:top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w:t>
            </w:r>
          </w:p>
        </w:tc>
        <w:tc>
          <w:tcPr>
            <w:tcW w:w="200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As of</w:t>
            </w:r>
          </w:p>
        </w:tc>
        <w:tc>
          <w:tcPr>
            <w:tcW w:w="202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As of</w:t>
            </w:r>
          </w:p>
        </w:tc>
      </w:tr>
      <w:tr>
        <w:trPr>
          <w:trHeight w:val="162"/>
        </w:trPr>
        <w:tc>
          <w:tcPr>
            <w:tcW w:w="4580" w:type="dxa"/>
            <w:vAlign w:val="bottom"/>
            <w:tcBorders>
              <w:left w:val="single" w:sz="8" w:color="2360A6"/>
              <w:right w:val="single" w:sz="8" w:color="2360A6"/>
            </w:tcBorders>
          </w:tcPr>
          <w:p>
            <w:pPr>
              <w:spacing w:after="0"/>
              <w:rPr>
                <w:sz w:val="14"/>
                <w:szCs w:val="14"/>
                <w:color w:val="auto"/>
              </w:rPr>
            </w:pPr>
          </w:p>
        </w:tc>
        <w:tc>
          <w:tcPr>
            <w:tcW w:w="2020" w:type="dxa"/>
            <w:vAlign w:val="bottom"/>
            <w:tcBorders>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December 31,</w:t>
            </w:r>
          </w:p>
        </w:tc>
        <w:tc>
          <w:tcPr>
            <w:tcW w:w="200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December 31,</w:t>
            </w:r>
          </w:p>
        </w:tc>
        <w:tc>
          <w:tcPr>
            <w:tcW w:w="202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202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2015</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Construction Contracts - Amounts in Assets</w:t>
            </w:r>
          </w:p>
        </w:tc>
        <w:tc>
          <w:tcPr>
            <w:tcW w:w="20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460.8</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637.6</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755.1</w:t>
            </w:r>
          </w:p>
        </w:tc>
      </w:tr>
      <w:tr>
        <w:trPr>
          <w:trHeight w:val="210"/>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Construction Contracts - Amounts in Liabilities</w:t>
            </w:r>
          </w:p>
        </w:tc>
        <w:tc>
          <w:tcPr>
            <w:tcW w:w="20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(3,191.3)</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(908.4)</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(1,256.1)</w:t>
            </w:r>
          </w:p>
        </w:tc>
      </w:tr>
      <w:tr>
        <w:trPr>
          <w:trHeight w:val="210"/>
        </w:trPr>
        <w:tc>
          <w:tcPr>
            <w:tcW w:w="458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NET CONSTRUCTION CONTRACTS</w:t>
            </w:r>
          </w:p>
        </w:tc>
        <w:tc>
          <w:tcPr>
            <w:tcW w:w="20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(2,730.5)</w:t>
            </w:r>
          </w:p>
        </w:tc>
        <w:tc>
          <w:tcPr>
            <w:tcW w:w="20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(270.8)</w:t>
            </w:r>
          </w:p>
        </w:tc>
        <w:tc>
          <w:tcPr>
            <w:tcW w:w="20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(501.0)</w:t>
            </w:r>
          </w:p>
        </w:tc>
      </w:tr>
      <w:tr>
        <w:trPr>
          <w:trHeight w:val="210"/>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Costs and Margins Recognized at the Percentage of Completion</w:t>
            </w:r>
          </w:p>
        </w:tc>
        <w:tc>
          <w:tcPr>
            <w:tcW w:w="20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23,883.7</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14,698.6</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12,289.1</w:t>
            </w:r>
          </w:p>
        </w:tc>
      </w:tr>
      <w:tr>
        <w:trPr>
          <w:trHeight w:val="210"/>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Payments Received from Clients</w:t>
            </w:r>
          </w:p>
        </w:tc>
        <w:tc>
          <w:tcPr>
            <w:tcW w:w="20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(26,484.3)</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(14,885.9)</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(12,657.6)</w:t>
            </w:r>
          </w:p>
        </w:tc>
      </w:tr>
      <w:tr>
        <w:trPr>
          <w:trHeight w:val="210"/>
        </w:trPr>
        <w:tc>
          <w:tcPr>
            <w:tcW w:w="4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Accruals for Losses at Completion</w:t>
            </w:r>
          </w:p>
        </w:tc>
        <w:tc>
          <w:tcPr>
            <w:tcW w:w="20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(129.9)</w:t>
            </w:r>
          </w:p>
        </w:tc>
        <w:tc>
          <w:tcPr>
            <w:tcW w:w="20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(83.5)</w:t>
            </w:r>
          </w:p>
        </w:tc>
        <w:tc>
          <w:tcPr>
            <w:tcW w:w="2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(132.5)</w:t>
            </w:r>
          </w:p>
        </w:tc>
      </w:tr>
      <w:tr>
        <w:trPr>
          <w:trHeight w:val="210"/>
        </w:trPr>
        <w:tc>
          <w:tcPr>
            <w:tcW w:w="458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NET CONSTRUCTION CONTRACTS</w:t>
            </w:r>
          </w:p>
        </w:tc>
        <w:tc>
          <w:tcPr>
            <w:tcW w:w="20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(2,730.5)</w:t>
            </w:r>
          </w:p>
        </w:tc>
        <w:tc>
          <w:tcPr>
            <w:tcW w:w="20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(270.8)</w:t>
            </w:r>
          </w:p>
        </w:tc>
        <w:tc>
          <w:tcPr>
            <w:tcW w:w="20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(501.0)</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16 Trade Receivables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31F20"/>
        </w:rPr>
        <w:t>Given the nature of Group operations, the Group’s clients are mainly major oil and gas, petrochemical or oil-related companies.</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This line item represents receivables from completed contracts, invoices to be issued on long-term contracts other than construction contracts and miscellaneous invoices (</w:t>
      </w:r>
      <w:r>
        <w:rPr>
          <w:rFonts w:ascii="Arial" w:cs="Arial" w:eastAsia="Arial" w:hAnsi="Arial"/>
          <w:sz w:val="16"/>
          <w:szCs w:val="16"/>
          <w:i w:val="1"/>
          <w:iCs w:val="1"/>
          <w:color w:val="231F20"/>
        </w:rPr>
        <w:t>e.g.</w:t>
      </w:r>
      <w:r>
        <w:rPr>
          <w:rFonts w:ascii="Arial" w:cs="Arial" w:eastAsia="Arial" w:hAnsi="Arial"/>
          <w:sz w:val="16"/>
          <w:szCs w:val="16"/>
          <w:color w:val="231F20"/>
        </w:rPr>
        <w:t xml:space="preserve"> trading, procurement services).</w:t>
      </w:r>
    </w:p>
    <w:p>
      <w:pPr>
        <w:spacing w:after="0" w:line="93" w:lineRule="exact"/>
        <w:rPr>
          <w:sz w:val="20"/>
          <w:szCs w:val="20"/>
          <w:color w:val="auto"/>
        </w:rPr>
      </w:pPr>
    </w:p>
    <w:tbl>
      <w:tblPr>
        <w:tblLayout w:type="fixed"/>
        <w:tblInd w:w="330" w:type="dxa"/>
        <w:tblCellMar>
          <w:top w:w="0" w:type="dxa"/>
          <w:left w:w="0" w:type="dxa"/>
          <w:bottom w:w="0" w:type="dxa"/>
          <w:right w:w="0" w:type="dxa"/>
        </w:tblCellMar>
      </w:tblPr>
      <w:tr>
        <w:trPr>
          <w:trHeight w:val="189"/>
        </w:trPr>
        <w:tc>
          <w:tcPr>
            <w:tcW w:w="5560" w:type="dxa"/>
            <w:vAlign w:val="bottom"/>
            <w:tcBorders>
              <w:top w:val="single" w:sz="8" w:color="2360A6"/>
              <w:left w:val="single" w:sz="8" w:color="2360A6"/>
              <w:right w:val="single" w:sz="8" w:color="2360A6"/>
            </w:tcBorders>
          </w:tcPr>
          <w:p>
            <w:pPr>
              <w:spacing w:after="0"/>
              <w:rPr>
                <w:sz w:val="16"/>
                <w:szCs w:val="16"/>
                <w:color w:val="auto"/>
              </w:rPr>
            </w:pPr>
          </w:p>
        </w:tc>
        <w:tc>
          <w:tcPr>
            <w:tcW w:w="1700" w:type="dxa"/>
            <w:vAlign w:val="bottom"/>
            <w:tcBorders>
              <w:top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w:t>
            </w:r>
          </w:p>
        </w:tc>
        <w:tc>
          <w:tcPr>
            <w:tcW w:w="170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As of</w:t>
            </w:r>
          </w:p>
        </w:tc>
        <w:tc>
          <w:tcPr>
            <w:tcW w:w="170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As of</w:t>
            </w:r>
          </w:p>
        </w:tc>
      </w:tr>
      <w:tr>
        <w:trPr>
          <w:trHeight w:val="162"/>
        </w:trPr>
        <w:tc>
          <w:tcPr>
            <w:tcW w:w="5560" w:type="dxa"/>
            <w:vAlign w:val="bottom"/>
            <w:tcBorders>
              <w:left w:val="single" w:sz="8" w:color="2360A6"/>
              <w:right w:val="single" w:sz="8" w:color="2360A6"/>
            </w:tcBorders>
          </w:tcPr>
          <w:p>
            <w:pPr>
              <w:spacing w:after="0"/>
              <w:rPr>
                <w:sz w:val="14"/>
                <w:szCs w:val="14"/>
                <w:color w:val="auto"/>
              </w:rPr>
            </w:pPr>
          </w:p>
        </w:tc>
        <w:tc>
          <w:tcPr>
            <w:tcW w:w="1700" w:type="dxa"/>
            <w:vAlign w:val="bottom"/>
            <w:tcBorders>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December 31,</w:t>
            </w:r>
          </w:p>
        </w:tc>
        <w:tc>
          <w:tcPr>
            <w:tcW w:w="170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December 31,</w:t>
            </w:r>
          </w:p>
        </w:tc>
        <w:tc>
          <w:tcPr>
            <w:tcW w:w="170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70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2015</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Trade Receivables</w:t>
            </w:r>
          </w:p>
        </w:tc>
        <w:tc>
          <w:tcPr>
            <w:tcW w:w="17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1,393.3</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1,097.7</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1,149.6</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Contracts - To Be Invoiced</w:t>
            </w:r>
          </w:p>
        </w:tc>
        <w:tc>
          <w:tcPr>
            <w:tcW w:w="17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526.6</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567.5</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569.2</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Doubtful Accounts</w:t>
            </w:r>
          </w:p>
        </w:tc>
        <w:tc>
          <w:tcPr>
            <w:tcW w:w="17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81.9</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47.3</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36.5</w:t>
            </w:r>
          </w:p>
        </w:tc>
      </w:tr>
      <w:tr>
        <w:trPr>
          <w:trHeight w:val="210"/>
        </w:trPr>
        <w:tc>
          <w:tcPr>
            <w:tcW w:w="55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Provisions for Doubtful Accounts</w:t>
            </w:r>
          </w:p>
        </w:tc>
        <w:tc>
          <w:tcPr>
            <w:tcW w:w="17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(81.2)</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(44.3)</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(35.4)</w:t>
            </w:r>
          </w:p>
        </w:tc>
      </w:tr>
      <w:tr>
        <w:trPr>
          <w:trHeight w:val="210"/>
        </w:trPr>
        <w:tc>
          <w:tcPr>
            <w:tcW w:w="556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NET TRADE RECEIVABLES</w:t>
            </w:r>
          </w:p>
        </w:tc>
        <w:tc>
          <w:tcPr>
            <w:tcW w:w="17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1,920.6</w:t>
            </w:r>
          </w:p>
        </w:tc>
        <w:tc>
          <w:tcPr>
            <w:tcW w:w="17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1,668.2</w:t>
            </w:r>
          </w:p>
        </w:tc>
        <w:tc>
          <w:tcPr>
            <w:tcW w:w="17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1,719.9</w:t>
            </w:r>
          </w:p>
        </w:tc>
      </w:tr>
    </w:tbl>
    <w:p>
      <w:pPr>
        <w:spacing w:after="0" w:line="2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Trade receivables are non-interest bearing. Their maturities are linked to the operating cycle of contracts. As of December 31, 2016, the portion of trade receivables that had a maturity of less than 12 months amounted to €1,867.5 million. As of December 31, 2015, the portion of trade receivables that had a maturity of less than 12 months amounted to €1,662.8 million. As of December 31, 2014, the portion of trade receivables that had a maturity of less than 12 months amounted to €1,717.8 million.</w:t>
      </w:r>
    </w:p>
    <w:p>
      <w:pPr>
        <w:sectPr>
          <w:pgSz w:w="11900" w:h="16838" w:orient="portrait"/>
          <w:cols w:equalWidth="0" w:num="1">
            <w:col w:w="11340"/>
          </w:cols>
          <w:pgMar w:left="320" w:top="640" w:right="239" w:bottom="1440" w:gutter="0" w:footer="0" w:header="0"/>
        </w:sectPr>
      </w:pPr>
    </w:p>
    <w:bookmarkStart w:id="123" w:name="page124"/>
    <w:bookmarkEnd w:id="123"/>
    <w:p>
      <w:pPr>
        <w:spacing w:after="0" w:line="260" w:lineRule="auto"/>
        <w:rPr>
          <w:sz w:val="20"/>
          <w:szCs w:val="20"/>
          <w:color w:val="auto"/>
        </w:rPr>
      </w:pPr>
      <w:r>
        <w:rPr>
          <w:rFonts w:ascii="Arial" w:cs="Arial" w:eastAsia="Arial" w:hAnsi="Arial"/>
          <w:sz w:val="16"/>
          <w:szCs w:val="16"/>
          <w:color w:val="231F20"/>
        </w:rPr>
        <w:t>Each customer’s financial situation is periodically reviewed. Provisions for doubtful receivables, which have to-date been considered sufficient at the Group level, are recorded for all potential uncollectible receivables, and are as follows:</w:t>
      </w:r>
    </w:p>
    <w:p>
      <w:pPr>
        <w:spacing w:after="0" w:line="93" w:lineRule="exact"/>
        <w:rPr>
          <w:sz w:val="20"/>
          <w:szCs w:val="20"/>
          <w:color w:val="auto"/>
        </w:rPr>
      </w:pPr>
    </w:p>
    <w:tbl>
      <w:tblPr>
        <w:tblLayout w:type="fixed"/>
        <w:tblInd w:w="310" w:type="dxa"/>
        <w:tblCellMar>
          <w:top w:w="0" w:type="dxa"/>
          <w:left w:w="0" w:type="dxa"/>
          <w:bottom w:w="0" w:type="dxa"/>
          <w:right w:w="0" w:type="dxa"/>
        </w:tblCellMar>
      </w:tblPr>
      <w:tr>
        <w:trPr>
          <w:trHeight w:val="224"/>
        </w:trPr>
        <w:tc>
          <w:tcPr>
            <w:tcW w:w="5900" w:type="dxa"/>
            <w:vAlign w:val="bottom"/>
            <w:tcBorders>
              <w:top w:val="single" w:sz="8" w:color="2360A6"/>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600" w:type="dxa"/>
            <w:vAlign w:val="bottom"/>
            <w:tcBorders>
              <w:top w:val="single" w:sz="8" w:color="2360A6"/>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60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2015</w:t>
            </w:r>
          </w:p>
        </w:tc>
        <w:tc>
          <w:tcPr>
            <w:tcW w:w="160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59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Provisions for Doubtful Accounts as of January 1</w:t>
            </w:r>
          </w:p>
        </w:tc>
        <w:tc>
          <w:tcPr>
            <w:tcW w:w="16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(44.3)</w:t>
            </w:r>
          </w:p>
        </w:tc>
        <w:tc>
          <w:tcPr>
            <w:tcW w:w="16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(35.4)</w:t>
            </w:r>
          </w:p>
        </w:tc>
        <w:tc>
          <w:tcPr>
            <w:tcW w:w="16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(36.1)</w:t>
            </w:r>
          </w:p>
        </w:tc>
      </w:tr>
      <w:tr>
        <w:trPr>
          <w:trHeight w:val="210"/>
        </w:trPr>
        <w:tc>
          <w:tcPr>
            <w:tcW w:w="59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Increase</w:t>
            </w:r>
          </w:p>
        </w:tc>
        <w:tc>
          <w:tcPr>
            <w:tcW w:w="16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(52.8)</w:t>
            </w:r>
          </w:p>
        </w:tc>
        <w:tc>
          <w:tcPr>
            <w:tcW w:w="16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(19.3)</w:t>
            </w:r>
          </w:p>
        </w:tc>
        <w:tc>
          <w:tcPr>
            <w:tcW w:w="16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(2.5)</w:t>
            </w:r>
          </w:p>
        </w:tc>
      </w:tr>
      <w:tr>
        <w:trPr>
          <w:trHeight w:val="210"/>
        </w:trPr>
        <w:tc>
          <w:tcPr>
            <w:tcW w:w="59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Used Provision Reversals</w:t>
            </w:r>
          </w:p>
        </w:tc>
        <w:tc>
          <w:tcPr>
            <w:tcW w:w="16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7.7</w:t>
            </w:r>
          </w:p>
        </w:tc>
        <w:tc>
          <w:tcPr>
            <w:tcW w:w="16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5.5</w:t>
            </w:r>
          </w:p>
        </w:tc>
        <w:tc>
          <w:tcPr>
            <w:tcW w:w="16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1.1</w:t>
            </w:r>
          </w:p>
        </w:tc>
      </w:tr>
      <w:tr>
        <w:trPr>
          <w:trHeight w:val="210"/>
        </w:trPr>
        <w:tc>
          <w:tcPr>
            <w:tcW w:w="59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Unused Provision Reversals</w:t>
            </w:r>
          </w:p>
        </w:tc>
        <w:tc>
          <w:tcPr>
            <w:tcW w:w="16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6.2</w:t>
            </w:r>
          </w:p>
        </w:tc>
        <w:tc>
          <w:tcPr>
            <w:tcW w:w="16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6.8</w:t>
            </w:r>
          </w:p>
        </w:tc>
        <w:tc>
          <w:tcPr>
            <w:tcW w:w="16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1.4</w:t>
            </w:r>
          </w:p>
        </w:tc>
      </w:tr>
      <w:tr>
        <w:trPr>
          <w:trHeight w:val="210"/>
        </w:trPr>
        <w:tc>
          <w:tcPr>
            <w:tcW w:w="59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Effects of foreign exchange and other</w:t>
            </w:r>
          </w:p>
        </w:tc>
        <w:tc>
          <w:tcPr>
            <w:tcW w:w="16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2.0</w:t>
            </w:r>
          </w:p>
        </w:tc>
        <w:tc>
          <w:tcPr>
            <w:tcW w:w="16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(1.9)</w:t>
            </w:r>
          </w:p>
        </w:tc>
        <w:tc>
          <w:tcPr>
            <w:tcW w:w="16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0.7</w:t>
            </w:r>
          </w:p>
        </w:tc>
      </w:tr>
      <w:tr>
        <w:trPr>
          <w:trHeight w:val="210"/>
        </w:trPr>
        <w:tc>
          <w:tcPr>
            <w:tcW w:w="590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PROVISIONS FOR DOUBTFUL ACCOUNTS AS OF DECEMBER 31</w:t>
            </w:r>
          </w:p>
        </w:tc>
        <w:tc>
          <w:tcPr>
            <w:tcW w:w="16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(81.2)</w:t>
            </w:r>
          </w:p>
        </w:tc>
        <w:tc>
          <w:tcPr>
            <w:tcW w:w="16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(44.3)</w:t>
            </w:r>
          </w:p>
        </w:tc>
        <w:tc>
          <w:tcPr>
            <w:tcW w:w="16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(35.4)</w:t>
            </w:r>
          </w:p>
        </w:tc>
      </w:tr>
    </w:tbl>
    <w:p>
      <w:pPr>
        <w:spacing w:after="0" w:line="365"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17 Other Current Receivables</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Other current receivables break down as follows:</w:t>
      </w:r>
    </w:p>
    <w:p>
      <w:pPr>
        <w:spacing w:after="0" w:line="118" w:lineRule="exact"/>
        <w:rPr>
          <w:sz w:val="20"/>
          <w:szCs w:val="20"/>
          <w:color w:val="auto"/>
        </w:rPr>
      </w:pPr>
    </w:p>
    <w:tbl>
      <w:tblPr>
        <w:tblLayout w:type="fixed"/>
        <w:tblInd w:w="390" w:type="dxa"/>
        <w:tblCellMar>
          <w:top w:w="0" w:type="dxa"/>
          <w:left w:w="0" w:type="dxa"/>
          <w:bottom w:w="0" w:type="dxa"/>
          <w:right w:w="0" w:type="dxa"/>
        </w:tblCellMar>
      </w:tblPr>
      <w:tr>
        <w:trPr>
          <w:trHeight w:val="189"/>
        </w:trPr>
        <w:tc>
          <w:tcPr>
            <w:tcW w:w="6140" w:type="dxa"/>
            <w:vAlign w:val="bottom"/>
            <w:tcBorders>
              <w:top w:val="single" w:sz="8" w:color="2360A6"/>
              <w:left w:val="single" w:sz="8" w:color="2360A6"/>
              <w:right w:val="single" w:sz="8" w:color="2360A6"/>
            </w:tcBorders>
          </w:tcPr>
          <w:p>
            <w:pPr>
              <w:spacing w:after="0"/>
              <w:rPr>
                <w:sz w:val="16"/>
                <w:szCs w:val="16"/>
                <w:color w:val="auto"/>
              </w:rPr>
            </w:pPr>
          </w:p>
        </w:tc>
        <w:tc>
          <w:tcPr>
            <w:tcW w:w="320" w:type="dxa"/>
            <w:vAlign w:val="bottom"/>
            <w:tcBorders>
              <w:top w:val="single" w:sz="8" w:color="2360A6"/>
            </w:tcBorders>
            <w:shd w:val="clear" w:color="auto" w:fill="2360A6"/>
          </w:tcPr>
          <w:p>
            <w:pPr>
              <w:spacing w:after="0"/>
              <w:rPr>
                <w:sz w:val="16"/>
                <w:szCs w:val="16"/>
                <w:color w:val="auto"/>
              </w:rPr>
            </w:pPr>
          </w:p>
        </w:tc>
        <w:tc>
          <w:tcPr>
            <w:tcW w:w="1160" w:type="dxa"/>
            <w:vAlign w:val="bottom"/>
            <w:tcBorders>
              <w:top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w:t>
            </w:r>
          </w:p>
        </w:tc>
        <w:tc>
          <w:tcPr>
            <w:tcW w:w="1460" w:type="dxa"/>
            <w:vAlign w:val="bottom"/>
            <w:tcBorders>
              <w:top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BA"/>
              </w:rPr>
              <w:t>As of</w:t>
            </w:r>
          </w:p>
        </w:tc>
        <w:tc>
          <w:tcPr>
            <w:tcW w:w="14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As of</w:t>
            </w:r>
          </w:p>
        </w:tc>
      </w:tr>
      <w:tr>
        <w:trPr>
          <w:trHeight w:val="162"/>
        </w:trPr>
        <w:tc>
          <w:tcPr>
            <w:tcW w:w="6140" w:type="dxa"/>
            <w:vAlign w:val="bottom"/>
            <w:tcBorders>
              <w:left w:val="single" w:sz="8" w:color="2360A6"/>
              <w:right w:val="single" w:sz="8" w:color="2360A6"/>
            </w:tcBorders>
          </w:tcPr>
          <w:p>
            <w:pPr>
              <w:spacing w:after="0"/>
              <w:rPr>
                <w:sz w:val="14"/>
                <w:szCs w:val="14"/>
                <w:color w:val="auto"/>
              </w:rPr>
            </w:pPr>
          </w:p>
        </w:tc>
        <w:tc>
          <w:tcPr>
            <w:tcW w:w="320" w:type="dxa"/>
            <w:vAlign w:val="bottom"/>
            <w:shd w:val="clear" w:color="auto" w:fill="2360A6"/>
          </w:tcPr>
          <w:p>
            <w:pPr>
              <w:spacing w:after="0"/>
              <w:rPr>
                <w:sz w:val="14"/>
                <w:szCs w:val="14"/>
                <w:color w:val="auto"/>
              </w:rPr>
            </w:pPr>
          </w:p>
        </w:tc>
        <w:tc>
          <w:tcPr>
            <w:tcW w:w="1160" w:type="dxa"/>
            <w:vAlign w:val="bottom"/>
            <w:tcBorders>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December 31,</w:t>
            </w:r>
          </w:p>
        </w:tc>
        <w:tc>
          <w:tcPr>
            <w:tcW w:w="14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BA"/>
              </w:rPr>
              <w:t>December 31,</w:t>
            </w:r>
          </w:p>
        </w:tc>
        <w:tc>
          <w:tcPr>
            <w:tcW w:w="146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61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320" w:type="dxa"/>
            <w:vAlign w:val="bottom"/>
            <w:tcBorders>
              <w:bottom w:val="single" w:sz="8" w:color="2360A6"/>
            </w:tcBorders>
            <w:shd w:val="clear" w:color="auto" w:fill="2360A6"/>
          </w:tcPr>
          <w:p>
            <w:pPr>
              <w:spacing w:after="0"/>
              <w:rPr>
                <w:sz w:val="17"/>
                <w:szCs w:val="17"/>
                <w:color w:val="auto"/>
              </w:rPr>
            </w:pPr>
          </w:p>
        </w:tc>
        <w:tc>
          <w:tcPr>
            <w:tcW w:w="116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4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BA"/>
              </w:rPr>
              <w:t>2015</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61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Value Added Tax Receivables</w:t>
            </w:r>
          </w:p>
        </w:tc>
        <w:tc>
          <w:tcPr>
            <w:tcW w:w="320" w:type="dxa"/>
            <w:vAlign w:val="bottom"/>
            <w:tcBorders>
              <w:bottom w:val="single" w:sz="8" w:color="2360A6"/>
            </w:tcBorders>
            <w:shd w:val="clear" w:color="auto" w:fill="EDEDEE"/>
          </w:tcPr>
          <w:p>
            <w:pPr>
              <w:spacing w:after="0"/>
              <w:rPr>
                <w:sz w:val="18"/>
                <w:szCs w:val="18"/>
                <w:color w:val="auto"/>
              </w:rPr>
            </w:pPr>
          </w:p>
        </w:tc>
        <w:tc>
          <w:tcPr>
            <w:tcW w:w="11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303.0</w:t>
            </w:r>
          </w:p>
        </w:tc>
        <w:tc>
          <w:tcPr>
            <w:tcW w:w="14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178.5</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152.0</w:t>
            </w:r>
          </w:p>
        </w:tc>
      </w:tr>
      <w:tr>
        <w:trPr>
          <w:trHeight w:val="210"/>
        </w:trPr>
        <w:tc>
          <w:tcPr>
            <w:tcW w:w="61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Tax Receivables</w:t>
            </w:r>
          </w:p>
        </w:tc>
        <w:tc>
          <w:tcPr>
            <w:tcW w:w="320" w:type="dxa"/>
            <w:vAlign w:val="bottom"/>
            <w:tcBorders>
              <w:bottom w:val="single" w:sz="8" w:color="2360A6"/>
            </w:tcBorders>
            <w:shd w:val="clear" w:color="auto" w:fill="EDEDEE"/>
          </w:tcPr>
          <w:p>
            <w:pPr>
              <w:spacing w:after="0"/>
              <w:rPr>
                <w:sz w:val="18"/>
                <w:szCs w:val="18"/>
                <w:color w:val="auto"/>
              </w:rPr>
            </w:pPr>
          </w:p>
        </w:tc>
        <w:tc>
          <w:tcPr>
            <w:tcW w:w="11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118.5</w:t>
            </w:r>
          </w:p>
        </w:tc>
        <w:tc>
          <w:tcPr>
            <w:tcW w:w="14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131.0</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135.5</w:t>
            </w:r>
          </w:p>
        </w:tc>
      </w:tr>
      <w:tr>
        <w:trPr>
          <w:trHeight w:val="210"/>
        </w:trPr>
        <w:tc>
          <w:tcPr>
            <w:tcW w:w="61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Receivables from Employees</w:t>
            </w:r>
          </w:p>
        </w:tc>
        <w:tc>
          <w:tcPr>
            <w:tcW w:w="320" w:type="dxa"/>
            <w:vAlign w:val="bottom"/>
            <w:tcBorders>
              <w:bottom w:val="single" w:sz="8" w:color="2360A6"/>
            </w:tcBorders>
            <w:shd w:val="clear" w:color="auto" w:fill="EDEDEE"/>
          </w:tcPr>
          <w:p>
            <w:pPr>
              <w:spacing w:after="0"/>
              <w:rPr>
                <w:sz w:val="18"/>
                <w:szCs w:val="18"/>
                <w:color w:val="auto"/>
              </w:rPr>
            </w:pPr>
          </w:p>
        </w:tc>
        <w:tc>
          <w:tcPr>
            <w:tcW w:w="11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13.4</w:t>
            </w:r>
          </w:p>
        </w:tc>
        <w:tc>
          <w:tcPr>
            <w:tcW w:w="14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9.3</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7.5</w:t>
            </w:r>
          </w:p>
        </w:tc>
      </w:tr>
      <w:tr>
        <w:trPr>
          <w:trHeight w:val="243"/>
        </w:trPr>
        <w:tc>
          <w:tcPr>
            <w:tcW w:w="61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 xml:space="preserve">Prepaid Expenses </w:t>
            </w:r>
            <w:r>
              <w:rPr>
                <w:rFonts w:ascii="Arial" w:cs="Arial" w:eastAsia="Arial" w:hAnsi="Arial"/>
                <w:sz w:val="14"/>
                <w:szCs w:val="14"/>
                <w:color w:val="231F20"/>
                <w:vertAlign w:val="superscript"/>
              </w:rPr>
              <w:t>(1)</w:t>
            </w:r>
          </w:p>
        </w:tc>
        <w:tc>
          <w:tcPr>
            <w:tcW w:w="320" w:type="dxa"/>
            <w:vAlign w:val="bottom"/>
            <w:tcBorders>
              <w:bottom w:val="single" w:sz="8" w:color="2360A6"/>
            </w:tcBorders>
            <w:shd w:val="clear" w:color="auto" w:fill="EDEDEE"/>
          </w:tcPr>
          <w:p>
            <w:pPr>
              <w:spacing w:after="0"/>
              <w:rPr>
                <w:sz w:val="21"/>
                <w:szCs w:val="21"/>
                <w:color w:val="auto"/>
              </w:rPr>
            </w:pPr>
          </w:p>
        </w:tc>
        <w:tc>
          <w:tcPr>
            <w:tcW w:w="11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100.9</w:t>
            </w:r>
          </w:p>
        </w:tc>
        <w:tc>
          <w:tcPr>
            <w:tcW w:w="14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87.1</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122.1</w:t>
            </w:r>
          </w:p>
        </w:tc>
      </w:tr>
      <w:tr>
        <w:trPr>
          <w:trHeight w:val="204"/>
        </w:trPr>
        <w:tc>
          <w:tcPr>
            <w:tcW w:w="61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Insurance Indemnities to be Received</w:t>
            </w:r>
          </w:p>
        </w:tc>
        <w:tc>
          <w:tcPr>
            <w:tcW w:w="320" w:type="dxa"/>
            <w:vAlign w:val="bottom"/>
            <w:tcBorders>
              <w:bottom w:val="single" w:sz="8" w:color="2360A6"/>
            </w:tcBorders>
            <w:shd w:val="clear" w:color="auto" w:fill="EDEDEE"/>
          </w:tcPr>
          <w:p>
            <w:pPr>
              <w:spacing w:after="0"/>
              <w:rPr>
                <w:sz w:val="17"/>
                <w:szCs w:val="17"/>
                <w:color w:val="auto"/>
              </w:rPr>
            </w:pPr>
          </w:p>
        </w:tc>
        <w:tc>
          <w:tcPr>
            <w:tcW w:w="11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9.0</w:t>
            </w:r>
          </w:p>
        </w:tc>
        <w:tc>
          <w:tcPr>
            <w:tcW w:w="14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0.1</w:t>
            </w:r>
          </w:p>
        </w:tc>
      </w:tr>
      <w:tr>
        <w:trPr>
          <w:trHeight w:val="210"/>
        </w:trPr>
        <w:tc>
          <w:tcPr>
            <w:tcW w:w="61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w:t>
            </w:r>
          </w:p>
        </w:tc>
        <w:tc>
          <w:tcPr>
            <w:tcW w:w="320" w:type="dxa"/>
            <w:vAlign w:val="bottom"/>
            <w:tcBorders>
              <w:bottom w:val="single" w:sz="8" w:color="2360A6"/>
            </w:tcBorders>
            <w:shd w:val="clear" w:color="auto" w:fill="EDEDEE"/>
          </w:tcPr>
          <w:p>
            <w:pPr>
              <w:spacing w:after="0"/>
              <w:rPr>
                <w:sz w:val="18"/>
                <w:szCs w:val="18"/>
                <w:color w:val="auto"/>
              </w:rPr>
            </w:pPr>
          </w:p>
        </w:tc>
        <w:tc>
          <w:tcPr>
            <w:tcW w:w="11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211.3</w:t>
            </w:r>
          </w:p>
        </w:tc>
        <w:tc>
          <w:tcPr>
            <w:tcW w:w="14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183.3</w:t>
            </w:r>
          </w:p>
        </w:tc>
        <w:tc>
          <w:tcPr>
            <w:tcW w:w="14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164.4</w:t>
            </w:r>
          </w:p>
        </w:tc>
      </w:tr>
      <w:tr>
        <w:trPr>
          <w:trHeight w:val="210"/>
        </w:trPr>
        <w:tc>
          <w:tcPr>
            <w:tcW w:w="6140" w:type="dxa"/>
            <w:vAlign w:val="bottom"/>
            <w:tcBorders>
              <w:left w:val="single" w:sz="8" w:color="2360A6"/>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NET OTHER CURRENT RECEIVABLES</w:t>
            </w:r>
          </w:p>
        </w:tc>
        <w:tc>
          <w:tcPr>
            <w:tcW w:w="320" w:type="dxa"/>
            <w:vAlign w:val="bottom"/>
            <w:tcBorders>
              <w:bottom w:val="single" w:sz="8" w:color="2360A6"/>
            </w:tcBorders>
            <w:shd w:val="clear" w:color="auto" w:fill="D2DEEC"/>
          </w:tcPr>
          <w:p>
            <w:pPr>
              <w:spacing w:after="0"/>
              <w:rPr>
                <w:sz w:val="18"/>
                <w:szCs w:val="18"/>
                <w:color w:val="auto"/>
              </w:rPr>
            </w:pPr>
          </w:p>
        </w:tc>
        <w:tc>
          <w:tcPr>
            <w:tcW w:w="11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756.1</w:t>
            </w:r>
          </w:p>
        </w:tc>
        <w:tc>
          <w:tcPr>
            <w:tcW w:w="14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589.2</w:t>
            </w:r>
          </w:p>
        </w:tc>
        <w:tc>
          <w:tcPr>
            <w:tcW w:w="14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581.6</w:t>
            </w:r>
          </w:p>
        </w:tc>
      </w:tr>
      <w:tr>
        <w:trPr>
          <w:trHeight w:val="182"/>
        </w:trPr>
        <w:tc>
          <w:tcPr>
            <w:tcW w:w="6460" w:type="dxa"/>
            <w:vAlign w:val="bottom"/>
            <w:tcBorders>
              <w:left w:val="single" w:sz="8" w:color="2360A6"/>
              <w:bottom w:val="single" w:sz="8" w:color="2360A6"/>
            </w:tcBorders>
            <w:gridSpan w:val="2"/>
          </w:tcPr>
          <w:p>
            <w:pPr>
              <w:ind w:left="20"/>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2"/>
                <w:szCs w:val="12"/>
                <w:color w:val="231F20"/>
              </w:rPr>
              <w:t>Prepaid expenses mainly correspond to insurance costs, as well as building and construction rental expenses.</w:t>
            </w:r>
          </w:p>
        </w:tc>
        <w:tc>
          <w:tcPr>
            <w:tcW w:w="1160" w:type="dxa"/>
            <w:vAlign w:val="bottom"/>
            <w:tcBorders>
              <w:bottom w:val="single" w:sz="8" w:color="2360A6"/>
            </w:tcBorders>
          </w:tcPr>
          <w:p>
            <w:pPr>
              <w:spacing w:after="0"/>
              <w:rPr>
                <w:sz w:val="15"/>
                <w:szCs w:val="15"/>
                <w:color w:val="auto"/>
              </w:rPr>
            </w:pPr>
          </w:p>
        </w:tc>
        <w:tc>
          <w:tcPr>
            <w:tcW w:w="1460" w:type="dxa"/>
            <w:vAlign w:val="bottom"/>
            <w:tcBorders>
              <w:bottom w:val="single" w:sz="8" w:color="2360A6"/>
            </w:tcBorders>
          </w:tcPr>
          <w:p>
            <w:pPr>
              <w:spacing w:after="0"/>
              <w:rPr>
                <w:sz w:val="15"/>
                <w:szCs w:val="15"/>
                <w:color w:val="auto"/>
              </w:rPr>
            </w:pPr>
          </w:p>
        </w:tc>
        <w:tc>
          <w:tcPr>
            <w:tcW w:w="1460" w:type="dxa"/>
            <w:vAlign w:val="bottom"/>
            <w:tcBorders>
              <w:bottom w:val="single" w:sz="8" w:color="2360A6"/>
              <w:right w:val="single" w:sz="8" w:color="2360A6"/>
            </w:tcBorders>
          </w:tcPr>
          <w:p>
            <w:pPr>
              <w:spacing w:after="0"/>
              <w:rPr>
                <w:sz w:val="15"/>
                <w:szCs w:val="15"/>
                <w:color w:val="auto"/>
              </w:rPr>
            </w:pPr>
          </w:p>
        </w:tc>
      </w:tr>
    </w:tbl>
    <w:p>
      <w:pPr>
        <w:spacing w:after="0" w:line="245" w:lineRule="exact"/>
        <w:rPr>
          <w:sz w:val="20"/>
          <w:szCs w:val="20"/>
          <w:color w:val="auto"/>
        </w:rPr>
      </w:pPr>
    </w:p>
    <w:p>
      <w:pPr>
        <w:jc w:val="both"/>
        <w:ind w:left="40"/>
        <w:spacing w:after="0" w:line="253" w:lineRule="auto"/>
        <w:rPr>
          <w:sz w:val="20"/>
          <w:szCs w:val="20"/>
          <w:color w:val="auto"/>
        </w:rPr>
      </w:pPr>
      <w:r>
        <w:rPr>
          <w:rFonts w:ascii="Arial" w:cs="Arial" w:eastAsia="Arial" w:hAnsi="Arial"/>
          <w:sz w:val="16"/>
          <w:szCs w:val="16"/>
          <w:color w:val="231F20"/>
        </w:rPr>
        <w:t>As of December 31, 2016, the portion of other current receivables with a maturity of less than 12 months amounted to €756.1 million. As of December 31, 2015, the portion of other current receivables with a maturity of less than 12 months amounted to €565.1 million. As of December 31, 2014, the portion of other current receivables with a maturity of less than 12 months amounted to €561.8 million.</w:t>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Other current receivables are non-interest bearing.</w:t>
      </w:r>
    </w:p>
    <w:p>
      <w:pPr>
        <w:sectPr>
          <w:pgSz w:w="11900" w:h="16838" w:orient="portrait"/>
          <w:cols w:equalWidth="0" w:num="1">
            <w:col w:w="11340"/>
          </w:cols>
          <w:pgMar w:left="320" w:top="600" w:right="239" w:bottom="1440" w:gutter="0" w:footer="0" w:header="0"/>
        </w:sectPr>
      </w:pPr>
    </w:p>
    <w:bookmarkStart w:id="124" w:name="page125"/>
    <w:bookmarkEnd w:id="124"/>
    <w:p>
      <w:pPr>
        <w:spacing w:after="0"/>
        <w:rPr>
          <w:sz w:val="20"/>
          <w:szCs w:val="20"/>
          <w:color w:val="auto"/>
        </w:rPr>
      </w:pPr>
      <w:r>
        <w:rPr>
          <w:rFonts w:ascii="Arial" w:cs="Arial" w:eastAsia="Arial" w:hAnsi="Arial"/>
          <w:sz w:val="29"/>
          <w:szCs w:val="29"/>
          <w:b w:val="1"/>
          <w:bCs w:val="1"/>
          <w:color w:val="2360A6"/>
        </w:rPr>
        <w:t>Note 18 Cash and Cash Equivalents</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Cash and cash equivalents break down as follows:</w:t>
      </w:r>
    </w:p>
    <w:p>
      <w:pPr>
        <w:spacing w:after="0" w:line="118" w:lineRule="exact"/>
        <w:rPr>
          <w:sz w:val="20"/>
          <w:szCs w:val="20"/>
          <w:color w:val="auto"/>
        </w:rPr>
      </w:pPr>
    </w:p>
    <w:tbl>
      <w:tblPr>
        <w:tblLayout w:type="fixed"/>
        <w:tblInd w:w="330" w:type="dxa"/>
        <w:tblCellMar>
          <w:top w:w="0" w:type="dxa"/>
          <w:left w:w="0" w:type="dxa"/>
          <w:bottom w:w="0" w:type="dxa"/>
          <w:right w:w="0" w:type="dxa"/>
        </w:tblCellMar>
      </w:tblPr>
      <w:tr>
        <w:trPr>
          <w:trHeight w:val="189"/>
        </w:trPr>
        <w:tc>
          <w:tcPr>
            <w:tcW w:w="4920" w:type="dxa"/>
            <w:vAlign w:val="bottom"/>
            <w:tcBorders>
              <w:top w:val="single" w:sz="8" w:color="2360A6"/>
              <w:left w:val="single" w:sz="8" w:color="2360A6"/>
              <w:right w:val="single" w:sz="8" w:color="2360A6"/>
            </w:tcBorders>
          </w:tcPr>
          <w:p>
            <w:pPr>
              <w:spacing w:after="0"/>
              <w:rPr>
                <w:sz w:val="16"/>
                <w:szCs w:val="16"/>
                <w:color w:val="auto"/>
              </w:rPr>
            </w:pPr>
          </w:p>
        </w:tc>
        <w:tc>
          <w:tcPr>
            <w:tcW w:w="1920" w:type="dxa"/>
            <w:vAlign w:val="bottom"/>
            <w:tcBorders>
              <w:top w:val="single" w:sz="8" w:color="2360A6"/>
              <w:right w:val="single" w:sz="8" w:color="2360A6"/>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As of</w:t>
            </w:r>
          </w:p>
        </w:tc>
        <w:tc>
          <w:tcPr>
            <w:tcW w:w="192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As of</w:t>
            </w:r>
          </w:p>
        </w:tc>
        <w:tc>
          <w:tcPr>
            <w:tcW w:w="190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As of</w:t>
            </w:r>
          </w:p>
        </w:tc>
      </w:tr>
      <w:tr>
        <w:trPr>
          <w:trHeight w:val="162"/>
        </w:trPr>
        <w:tc>
          <w:tcPr>
            <w:tcW w:w="4920" w:type="dxa"/>
            <w:vAlign w:val="bottom"/>
            <w:tcBorders>
              <w:left w:val="single" w:sz="8" w:color="2360A6"/>
              <w:right w:val="single" w:sz="8" w:color="2360A6"/>
            </w:tcBorders>
          </w:tcPr>
          <w:p>
            <w:pPr>
              <w:spacing w:after="0"/>
              <w:rPr>
                <w:sz w:val="14"/>
                <w:szCs w:val="14"/>
                <w:color w:val="auto"/>
              </w:rPr>
            </w:pPr>
          </w:p>
        </w:tc>
        <w:tc>
          <w:tcPr>
            <w:tcW w:w="1920" w:type="dxa"/>
            <w:vAlign w:val="bottom"/>
            <w:tcBorders>
              <w:right w:val="single" w:sz="8" w:color="2360A6"/>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December 31,</w:t>
            </w:r>
          </w:p>
        </w:tc>
        <w:tc>
          <w:tcPr>
            <w:tcW w:w="192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December 31,</w:t>
            </w:r>
          </w:p>
        </w:tc>
        <w:tc>
          <w:tcPr>
            <w:tcW w:w="190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920" w:type="dxa"/>
            <w:vAlign w:val="bottom"/>
            <w:tcBorders>
              <w:bottom w:val="single" w:sz="8" w:color="2360A6"/>
              <w:right w:val="single" w:sz="8" w:color="2360A6"/>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2016</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2015</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Cash at Bank and in Hand</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2,559.1</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1,556.2</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1,822.1</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Cash Equivalents</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3,388.5</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1,362.9</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863.5</w:t>
            </w:r>
          </w:p>
        </w:tc>
      </w:tr>
      <w:tr>
        <w:trPr>
          <w:trHeight w:val="210"/>
        </w:trPr>
        <w:tc>
          <w:tcPr>
            <w:tcW w:w="492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CASH AND CASH EQUIVALENTS</w:t>
            </w:r>
          </w:p>
        </w:tc>
        <w:tc>
          <w:tcPr>
            <w:tcW w:w="192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5,947.6</w:t>
            </w:r>
          </w:p>
        </w:tc>
        <w:tc>
          <w:tcPr>
            <w:tcW w:w="19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2,919.1</w:t>
            </w:r>
          </w:p>
        </w:tc>
        <w:tc>
          <w:tcPr>
            <w:tcW w:w="19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2,685.6</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US Dollar</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3,394.9</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1,039.1</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1,123.9</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Euro</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1,240.7</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749.7</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658.4</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Brazilian Real</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328.3</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268.7</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126.4</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Pound Sterling</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263.8</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109.5</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209.2</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Japanese Yen</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110.0</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3.6</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33.9</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Norwegian Krone</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86.9</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91.3</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90.7</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Australian Dollar</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67.6</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175.6</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76.3</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Malaysian Ringgit</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60.0</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64.7</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95.6</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395.4</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416.9</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271.2</w:t>
            </w:r>
          </w:p>
        </w:tc>
      </w:tr>
      <w:tr>
        <w:trPr>
          <w:trHeight w:val="210"/>
        </w:trPr>
        <w:tc>
          <w:tcPr>
            <w:tcW w:w="492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CASH AND CASH EQUIVALENTS BY CURRENCY</w:t>
            </w:r>
          </w:p>
        </w:tc>
        <w:tc>
          <w:tcPr>
            <w:tcW w:w="192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5,947.6</w:t>
            </w:r>
          </w:p>
        </w:tc>
        <w:tc>
          <w:tcPr>
            <w:tcW w:w="19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2,919.1</w:t>
            </w:r>
          </w:p>
        </w:tc>
        <w:tc>
          <w:tcPr>
            <w:tcW w:w="19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2,685.6</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Certificates of Deposits</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50.0</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100.0</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Fixed Term Deposits</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3,055.2</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1,045.4</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645.6</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w:t>
            </w:r>
          </w:p>
        </w:tc>
        <w:tc>
          <w:tcPr>
            <w:tcW w:w="1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333.3</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267.5</w:t>
            </w:r>
          </w:p>
        </w:tc>
        <w:tc>
          <w:tcPr>
            <w:tcW w:w="19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117.9</w:t>
            </w:r>
          </w:p>
        </w:tc>
      </w:tr>
      <w:tr>
        <w:trPr>
          <w:trHeight w:val="210"/>
        </w:trPr>
        <w:tc>
          <w:tcPr>
            <w:tcW w:w="492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CASH EQUIVALENTS BY NATURE</w:t>
            </w:r>
          </w:p>
        </w:tc>
        <w:tc>
          <w:tcPr>
            <w:tcW w:w="192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3,388.5</w:t>
            </w:r>
          </w:p>
        </w:tc>
        <w:tc>
          <w:tcPr>
            <w:tcW w:w="19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1,362.9</w:t>
            </w:r>
          </w:p>
        </w:tc>
        <w:tc>
          <w:tcPr>
            <w:tcW w:w="19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863.5</w:t>
            </w:r>
          </w:p>
        </w:tc>
      </w:tr>
    </w:tbl>
    <w:p>
      <w:pPr>
        <w:spacing w:after="0" w:line="272" w:lineRule="exact"/>
        <w:rPr>
          <w:sz w:val="20"/>
          <w:szCs w:val="20"/>
          <w:color w:val="auto"/>
        </w:rPr>
      </w:pPr>
    </w:p>
    <w:p>
      <w:pPr>
        <w:jc w:val="both"/>
        <w:ind w:left="40"/>
        <w:spacing w:after="0" w:line="260" w:lineRule="auto"/>
        <w:rPr>
          <w:sz w:val="20"/>
          <w:szCs w:val="20"/>
          <w:color w:val="auto"/>
        </w:rPr>
      </w:pPr>
      <w:r>
        <w:rPr>
          <w:rFonts w:ascii="Arial" w:cs="Arial" w:eastAsia="Arial" w:hAnsi="Arial"/>
          <w:sz w:val="16"/>
          <w:szCs w:val="16"/>
          <w:color w:val="231F20"/>
        </w:rPr>
        <w:t>During the financial year ended December 31, 2016, total cash and cash equivalents positions were impacted by the main changes in consolidation scope which are described in Note 2(a) - Scope of consolidation.</w:t>
      </w:r>
    </w:p>
    <w:p>
      <w:pPr>
        <w:spacing w:after="0" w:line="250" w:lineRule="exact"/>
        <w:rPr>
          <w:sz w:val="20"/>
          <w:szCs w:val="20"/>
          <w:color w:val="auto"/>
        </w:rPr>
      </w:pPr>
    </w:p>
    <w:p>
      <w:pPr>
        <w:jc w:val="both"/>
        <w:ind w:left="40"/>
        <w:spacing w:after="0" w:line="250" w:lineRule="auto"/>
        <w:rPr>
          <w:sz w:val="20"/>
          <w:szCs w:val="20"/>
          <w:color w:val="auto"/>
        </w:rPr>
      </w:pPr>
      <w:r>
        <w:rPr>
          <w:rFonts w:ascii="Arial" w:cs="Arial" w:eastAsia="Arial" w:hAnsi="Arial"/>
          <w:sz w:val="16"/>
          <w:szCs w:val="16"/>
          <w:color w:val="231F20"/>
        </w:rPr>
        <w:t>A substantial portion of cash and marketable securities are recorded or invested in either Euro or US dollar which are frequently used by the Group within the framework of its commercial relationships. Cash and marketable securities in other currencies correspond either to deposits retained by subsidiaries located in countries where such currencies are the national currencies in order to ensure their own liquidity, or to amounts received from customers prior to the payment of expenses in these same currencies or the payment of dividends. Short-term deposits are classified as cash equivalents along with the other marketable securities.</w:t>
      </w:r>
    </w:p>
    <w:p>
      <w:pPr>
        <w:spacing w:after="0" w:line="337"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19 Assets and Liabilities Held for Sale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2016, a set of ageing equipment was accounted for as assets held for sale for a total amount of €2.1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2015, a set of ageing equipment was accounted for as assets held for sale for a total amount of €26.4 million.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2014, two ageing vessels were accounted for as an asset held for sale for a total amount of €3.2 million.</w:t>
      </w:r>
    </w:p>
    <w:p>
      <w:pPr>
        <w:sectPr>
          <w:pgSz w:w="11900" w:h="16838" w:orient="portrait"/>
          <w:cols w:equalWidth="0" w:num="1">
            <w:col w:w="11340"/>
          </w:cols>
          <w:pgMar w:left="320" w:top="640" w:right="239" w:bottom="1440" w:gutter="0" w:footer="0" w:header="0"/>
        </w:sectPr>
      </w:pPr>
    </w:p>
    <w:bookmarkStart w:id="125" w:name="page126"/>
    <w:bookmarkEnd w:id="125"/>
    <w:p>
      <w:pPr>
        <w:spacing w:after="0"/>
        <w:rPr>
          <w:sz w:val="20"/>
          <w:szCs w:val="20"/>
          <w:color w:val="auto"/>
        </w:rPr>
      </w:pPr>
      <w:r>
        <w:rPr>
          <w:rFonts w:ascii="Arial" w:cs="Arial" w:eastAsia="Arial" w:hAnsi="Arial"/>
          <w:sz w:val="29"/>
          <w:szCs w:val="29"/>
          <w:b w:val="1"/>
          <w:bCs w:val="1"/>
          <w:color w:val="2360A6"/>
        </w:rPr>
        <w:t>Note 20 Shareholder’s Equity</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Changes in the Parent Company’s Share Capital</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As of December 31, 2016, Technip’s share capital consisted of 119,180,434 outstanding shares with a par value of €0.7625 each. Changes since January 1, 2014 break down as follows:</w:t>
      </w:r>
    </w:p>
    <w:p>
      <w:pPr>
        <w:spacing w:after="0" w:line="93" w:lineRule="exact"/>
        <w:rPr>
          <w:sz w:val="20"/>
          <w:szCs w:val="20"/>
          <w:color w:val="auto"/>
        </w:rPr>
      </w:pPr>
    </w:p>
    <w:tbl>
      <w:tblPr>
        <w:tblLayout w:type="fixed"/>
        <w:tblInd w:w="330" w:type="dxa"/>
        <w:tblCellMar>
          <w:top w:w="0" w:type="dxa"/>
          <w:left w:w="0" w:type="dxa"/>
          <w:bottom w:w="0" w:type="dxa"/>
          <w:right w:w="0" w:type="dxa"/>
        </w:tblCellMar>
      </w:tblPr>
      <w:tr>
        <w:trPr>
          <w:trHeight w:val="193"/>
        </w:trPr>
        <w:tc>
          <w:tcPr>
            <w:tcW w:w="5660" w:type="dxa"/>
            <w:vAlign w:val="bottom"/>
            <w:tcBorders>
              <w:top w:val="single" w:sz="8" w:color="2360A6"/>
              <w:left w:val="single" w:sz="8" w:color="2360A6"/>
              <w:right w:val="single" w:sz="8" w:color="2360A6"/>
            </w:tcBorders>
          </w:tcPr>
          <w:p>
            <w:pPr>
              <w:spacing w:after="0"/>
              <w:rPr>
                <w:sz w:val="16"/>
                <w:szCs w:val="16"/>
                <w:color w:val="auto"/>
              </w:rPr>
            </w:pPr>
          </w:p>
        </w:tc>
        <w:tc>
          <w:tcPr>
            <w:tcW w:w="2360" w:type="dxa"/>
            <w:vAlign w:val="bottom"/>
            <w:tcBorders>
              <w:top w:val="single" w:sz="8" w:color="2360A6"/>
              <w:right w:val="single" w:sz="8" w:color="2360A6"/>
            </w:tcBorders>
            <w:vMerge w:val="restart"/>
          </w:tcPr>
          <w:p>
            <w:pPr>
              <w:jc w:val="right"/>
              <w:spacing w:after="0"/>
              <w:rPr>
                <w:sz w:val="20"/>
                <w:szCs w:val="20"/>
                <w:color w:val="auto"/>
              </w:rPr>
            </w:pPr>
            <w:r>
              <w:rPr>
                <w:rFonts w:ascii="Arial" w:cs="Arial" w:eastAsia="Arial" w:hAnsi="Arial"/>
                <w:sz w:val="14"/>
                <w:szCs w:val="14"/>
                <w:b w:val="1"/>
                <w:bCs w:val="1"/>
                <w:color w:val="2360A6"/>
              </w:rPr>
              <w:t>Number of Shares</w:t>
            </w:r>
          </w:p>
        </w:tc>
        <w:tc>
          <w:tcPr>
            <w:tcW w:w="2640" w:type="dxa"/>
            <w:vAlign w:val="bottom"/>
            <w:tcBorders>
              <w:top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Share Capital</w:t>
            </w:r>
          </w:p>
        </w:tc>
        <w:tc>
          <w:tcPr>
            <w:tcW w:w="0" w:type="dxa"/>
            <w:vAlign w:val="bottom"/>
          </w:tcPr>
          <w:p>
            <w:pPr>
              <w:spacing w:after="0"/>
              <w:rPr>
                <w:sz w:val="1"/>
                <w:szCs w:val="1"/>
                <w:color w:val="auto"/>
              </w:rPr>
            </w:pPr>
          </w:p>
        </w:tc>
      </w:tr>
      <w:tr>
        <w:trPr>
          <w:trHeight w:val="192"/>
        </w:trPr>
        <w:tc>
          <w:tcPr>
            <w:tcW w:w="5660" w:type="dxa"/>
            <w:vAlign w:val="bottom"/>
            <w:tcBorders>
              <w:left w:val="single" w:sz="8" w:color="2360A6"/>
              <w:bottom w:val="single" w:sz="8" w:color="2360A6"/>
              <w:right w:val="single" w:sz="8" w:color="2360A6"/>
            </w:tcBorders>
          </w:tcPr>
          <w:p>
            <w:pPr>
              <w:spacing w:after="0"/>
              <w:rPr>
                <w:sz w:val="16"/>
                <w:szCs w:val="16"/>
                <w:color w:val="auto"/>
              </w:rPr>
            </w:pPr>
          </w:p>
        </w:tc>
        <w:tc>
          <w:tcPr>
            <w:tcW w:w="2360" w:type="dxa"/>
            <w:vAlign w:val="bottom"/>
            <w:tcBorders>
              <w:bottom w:val="single" w:sz="8" w:color="2360A6"/>
              <w:right w:val="single" w:sz="8" w:color="2360A6"/>
            </w:tcBorders>
            <w:vMerge w:val="continue"/>
          </w:tcPr>
          <w:p>
            <w:pPr>
              <w:spacing w:after="0"/>
              <w:rPr>
                <w:sz w:val="16"/>
                <w:szCs w:val="16"/>
                <w:color w:val="auto"/>
              </w:rPr>
            </w:pPr>
          </w:p>
        </w:tc>
        <w:tc>
          <w:tcPr>
            <w:tcW w:w="26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i w:val="1"/>
                <w:iCs w:val="1"/>
                <w:color w:val="231F20"/>
              </w:rPr>
              <w:t>(in millions of Euro)</w:t>
            </w:r>
          </w:p>
        </w:tc>
        <w:tc>
          <w:tcPr>
            <w:tcW w:w="0" w:type="dxa"/>
            <w:vAlign w:val="bottom"/>
          </w:tcPr>
          <w:p>
            <w:pPr>
              <w:spacing w:after="0"/>
              <w:rPr>
                <w:sz w:val="1"/>
                <w:szCs w:val="1"/>
                <w:color w:val="auto"/>
              </w:rPr>
            </w:pP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Share Capital as of January 1, 2014</w:t>
            </w:r>
          </w:p>
        </w:tc>
        <w:tc>
          <w:tcPr>
            <w:tcW w:w="23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113,680,256</w:t>
            </w:r>
          </w:p>
        </w:tc>
        <w:tc>
          <w:tcPr>
            <w:tcW w:w="26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86.7</w:t>
            </w:r>
          </w:p>
        </w:tc>
        <w:tc>
          <w:tcPr>
            <w:tcW w:w="0" w:type="dxa"/>
            <w:vAlign w:val="bottom"/>
          </w:tcPr>
          <w:p>
            <w:pPr>
              <w:spacing w:after="0"/>
              <w:rPr>
                <w:sz w:val="1"/>
                <w:szCs w:val="1"/>
                <w:color w:val="auto"/>
              </w:rPr>
            </w:pP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Capital Increase due to Share Subscription Options Exercised</w:t>
            </w:r>
          </w:p>
        </w:tc>
        <w:tc>
          <w:tcPr>
            <w:tcW w:w="23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265,061</w:t>
            </w:r>
          </w:p>
        </w:tc>
        <w:tc>
          <w:tcPr>
            <w:tcW w:w="26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0.2</w:t>
            </w:r>
          </w:p>
        </w:tc>
        <w:tc>
          <w:tcPr>
            <w:tcW w:w="0" w:type="dxa"/>
            <w:vAlign w:val="bottom"/>
          </w:tcPr>
          <w:p>
            <w:pPr>
              <w:spacing w:after="0"/>
              <w:rPr>
                <w:sz w:val="1"/>
                <w:szCs w:val="1"/>
                <w:color w:val="auto"/>
              </w:rPr>
            </w:pP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Share Capital as of December 31, 2014</w:t>
            </w:r>
          </w:p>
        </w:tc>
        <w:tc>
          <w:tcPr>
            <w:tcW w:w="23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113,945,317</w:t>
            </w:r>
          </w:p>
        </w:tc>
        <w:tc>
          <w:tcPr>
            <w:tcW w:w="26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86.9</w:t>
            </w:r>
          </w:p>
        </w:tc>
        <w:tc>
          <w:tcPr>
            <w:tcW w:w="0" w:type="dxa"/>
            <w:vAlign w:val="bottom"/>
          </w:tcPr>
          <w:p>
            <w:pPr>
              <w:spacing w:after="0"/>
              <w:rPr>
                <w:sz w:val="1"/>
                <w:szCs w:val="1"/>
                <w:color w:val="auto"/>
              </w:rPr>
            </w:pP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Capital Increase due to Share Subscription Options Exercised</w:t>
            </w:r>
          </w:p>
        </w:tc>
        <w:tc>
          <w:tcPr>
            <w:tcW w:w="23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561,746</w:t>
            </w:r>
          </w:p>
        </w:tc>
        <w:tc>
          <w:tcPr>
            <w:tcW w:w="26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0.4</w:t>
            </w:r>
          </w:p>
        </w:tc>
        <w:tc>
          <w:tcPr>
            <w:tcW w:w="0" w:type="dxa"/>
            <w:vAlign w:val="bottom"/>
          </w:tcPr>
          <w:p>
            <w:pPr>
              <w:spacing w:after="0"/>
              <w:rPr>
                <w:sz w:val="1"/>
                <w:szCs w:val="1"/>
                <w:color w:val="auto"/>
              </w:rPr>
            </w:pP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Capital Increase due to Dividend Payment in Shares</w:t>
            </w:r>
          </w:p>
        </w:tc>
        <w:tc>
          <w:tcPr>
            <w:tcW w:w="23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2,591,918</w:t>
            </w:r>
          </w:p>
        </w:tc>
        <w:tc>
          <w:tcPr>
            <w:tcW w:w="26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2.0</w:t>
            </w:r>
          </w:p>
        </w:tc>
        <w:tc>
          <w:tcPr>
            <w:tcW w:w="0" w:type="dxa"/>
            <w:vAlign w:val="bottom"/>
          </w:tcPr>
          <w:p>
            <w:pPr>
              <w:spacing w:after="0"/>
              <w:rPr>
                <w:sz w:val="1"/>
                <w:szCs w:val="1"/>
                <w:color w:val="auto"/>
              </w:rPr>
            </w:pP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Capital Increase Reserved for Employees</w:t>
            </w:r>
          </w:p>
        </w:tc>
        <w:tc>
          <w:tcPr>
            <w:tcW w:w="23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1,925,503</w:t>
            </w:r>
          </w:p>
        </w:tc>
        <w:tc>
          <w:tcPr>
            <w:tcW w:w="26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1.5</w:t>
            </w:r>
          </w:p>
        </w:tc>
        <w:tc>
          <w:tcPr>
            <w:tcW w:w="0" w:type="dxa"/>
            <w:vAlign w:val="bottom"/>
          </w:tcPr>
          <w:p>
            <w:pPr>
              <w:spacing w:after="0"/>
              <w:rPr>
                <w:sz w:val="1"/>
                <w:szCs w:val="1"/>
                <w:color w:val="auto"/>
              </w:rPr>
            </w:pP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Share Capital as of December 31, 2015</w:t>
            </w:r>
          </w:p>
        </w:tc>
        <w:tc>
          <w:tcPr>
            <w:tcW w:w="23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119,024,484</w:t>
            </w:r>
          </w:p>
        </w:tc>
        <w:tc>
          <w:tcPr>
            <w:tcW w:w="26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90.8</w:t>
            </w:r>
          </w:p>
        </w:tc>
        <w:tc>
          <w:tcPr>
            <w:tcW w:w="0" w:type="dxa"/>
            <w:vAlign w:val="bottom"/>
          </w:tcPr>
          <w:p>
            <w:pPr>
              <w:spacing w:after="0"/>
              <w:rPr>
                <w:sz w:val="1"/>
                <w:szCs w:val="1"/>
                <w:color w:val="auto"/>
              </w:rPr>
            </w:pP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Capital Increase due to Share Subscription Options Exercised</w:t>
            </w:r>
          </w:p>
        </w:tc>
        <w:tc>
          <w:tcPr>
            <w:tcW w:w="23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25,450</w:t>
            </w:r>
          </w:p>
        </w:tc>
        <w:tc>
          <w:tcPr>
            <w:tcW w:w="26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Capital Increase due to Dividend Payment in Shares</w:t>
            </w:r>
          </w:p>
        </w:tc>
        <w:tc>
          <w:tcPr>
            <w:tcW w:w="23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3,168,156</w:t>
            </w:r>
          </w:p>
        </w:tc>
        <w:tc>
          <w:tcPr>
            <w:tcW w:w="26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2.4</w:t>
            </w:r>
          </w:p>
        </w:tc>
        <w:tc>
          <w:tcPr>
            <w:tcW w:w="0" w:type="dxa"/>
            <w:vAlign w:val="bottom"/>
          </w:tcPr>
          <w:p>
            <w:pPr>
              <w:spacing w:after="0"/>
              <w:rPr>
                <w:sz w:val="1"/>
                <w:szCs w:val="1"/>
                <w:color w:val="auto"/>
              </w:rPr>
            </w:pP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Capital Increase due to Exercise of Performance Shares</w:t>
            </w:r>
          </w:p>
        </w:tc>
        <w:tc>
          <w:tcPr>
            <w:tcW w:w="23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130,500</w:t>
            </w:r>
          </w:p>
        </w:tc>
        <w:tc>
          <w:tcPr>
            <w:tcW w:w="26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0.1</w:t>
            </w:r>
          </w:p>
        </w:tc>
        <w:tc>
          <w:tcPr>
            <w:tcW w:w="0" w:type="dxa"/>
            <w:vAlign w:val="bottom"/>
          </w:tcPr>
          <w:p>
            <w:pPr>
              <w:spacing w:after="0"/>
              <w:rPr>
                <w:sz w:val="1"/>
                <w:szCs w:val="1"/>
                <w:color w:val="auto"/>
              </w:rPr>
            </w:pPr>
          </w:p>
        </w:tc>
      </w:tr>
      <w:tr>
        <w:trPr>
          <w:trHeight w:val="210"/>
        </w:trPr>
        <w:tc>
          <w:tcPr>
            <w:tcW w:w="56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auto"/>
              </w:rPr>
              <w:t>Capital Decrease following Cancellation of Treasury Shares</w:t>
            </w:r>
          </w:p>
        </w:tc>
        <w:tc>
          <w:tcPr>
            <w:tcW w:w="23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(3,168,156)</w:t>
            </w:r>
          </w:p>
        </w:tc>
        <w:tc>
          <w:tcPr>
            <w:tcW w:w="26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(2.4)</w:t>
            </w:r>
          </w:p>
        </w:tc>
        <w:tc>
          <w:tcPr>
            <w:tcW w:w="0" w:type="dxa"/>
            <w:vAlign w:val="bottom"/>
          </w:tcPr>
          <w:p>
            <w:pPr>
              <w:spacing w:after="0"/>
              <w:rPr>
                <w:sz w:val="1"/>
                <w:szCs w:val="1"/>
                <w:color w:val="auto"/>
              </w:rPr>
            </w:pPr>
          </w:p>
        </w:tc>
      </w:tr>
      <w:tr>
        <w:trPr>
          <w:trHeight w:val="210"/>
        </w:trPr>
        <w:tc>
          <w:tcPr>
            <w:tcW w:w="566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SHARE CAPITAL AS OF DECEMBER 31, 2016</w:t>
            </w:r>
          </w:p>
        </w:tc>
        <w:tc>
          <w:tcPr>
            <w:tcW w:w="23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119,180,434</w:t>
            </w:r>
          </w:p>
        </w:tc>
        <w:tc>
          <w:tcPr>
            <w:tcW w:w="264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90.9</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(B) Technip’s Shareholders as of December 31</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As of December 31, 2016, to the Company’s knowledge and based on notices and documents received by the Company, Technip’s principal shareholders in percentage of share capital are as follows:</w:t>
      </w:r>
    </w:p>
    <w:p>
      <w:pPr>
        <w:spacing w:after="0" w:line="93" w:lineRule="exact"/>
        <w:rPr>
          <w:sz w:val="20"/>
          <w:szCs w:val="20"/>
          <w:color w:val="auto"/>
        </w:rPr>
      </w:pPr>
    </w:p>
    <w:tbl>
      <w:tblPr>
        <w:tblLayout w:type="fixed"/>
        <w:tblInd w:w="330" w:type="dxa"/>
        <w:tblCellMar>
          <w:top w:w="0" w:type="dxa"/>
          <w:left w:w="0" w:type="dxa"/>
          <w:bottom w:w="0" w:type="dxa"/>
          <w:right w:w="0" w:type="dxa"/>
        </w:tblCellMar>
      </w:tblPr>
      <w:tr>
        <w:trPr>
          <w:trHeight w:val="189"/>
        </w:trPr>
        <w:tc>
          <w:tcPr>
            <w:tcW w:w="5240" w:type="dxa"/>
            <w:vAlign w:val="bottom"/>
            <w:tcBorders>
              <w:top w:val="single" w:sz="8" w:color="2360A6"/>
              <w:left w:val="single" w:sz="8" w:color="2360A6"/>
              <w:right w:val="single" w:sz="8" w:color="2360A6"/>
            </w:tcBorders>
          </w:tcPr>
          <w:p>
            <w:pPr>
              <w:spacing w:after="0"/>
              <w:rPr>
                <w:sz w:val="16"/>
                <w:szCs w:val="16"/>
                <w:color w:val="auto"/>
              </w:rPr>
            </w:pPr>
          </w:p>
        </w:tc>
        <w:tc>
          <w:tcPr>
            <w:tcW w:w="1820" w:type="dxa"/>
            <w:vAlign w:val="bottom"/>
            <w:tcBorders>
              <w:top w:val="single" w:sz="8" w:color="2360A6"/>
              <w:right w:val="single" w:sz="8" w:color="2360A6"/>
            </w:tcBorders>
            <w:shd w:val="clear" w:color="auto" w:fill="2360A6"/>
          </w:tcPr>
          <w:p>
            <w:pPr>
              <w:jc w:val="right"/>
              <w:ind w:right="48"/>
              <w:spacing w:after="0"/>
              <w:rPr>
                <w:sz w:val="20"/>
                <w:szCs w:val="20"/>
                <w:color w:val="auto"/>
              </w:rPr>
            </w:pPr>
            <w:r>
              <w:rPr>
                <w:rFonts w:ascii="Arial" w:cs="Arial" w:eastAsia="Arial" w:hAnsi="Arial"/>
                <w:sz w:val="14"/>
                <w:szCs w:val="14"/>
                <w:b w:val="1"/>
                <w:bCs w:val="1"/>
                <w:color w:val="FFFFFF"/>
              </w:rPr>
              <w:t>As of</w:t>
            </w:r>
          </w:p>
        </w:tc>
        <w:tc>
          <w:tcPr>
            <w:tcW w:w="180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As of</w:t>
            </w:r>
          </w:p>
        </w:tc>
        <w:tc>
          <w:tcPr>
            <w:tcW w:w="1800" w:type="dxa"/>
            <w:vAlign w:val="bottom"/>
            <w:tcBorders>
              <w:top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As of</w:t>
            </w:r>
          </w:p>
        </w:tc>
      </w:tr>
      <w:tr>
        <w:trPr>
          <w:trHeight w:val="162"/>
        </w:trPr>
        <w:tc>
          <w:tcPr>
            <w:tcW w:w="5240" w:type="dxa"/>
            <w:vAlign w:val="bottom"/>
            <w:tcBorders>
              <w:left w:val="single" w:sz="8" w:color="2360A6"/>
              <w:right w:val="single" w:sz="8" w:color="2360A6"/>
            </w:tcBorders>
          </w:tcPr>
          <w:p>
            <w:pPr>
              <w:spacing w:after="0"/>
              <w:rPr>
                <w:sz w:val="14"/>
                <w:szCs w:val="14"/>
                <w:color w:val="auto"/>
              </w:rPr>
            </w:pPr>
          </w:p>
        </w:tc>
        <w:tc>
          <w:tcPr>
            <w:tcW w:w="1820" w:type="dxa"/>
            <w:vAlign w:val="bottom"/>
            <w:tcBorders>
              <w:right w:val="single" w:sz="8" w:color="2360A6"/>
            </w:tcBorders>
            <w:shd w:val="clear" w:color="auto" w:fill="2360A6"/>
          </w:tcPr>
          <w:p>
            <w:pPr>
              <w:jc w:val="right"/>
              <w:ind w:right="48"/>
              <w:spacing w:after="0"/>
              <w:rPr>
                <w:sz w:val="20"/>
                <w:szCs w:val="20"/>
                <w:color w:val="auto"/>
              </w:rPr>
            </w:pPr>
            <w:r>
              <w:rPr>
                <w:rFonts w:ascii="Arial" w:cs="Arial" w:eastAsia="Arial" w:hAnsi="Arial"/>
                <w:sz w:val="14"/>
                <w:szCs w:val="14"/>
                <w:b w:val="1"/>
                <w:bCs w:val="1"/>
                <w:color w:val="FFFFFF"/>
              </w:rPr>
              <w:t>December 31,</w:t>
            </w:r>
          </w:p>
        </w:tc>
        <w:tc>
          <w:tcPr>
            <w:tcW w:w="180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December 31,</w:t>
            </w:r>
          </w:p>
        </w:tc>
        <w:tc>
          <w:tcPr>
            <w:tcW w:w="180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5240" w:type="dxa"/>
            <w:vAlign w:val="bottom"/>
            <w:tcBorders>
              <w:left w:val="single" w:sz="8" w:color="2360A6"/>
              <w:bottom w:val="single" w:sz="8" w:color="2360A6"/>
              <w:right w:val="single" w:sz="8" w:color="2360A6"/>
            </w:tcBorders>
          </w:tcPr>
          <w:p>
            <w:pPr>
              <w:spacing w:after="0"/>
              <w:rPr>
                <w:sz w:val="17"/>
                <w:szCs w:val="17"/>
                <w:color w:val="auto"/>
              </w:rPr>
            </w:pPr>
          </w:p>
        </w:tc>
        <w:tc>
          <w:tcPr>
            <w:tcW w:w="1820" w:type="dxa"/>
            <w:vAlign w:val="bottom"/>
            <w:tcBorders>
              <w:bottom w:val="single" w:sz="8" w:color="2360A6"/>
              <w:right w:val="single" w:sz="8" w:color="2360A6"/>
            </w:tcBorders>
            <w:shd w:val="clear" w:color="auto" w:fill="2360A6"/>
          </w:tcPr>
          <w:p>
            <w:pPr>
              <w:jc w:val="right"/>
              <w:ind w:right="48"/>
              <w:spacing w:after="0"/>
              <w:rPr>
                <w:sz w:val="20"/>
                <w:szCs w:val="20"/>
                <w:color w:val="auto"/>
              </w:rPr>
            </w:pPr>
            <w:r>
              <w:rPr>
                <w:rFonts w:ascii="Arial" w:cs="Arial" w:eastAsia="Arial" w:hAnsi="Arial"/>
                <w:sz w:val="14"/>
                <w:szCs w:val="14"/>
                <w:b w:val="1"/>
                <w:bCs w:val="1"/>
                <w:color w:val="FFFFFF"/>
              </w:rPr>
              <w:t>2016</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2015</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2014</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Banque Publique d’Investissement</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7.65%</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5.20%</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5.20%</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Oppenheimer Funds Inc.</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5.60%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3.80%</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4.20%</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Blackrock Inc.</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4.90%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4.65%</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4.90%</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The Capital Group Companies Inc.</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4.20%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4.20%</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4.40%</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IFP Énergies nouvelles</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2.30%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2.40%</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2.50%</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Franklin Resources Inc.</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2.05%</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10.80%</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7.20%</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Aviva Plc</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2.05%</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1.95%</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2.05%</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Norges Bank Investment Management</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1.90%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1.90%</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2.00%</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Amundi Asset Management</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1.90%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1.10%</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2.35%</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State Street Corporation</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1.70%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1.70%</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1.80%</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AXA SA</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1.65%</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1.60%</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MFS Investment Management</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1.15%</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1.15%</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1.50%</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Baytree Investments Pte Ltd</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1.00%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2.30%</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Causeway Capital Management</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5.10%</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6.50%</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Group Employees</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2.75%</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2.85%</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1.80%</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Treasury Shares</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0.30%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0.70%</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1.20%</w:t>
            </w:r>
          </w:p>
        </w:tc>
      </w:tr>
      <w:tr>
        <w:trPr>
          <w:trHeight w:val="210"/>
        </w:trPr>
        <w:tc>
          <w:tcPr>
            <w:tcW w:w="52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w:t>
            </w:r>
          </w:p>
        </w:tc>
        <w:tc>
          <w:tcPr>
            <w:tcW w:w="1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auto"/>
              </w:rPr>
              <w:t>58.90%</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48.60%</w:t>
            </w:r>
          </w:p>
        </w:tc>
        <w:tc>
          <w:tcPr>
            <w:tcW w:w="18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52.40%</w:t>
            </w:r>
          </w:p>
        </w:tc>
      </w:tr>
      <w:tr>
        <w:trPr>
          <w:trHeight w:val="210"/>
        </w:trPr>
        <w:tc>
          <w:tcPr>
            <w:tcW w:w="524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w:t>
            </w:r>
          </w:p>
        </w:tc>
        <w:tc>
          <w:tcPr>
            <w:tcW w:w="182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100.00%</w:t>
            </w:r>
          </w:p>
        </w:tc>
        <w:tc>
          <w:tcPr>
            <w:tcW w:w="180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100.00%</w:t>
            </w:r>
          </w:p>
        </w:tc>
        <w:tc>
          <w:tcPr>
            <w:tcW w:w="180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100.00%</w:t>
            </w:r>
          </w:p>
        </w:tc>
      </w:tr>
    </w:tbl>
    <w:p>
      <w:pPr>
        <w:sectPr>
          <w:pgSz w:w="11900" w:h="16838" w:orient="portrait"/>
          <w:cols w:equalWidth="0" w:num="1">
            <w:col w:w="11340"/>
          </w:cols>
          <w:pgMar w:left="320" w:top="640" w:right="239" w:bottom="1440" w:gutter="0" w:footer="0" w:header="0"/>
        </w:sectPr>
      </w:pPr>
    </w:p>
    <w:bookmarkStart w:id="126" w:name="page127"/>
    <w:bookmarkEnd w:id="126"/>
    <w:p>
      <w:pPr>
        <w:spacing w:after="0"/>
        <w:rPr>
          <w:sz w:val="20"/>
          <w:szCs w:val="20"/>
          <w:color w:val="auto"/>
        </w:rPr>
      </w:pPr>
      <w:r>
        <w:rPr>
          <w:rFonts w:ascii="Arial" w:cs="Arial" w:eastAsia="Arial" w:hAnsi="Arial"/>
          <w:sz w:val="25"/>
          <w:szCs w:val="25"/>
          <w:b w:val="1"/>
          <w:bCs w:val="1"/>
          <w:color w:val="231F20"/>
        </w:rPr>
        <w:t>(C) Treasury Shares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Changes in treasury shares are as follows:</w:t>
      </w:r>
    </w:p>
    <w:p>
      <w:pPr>
        <w:spacing w:after="0" w:line="118" w:lineRule="exact"/>
        <w:rPr>
          <w:sz w:val="20"/>
          <w:szCs w:val="20"/>
          <w:color w:val="auto"/>
        </w:rPr>
      </w:pPr>
    </w:p>
    <w:tbl>
      <w:tblPr>
        <w:tblLayout w:type="fixed"/>
        <w:tblInd w:w="330" w:type="dxa"/>
        <w:tblCellMar>
          <w:top w:w="0" w:type="dxa"/>
          <w:left w:w="0" w:type="dxa"/>
          <w:bottom w:w="0" w:type="dxa"/>
          <w:right w:w="0" w:type="dxa"/>
        </w:tblCellMar>
      </w:tblPr>
      <w:tr>
        <w:trPr>
          <w:trHeight w:val="193"/>
        </w:trPr>
        <w:tc>
          <w:tcPr>
            <w:tcW w:w="6400" w:type="dxa"/>
            <w:vAlign w:val="bottom"/>
            <w:tcBorders>
              <w:top w:val="single" w:sz="8" w:color="2360A6"/>
              <w:left w:val="single" w:sz="8" w:color="2360A6"/>
              <w:right w:val="single" w:sz="8" w:color="2360A6"/>
            </w:tcBorders>
          </w:tcPr>
          <w:p>
            <w:pPr>
              <w:spacing w:after="0"/>
              <w:rPr>
                <w:sz w:val="16"/>
                <w:szCs w:val="16"/>
                <w:color w:val="auto"/>
              </w:rPr>
            </w:pPr>
          </w:p>
        </w:tc>
        <w:tc>
          <w:tcPr>
            <w:tcW w:w="2140" w:type="dxa"/>
            <w:vAlign w:val="bottom"/>
            <w:tcBorders>
              <w:top w:val="single" w:sz="8" w:color="2360A6"/>
              <w:right w:val="single" w:sz="8" w:color="2360A6"/>
            </w:tcBorders>
            <w:vMerge w:val="restart"/>
          </w:tcPr>
          <w:p>
            <w:pPr>
              <w:jc w:val="right"/>
              <w:spacing w:after="0"/>
              <w:rPr>
                <w:sz w:val="20"/>
                <w:szCs w:val="20"/>
                <w:color w:val="auto"/>
              </w:rPr>
            </w:pPr>
            <w:r>
              <w:rPr>
                <w:rFonts w:ascii="Arial" w:cs="Arial" w:eastAsia="Arial" w:hAnsi="Arial"/>
                <w:sz w:val="14"/>
                <w:szCs w:val="14"/>
                <w:b w:val="1"/>
                <w:bCs w:val="1"/>
                <w:color w:val="2360A6"/>
              </w:rPr>
              <w:t>Number of Shares</w:t>
            </w:r>
          </w:p>
        </w:tc>
        <w:tc>
          <w:tcPr>
            <w:tcW w:w="2120" w:type="dxa"/>
            <w:vAlign w:val="bottom"/>
            <w:tcBorders>
              <w:top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006EBF"/>
              </w:rPr>
              <w:t>Treasury Shares</w:t>
            </w:r>
          </w:p>
        </w:tc>
        <w:tc>
          <w:tcPr>
            <w:tcW w:w="0" w:type="dxa"/>
            <w:vAlign w:val="bottom"/>
          </w:tcPr>
          <w:p>
            <w:pPr>
              <w:spacing w:after="0"/>
              <w:rPr>
                <w:sz w:val="1"/>
                <w:szCs w:val="1"/>
                <w:color w:val="auto"/>
              </w:rPr>
            </w:pPr>
          </w:p>
        </w:tc>
      </w:tr>
      <w:tr>
        <w:trPr>
          <w:trHeight w:val="192"/>
        </w:trPr>
        <w:tc>
          <w:tcPr>
            <w:tcW w:w="6400" w:type="dxa"/>
            <w:vAlign w:val="bottom"/>
            <w:tcBorders>
              <w:left w:val="single" w:sz="8" w:color="2360A6"/>
              <w:bottom w:val="single" w:sz="8" w:color="2360A6"/>
              <w:right w:val="single" w:sz="8" w:color="2360A6"/>
            </w:tcBorders>
          </w:tcPr>
          <w:p>
            <w:pPr>
              <w:spacing w:after="0"/>
              <w:rPr>
                <w:sz w:val="16"/>
                <w:szCs w:val="16"/>
                <w:color w:val="auto"/>
              </w:rPr>
            </w:pPr>
          </w:p>
        </w:tc>
        <w:tc>
          <w:tcPr>
            <w:tcW w:w="2140" w:type="dxa"/>
            <w:vAlign w:val="bottom"/>
            <w:tcBorders>
              <w:bottom w:val="single" w:sz="8" w:color="2360A6"/>
              <w:right w:val="single" w:sz="8" w:color="2360A6"/>
            </w:tcBorders>
            <w:vMerge w:val="continue"/>
          </w:tcPr>
          <w:p>
            <w:pPr>
              <w:spacing w:after="0"/>
              <w:rPr>
                <w:sz w:val="16"/>
                <w:szCs w:val="16"/>
                <w:color w:val="auto"/>
              </w:rPr>
            </w:pP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i w:val="1"/>
                <w:iCs w:val="1"/>
                <w:color w:val="auto"/>
              </w:rPr>
              <w:t>(in millions of Euro)</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Treasury Shares as of January 1, 2014</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1,774,751</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(133.6)</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Shares Acquired pursuant to Liquidity Contract</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823,060</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(57.9)</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Shares Sold pursuant to Liquidity Contract</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(793,560)</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59.1</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Shares Purchased for Employees</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610,569</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(41.8)</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Shares Granted to Employees</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(1,050,825)</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77.3</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Treasury Shares as of December 31, 2014</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1,363,995</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(96.9)</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Shares Acquired pursuant to Liquidity Contract</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1,333,789</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(69.4)</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Shares Sold pursuant to Liquidity Contract</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(1,419,789)</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75.4</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Shares Purchased for Employees</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650</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Shares Granted to Employees</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(459,770)</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35.7</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Treasury Shares as of December 31, 2015</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818,875</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(55.2)</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Shares Acquired pursuant to Liquidity Contract</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1,298,130</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(64.4)</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Shares Sold pursuant to Liquidity Contract</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(1,408,130)</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69.4</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Shares Purchased</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3,168,156</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(168.8)</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Shares Granted to Employees</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(379,962)</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28.1</w:t>
            </w:r>
          </w:p>
        </w:tc>
        <w:tc>
          <w:tcPr>
            <w:tcW w:w="0" w:type="dxa"/>
            <w:vAlign w:val="bottom"/>
          </w:tcPr>
          <w:p>
            <w:pPr>
              <w:spacing w:after="0"/>
              <w:rPr>
                <w:sz w:val="1"/>
                <w:szCs w:val="1"/>
                <w:color w:val="auto"/>
              </w:rPr>
            </w:pPr>
          </w:p>
        </w:tc>
      </w:tr>
      <w:tr>
        <w:trPr>
          <w:trHeight w:val="237"/>
        </w:trPr>
        <w:tc>
          <w:tcPr>
            <w:tcW w:w="64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Shares Cancelled</w:t>
            </w:r>
          </w:p>
        </w:tc>
        <w:tc>
          <w:tcPr>
            <w:tcW w:w="2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(3,168,156)</w:t>
            </w:r>
          </w:p>
        </w:tc>
        <w:tc>
          <w:tcPr>
            <w:tcW w:w="21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168.8</w:t>
            </w:r>
          </w:p>
        </w:tc>
        <w:tc>
          <w:tcPr>
            <w:tcW w:w="0" w:type="dxa"/>
            <w:vAlign w:val="bottom"/>
          </w:tcPr>
          <w:p>
            <w:pPr>
              <w:spacing w:after="0"/>
              <w:rPr>
                <w:sz w:val="1"/>
                <w:szCs w:val="1"/>
                <w:color w:val="auto"/>
              </w:rPr>
            </w:pPr>
          </w:p>
        </w:tc>
      </w:tr>
      <w:tr>
        <w:trPr>
          <w:trHeight w:val="210"/>
        </w:trPr>
        <w:tc>
          <w:tcPr>
            <w:tcW w:w="640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TREASURY SHARES AS OF DECEMBER 31, 2016</w:t>
            </w:r>
          </w:p>
        </w:tc>
        <w:tc>
          <w:tcPr>
            <w:tcW w:w="214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328,913</w:t>
            </w:r>
          </w:p>
        </w:tc>
        <w:tc>
          <w:tcPr>
            <w:tcW w:w="212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(22.1)</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Treasury shares are held in order to serve performance share plans that were granted to employees in 2010, 2011, 2012, 2013, 2014 and 2016. As well as to serve share purchase option plans granted in 2008.</w:t>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(D) Fair Value Reserves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Fair value reserves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87630</wp:posOffset>
            </wp:positionV>
            <wp:extent cx="6783705" cy="32327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83705" cy="3232785"/>
                    </a:xfrm>
                    <a:prstGeom prst="rect">
                      <a:avLst/>
                    </a:prstGeom>
                    <a:noFill/>
                  </pic:spPr>
                </pic:pic>
              </a:graphicData>
            </a:graphic>
          </wp:anchor>
        </w:drawing>
      </w:r>
    </w:p>
    <w:p>
      <w:pPr>
        <w:spacing w:after="0" w:line="98"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3140" w:type="dxa"/>
            <w:vAlign w:val="bottom"/>
            <w:tcBorders>
              <w:top w:val="single" w:sz="8" w:color="2360A6"/>
              <w:right w:val="single" w:sz="8" w:color="2360A6"/>
            </w:tcBorders>
          </w:tcPr>
          <w:p>
            <w:pPr>
              <w:spacing w:after="0"/>
              <w:rPr>
                <w:sz w:val="22"/>
                <w:szCs w:val="22"/>
                <w:color w:val="auto"/>
              </w:rPr>
            </w:pPr>
          </w:p>
        </w:tc>
        <w:tc>
          <w:tcPr>
            <w:tcW w:w="1080" w:type="dxa"/>
            <w:vAlign w:val="bottom"/>
            <w:tcBorders>
              <w:top w:val="single" w:sz="8" w:color="2360A6"/>
              <w:right w:val="single" w:sz="8" w:color="2360A6"/>
            </w:tcBorders>
          </w:tcPr>
          <w:p>
            <w:pPr>
              <w:spacing w:after="0"/>
              <w:rPr>
                <w:sz w:val="22"/>
                <w:szCs w:val="22"/>
                <w:color w:val="auto"/>
              </w:rPr>
            </w:pPr>
          </w:p>
        </w:tc>
        <w:tc>
          <w:tcPr>
            <w:tcW w:w="1280" w:type="dxa"/>
            <w:vAlign w:val="bottom"/>
            <w:tcBorders>
              <w:top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Fair Value on</w:t>
            </w:r>
          </w:p>
        </w:tc>
        <w:tc>
          <w:tcPr>
            <w:tcW w:w="1500" w:type="dxa"/>
            <w:vAlign w:val="bottom"/>
            <w:tcBorders>
              <w:top w:val="single" w:sz="8" w:color="2360A6"/>
              <w:right w:val="single" w:sz="8" w:color="2360A6"/>
            </w:tcBorders>
          </w:tcPr>
          <w:p>
            <w:pPr>
              <w:spacing w:after="0"/>
              <w:rPr>
                <w:sz w:val="22"/>
                <w:szCs w:val="22"/>
                <w:color w:val="auto"/>
              </w:rPr>
            </w:pPr>
          </w:p>
        </w:tc>
        <w:tc>
          <w:tcPr>
            <w:tcW w:w="640" w:type="dxa"/>
            <w:vAlign w:val="bottom"/>
            <w:tcBorders>
              <w:top w:val="single" w:sz="8" w:color="2360A6"/>
              <w:right w:val="single" w:sz="8" w:color="2360A6"/>
            </w:tcBorders>
          </w:tcPr>
          <w:p>
            <w:pPr>
              <w:spacing w:after="0"/>
              <w:rPr>
                <w:sz w:val="22"/>
                <w:szCs w:val="22"/>
                <w:color w:val="auto"/>
              </w:rPr>
            </w:pPr>
          </w:p>
        </w:tc>
        <w:tc>
          <w:tcPr>
            <w:tcW w:w="940" w:type="dxa"/>
            <w:vAlign w:val="bottom"/>
            <w:tcBorders>
              <w:top w:val="single" w:sz="8" w:color="2360A6"/>
              <w:right w:val="single" w:sz="8" w:color="2360A6"/>
            </w:tcBorders>
          </w:tcPr>
          <w:p>
            <w:pPr>
              <w:spacing w:after="0"/>
              <w:rPr>
                <w:sz w:val="22"/>
                <w:szCs w:val="22"/>
                <w:color w:val="auto"/>
              </w:rPr>
            </w:pPr>
          </w:p>
        </w:tc>
        <w:tc>
          <w:tcPr>
            <w:tcW w:w="1160" w:type="dxa"/>
            <w:vAlign w:val="bottom"/>
            <w:tcBorders>
              <w:top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Fair Value</w:t>
            </w:r>
          </w:p>
        </w:tc>
        <w:tc>
          <w:tcPr>
            <w:tcW w:w="940" w:type="dxa"/>
            <w:vAlign w:val="bottom"/>
            <w:tcBorders>
              <w:top w:val="single" w:sz="8" w:color="2360A6"/>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140" w:type="dxa"/>
            <w:vAlign w:val="bottom"/>
            <w:tcBorders>
              <w:right w:val="single" w:sz="8" w:color="2360A6"/>
            </w:tcBorders>
          </w:tcPr>
          <w:p>
            <w:pPr>
              <w:spacing w:after="0"/>
              <w:rPr>
                <w:sz w:val="14"/>
                <w:szCs w:val="14"/>
                <w:color w:val="auto"/>
              </w:rPr>
            </w:pPr>
          </w:p>
        </w:tc>
        <w:tc>
          <w:tcPr>
            <w:tcW w:w="1080" w:type="dxa"/>
            <w:vAlign w:val="bottom"/>
            <w:tcBorders>
              <w:right w:val="single" w:sz="8" w:color="2360A6"/>
            </w:tcBorders>
          </w:tcPr>
          <w:p>
            <w:pPr>
              <w:spacing w:after="0"/>
              <w:rPr>
                <w:sz w:val="14"/>
                <w:szCs w:val="14"/>
                <w:color w:val="auto"/>
              </w:rPr>
            </w:pPr>
          </w:p>
        </w:tc>
        <w:tc>
          <w:tcPr>
            <w:tcW w:w="12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Available-For-</w:t>
            </w:r>
          </w:p>
        </w:tc>
        <w:tc>
          <w:tcPr>
            <w:tcW w:w="150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Gains/(Losses) on</w:t>
            </w:r>
          </w:p>
        </w:tc>
        <w:tc>
          <w:tcPr>
            <w:tcW w:w="640" w:type="dxa"/>
            <w:vAlign w:val="bottom"/>
            <w:tcBorders>
              <w:right w:val="single" w:sz="8" w:color="2360A6"/>
            </w:tcBorders>
          </w:tcPr>
          <w:p>
            <w:pPr>
              <w:spacing w:after="0"/>
              <w:rPr>
                <w:sz w:val="14"/>
                <w:szCs w:val="14"/>
                <w:color w:val="auto"/>
              </w:rPr>
            </w:pPr>
          </w:p>
        </w:tc>
        <w:tc>
          <w:tcPr>
            <w:tcW w:w="94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Fair Value</w:t>
            </w:r>
          </w:p>
        </w:tc>
        <w:tc>
          <w:tcPr>
            <w:tcW w:w="11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Reserves -</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Borders>
              <w:right w:val="single" w:sz="8" w:color="2360A6"/>
            </w:tcBorders>
          </w:tcPr>
          <w:p>
            <w:pPr>
              <w:spacing w:after="0"/>
              <w:rPr>
                <w:sz w:val="14"/>
                <w:szCs w:val="14"/>
                <w:color w:val="auto"/>
              </w:rPr>
            </w:pPr>
          </w:p>
        </w:tc>
        <w:tc>
          <w:tcPr>
            <w:tcW w:w="10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Cash Flow</w:t>
            </w:r>
          </w:p>
        </w:tc>
        <w:tc>
          <w:tcPr>
            <w:tcW w:w="12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Sale Financial</w:t>
            </w:r>
          </w:p>
        </w:tc>
        <w:tc>
          <w:tcPr>
            <w:tcW w:w="150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Defined Benefit</w:t>
            </w:r>
          </w:p>
        </w:tc>
        <w:tc>
          <w:tcPr>
            <w:tcW w:w="640" w:type="dxa"/>
            <w:vAlign w:val="bottom"/>
            <w:tcBorders>
              <w:right w:val="single" w:sz="8" w:color="2360A6"/>
            </w:tcBorders>
          </w:tcPr>
          <w:p>
            <w:pPr>
              <w:spacing w:after="0"/>
              <w:rPr>
                <w:sz w:val="14"/>
                <w:szCs w:val="14"/>
                <w:color w:val="auto"/>
              </w:rPr>
            </w:pPr>
          </w:p>
        </w:tc>
        <w:tc>
          <w:tcPr>
            <w:tcW w:w="94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Reserves -</w:t>
            </w:r>
          </w:p>
        </w:tc>
        <w:tc>
          <w:tcPr>
            <w:tcW w:w="11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Non-</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2360A6"/>
              </w:rPr>
              <w:t>Total Fair</w:t>
            </w:r>
          </w:p>
        </w:tc>
        <w:tc>
          <w:tcPr>
            <w:tcW w:w="0" w:type="dxa"/>
            <w:vAlign w:val="bottom"/>
          </w:tcPr>
          <w:p>
            <w:pPr>
              <w:spacing w:after="0"/>
              <w:rPr>
                <w:sz w:val="1"/>
                <w:szCs w:val="1"/>
                <w:color w:val="auto"/>
              </w:rPr>
            </w:pPr>
          </w:p>
        </w:tc>
      </w:tr>
      <w:tr>
        <w:trPr>
          <w:trHeight w:val="162"/>
        </w:trPr>
        <w:tc>
          <w:tcPr>
            <w:tcW w:w="3140" w:type="dxa"/>
            <w:vAlign w:val="bottom"/>
            <w:tcBorders>
              <w:right w:val="single" w:sz="8" w:color="2360A6"/>
            </w:tcBorders>
          </w:tcPr>
          <w:p>
            <w:pPr>
              <w:spacing w:after="0"/>
              <w:rPr>
                <w:sz w:val="14"/>
                <w:szCs w:val="14"/>
                <w:color w:val="auto"/>
              </w:rPr>
            </w:pPr>
          </w:p>
        </w:tc>
        <w:tc>
          <w:tcPr>
            <w:tcW w:w="10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Hedges</w:t>
            </w:r>
          </w:p>
        </w:tc>
        <w:tc>
          <w:tcPr>
            <w:tcW w:w="12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Assets</w:t>
            </w:r>
          </w:p>
        </w:tc>
        <w:tc>
          <w:tcPr>
            <w:tcW w:w="150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Pension Plans (IAS</w:t>
            </w:r>
          </w:p>
        </w:tc>
        <w:tc>
          <w:tcPr>
            <w:tcW w:w="640" w:type="dxa"/>
            <w:vAlign w:val="bottom"/>
            <w:tcBorders>
              <w:right w:val="single" w:sz="8" w:color="2360A6"/>
            </w:tcBorders>
          </w:tcPr>
          <w:p>
            <w:pPr>
              <w:spacing w:after="0"/>
              <w:rPr>
                <w:sz w:val="14"/>
                <w:szCs w:val="14"/>
                <w:color w:val="auto"/>
              </w:rPr>
            </w:pPr>
          </w:p>
        </w:tc>
        <w:tc>
          <w:tcPr>
            <w:tcW w:w="94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Parent</w:t>
            </w:r>
          </w:p>
        </w:tc>
        <w:tc>
          <w:tcPr>
            <w:tcW w:w="11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Controlling</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2360A6"/>
              </w:rPr>
              <w:t>Value</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0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 xml:space="preserve">(IAS 32/39) </w:t>
            </w:r>
            <w:r>
              <w:rPr>
                <w:rFonts w:ascii="Arial" w:cs="Arial" w:eastAsia="Arial" w:hAnsi="Arial"/>
                <w:sz w:val="8"/>
                <w:szCs w:val="8"/>
                <w:b w:val="1"/>
                <w:bCs w:val="1"/>
                <w:color w:val="2360A6"/>
              </w:rPr>
              <w:t>(1)</w:t>
            </w:r>
          </w:p>
        </w:tc>
        <w:tc>
          <w:tcPr>
            <w:tcW w:w="12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 xml:space="preserve">(IAS 39) </w:t>
            </w:r>
            <w:r>
              <w:rPr>
                <w:rFonts w:ascii="Arial" w:cs="Arial" w:eastAsia="Arial" w:hAnsi="Arial"/>
                <w:sz w:val="8"/>
                <w:szCs w:val="8"/>
                <w:b w:val="1"/>
                <w:bCs w:val="1"/>
                <w:color w:val="2360A6"/>
              </w:rPr>
              <w:t>(2)</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 xml:space="preserve">19R) </w:t>
            </w:r>
            <w:r>
              <w:rPr>
                <w:rFonts w:ascii="Arial" w:cs="Arial" w:eastAsia="Arial" w:hAnsi="Arial"/>
                <w:sz w:val="8"/>
                <w:szCs w:val="8"/>
                <w:b w:val="1"/>
                <w:bCs w:val="1"/>
                <w:color w:val="2360A6"/>
              </w:rPr>
              <w:t>(3)</w:t>
            </w:r>
          </w:p>
        </w:tc>
        <w:tc>
          <w:tcPr>
            <w:tcW w:w="6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Other</w:t>
            </w:r>
          </w:p>
        </w:tc>
        <w:tc>
          <w:tcPr>
            <w:tcW w:w="9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Company</w:t>
            </w:r>
          </w:p>
        </w:tc>
        <w:tc>
          <w:tcPr>
            <w:tcW w:w="11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Interests</w:t>
            </w:r>
          </w:p>
        </w:tc>
        <w:tc>
          <w:tcPr>
            <w:tcW w:w="940" w:type="dxa"/>
            <w:vAlign w:val="bottom"/>
            <w:tcBorders>
              <w:bottom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Reserves</w:t>
            </w:r>
          </w:p>
        </w:tc>
        <w:tc>
          <w:tcPr>
            <w:tcW w:w="0" w:type="dxa"/>
            <w:vAlign w:val="bottom"/>
          </w:tcPr>
          <w:p>
            <w:pPr>
              <w:spacing w:after="0"/>
              <w:rPr>
                <w:sz w:val="1"/>
                <w:szCs w:val="1"/>
                <w:color w:val="auto"/>
              </w:rPr>
            </w:pPr>
          </w:p>
        </w:tc>
      </w:tr>
      <w:tr>
        <w:trPr>
          <w:trHeight w:val="202"/>
        </w:trPr>
        <w:tc>
          <w:tcPr>
            <w:tcW w:w="3140" w:type="dxa"/>
            <w:vAlign w:val="bottom"/>
            <w:tcBorders>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Fair Value Reserves as of</w:t>
            </w:r>
          </w:p>
        </w:tc>
        <w:tc>
          <w:tcPr>
            <w:tcW w:w="1080" w:type="dxa"/>
            <w:vAlign w:val="bottom"/>
            <w:tcBorders>
              <w:right w:val="single" w:sz="8" w:color="2360A6"/>
            </w:tcBorders>
          </w:tcPr>
          <w:p>
            <w:pPr>
              <w:spacing w:after="0"/>
              <w:rPr>
                <w:sz w:val="17"/>
                <w:szCs w:val="17"/>
                <w:color w:val="auto"/>
              </w:rPr>
            </w:pPr>
          </w:p>
        </w:tc>
        <w:tc>
          <w:tcPr>
            <w:tcW w:w="1280" w:type="dxa"/>
            <w:vAlign w:val="bottom"/>
            <w:tcBorders>
              <w:right w:val="single" w:sz="8" w:color="2360A6"/>
            </w:tcBorders>
          </w:tcPr>
          <w:p>
            <w:pPr>
              <w:spacing w:after="0"/>
              <w:rPr>
                <w:sz w:val="17"/>
                <w:szCs w:val="17"/>
                <w:color w:val="auto"/>
              </w:rPr>
            </w:pPr>
          </w:p>
        </w:tc>
        <w:tc>
          <w:tcPr>
            <w:tcW w:w="1500" w:type="dxa"/>
            <w:vAlign w:val="bottom"/>
            <w:tcBorders>
              <w:right w:val="single" w:sz="8" w:color="2360A6"/>
            </w:tcBorders>
          </w:tcPr>
          <w:p>
            <w:pPr>
              <w:spacing w:after="0"/>
              <w:rPr>
                <w:sz w:val="17"/>
                <w:szCs w:val="17"/>
                <w:color w:val="auto"/>
              </w:rPr>
            </w:pPr>
          </w:p>
        </w:tc>
        <w:tc>
          <w:tcPr>
            <w:tcW w:w="640" w:type="dxa"/>
            <w:vAlign w:val="bottom"/>
            <w:tcBorders>
              <w:right w:val="single" w:sz="8" w:color="2360A6"/>
            </w:tcBorders>
          </w:tcPr>
          <w:p>
            <w:pPr>
              <w:spacing w:after="0"/>
              <w:rPr>
                <w:sz w:val="17"/>
                <w:szCs w:val="17"/>
                <w:color w:val="auto"/>
              </w:rPr>
            </w:pPr>
          </w:p>
        </w:tc>
        <w:tc>
          <w:tcPr>
            <w:tcW w:w="940" w:type="dxa"/>
            <w:vAlign w:val="bottom"/>
            <w:tcBorders>
              <w:right w:val="single" w:sz="8" w:color="2360A6"/>
            </w:tcBorders>
          </w:tcPr>
          <w:p>
            <w:pPr>
              <w:spacing w:after="0"/>
              <w:rPr>
                <w:sz w:val="17"/>
                <w:szCs w:val="17"/>
                <w:color w:val="auto"/>
              </w:rPr>
            </w:pPr>
          </w:p>
        </w:tc>
        <w:tc>
          <w:tcPr>
            <w:tcW w:w="1160" w:type="dxa"/>
            <w:vAlign w:val="bottom"/>
            <w:tcBorders>
              <w:right w:val="single" w:sz="8" w:color="2360A6"/>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January 1, 2014</w:t>
            </w:r>
          </w:p>
        </w:tc>
        <w:tc>
          <w:tcPr>
            <w:tcW w:w="10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44.2</w:t>
            </w:r>
          </w:p>
        </w:tc>
        <w:tc>
          <w:tcPr>
            <w:tcW w:w="12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(19.0)</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(20.6)</w:t>
            </w:r>
          </w:p>
        </w:tc>
        <w:tc>
          <w:tcPr>
            <w:tcW w:w="6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0.1</w:t>
            </w:r>
          </w:p>
        </w:tc>
        <w:tc>
          <w:tcPr>
            <w:tcW w:w="9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4.7</w:t>
            </w:r>
          </w:p>
        </w:tc>
        <w:tc>
          <w:tcPr>
            <w:tcW w:w="11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w:t>
            </w:r>
          </w:p>
        </w:tc>
        <w:tc>
          <w:tcPr>
            <w:tcW w:w="940" w:type="dxa"/>
            <w:vAlign w:val="bottom"/>
            <w:tcBorders>
              <w:bottom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4.7</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Gross Effect</w:t>
            </w:r>
          </w:p>
        </w:tc>
        <w:tc>
          <w:tcPr>
            <w:tcW w:w="10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(348.1)</w:t>
            </w:r>
          </w:p>
        </w:tc>
        <w:tc>
          <w:tcPr>
            <w:tcW w:w="12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19.7</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(25.7)</w:t>
            </w:r>
          </w:p>
        </w:tc>
        <w:tc>
          <w:tcPr>
            <w:tcW w:w="6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(354.1)</w:t>
            </w:r>
          </w:p>
        </w:tc>
        <w:tc>
          <w:tcPr>
            <w:tcW w:w="11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(354.1)</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Tax Effect</w:t>
            </w:r>
          </w:p>
        </w:tc>
        <w:tc>
          <w:tcPr>
            <w:tcW w:w="10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106.0</w:t>
            </w:r>
          </w:p>
        </w:tc>
        <w:tc>
          <w:tcPr>
            <w:tcW w:w="12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(0.7)</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5.2</w:t>
            </w:r>
          </w:p>
        </w:tc>
        <w:tc>
          <w:tcPr>
            <w:tcW w:w="6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110.5</w:t>
            </w:r>
          </w:p>
        </w:tc>
        <w:tc>
          <w:tcPr>
            <w:tcW w:w="11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60A6"/>
            </w:tcBorders>
          </w:tcPr>
          <w:p>
            <w:pPr>
              <w:jc w:val="right"/>
              <w:ind w:right="28"/>
              <w:spacing w:after="0"/>
              <w:rPr>
                <w:sz w:val="20"/>
                <w:szCs w:val="20"/>
                <w:color w:val="auto"/>
              </w:rPr>
            </w:pPr>
            <w:r>
              <w:rPr>
                <w:rFonts w:ascii="Arial" w:cs="Arial" w:eastAsia="Arial" w:hAnsi="Arial"/>
                <w:sz w:val="14"/>
                <w:szCs w:val="14"/>
                <w:color w:val="231F20"/>
              </w:rPr>
              <w:t>110.5</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w:t>
            </w:r>
          </w:p>
        </w:tc>
        <w:tc>
          <w:tcPr>
            <w:tcW w:w="10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0.1</w:t>
            </w:r>
          </w:p>
        </w:tc>
        <w:tc>
          <w:tcPr>
            <w:tcW w:w="12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64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(0.1)</w:t>
            </w:r>
          </w:p>
        </w:tc>
        <w:tc>
          <w:tcPr>
            <w:tcW w:w="9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60A6"/>
            </w:tcBorders>
          </w:tcPr>
          <w:p>
            <w:pPr>
              <w:jc w:val="right"/>
              <w:ind w:right="28"/>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02"/>
        </w:trPr>
        <w:tc>
          <w:tcPr>
            <w:tcW w:w="3140" w:type="dxa"/>
            <w:vAlign w:val="bottom"/>
            <w:tcBorders>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Fair Value Reserves as of</w:t>
            </w:r>
          </w:p>
        </w:tc>
        <w:tc>
          <w:tcPr>
            <w:tcW w:w="1080" w:type="dxa"/>
            <w:vAlign w:val="bottom"/>
            <w:tcBorders>
              <w:right w:val="single" w:sz="8" w:color="2360A6"/>
            </w:tcBorders>
          </w:tcPr>
          <w:p>
            <w:pPr>
              <w:spacing w:after="0"/>
              <w:rPr>
                <w:sz w:val="17"/>
                <w:szCs w:val="17"/>
                <w:color w:val="auto"/>
              </w:rPr>
            </w:pPr>
          </w:p>
        </w:tc>
        <w:tc>
          <w:tcPr>
            <w:tcW w:w="1280" w:type="dxa"/>
            <w:vAlign w:val="bottom"/>
            <w:tcBorders>
              <w:right w:val="single" w:sz="8" w:color="2360A6"/>
            </w:tcBorders>
          </w:tcPr>
          <w:p>
            <w:pPr>
              <w:spacing w:after="0"/>
              <w:rPr>
                <w:sz w:val="17"/>
                <w:szCs w:val="17"/>
                <w:color w:val="auto"/>
              </w:rPr>
            </w:pPr>
          </w:p>
        </w:tc>
        <w:tc>
          <w:tcPr>
            <w:tcW w:w="1500" w:type="dxa"/>
            <w:vAlign w:val="bottom"/>
            <w:tcBorders>
              <w:right w:val="single" w:sz="8" w:color="2360A6"/>
            </w:tcBorders>
          </w:tcPr>
          <w:p>
            <w:pPr>
              <w:spacing w:after="0"/>
              <w:rPr>
                <w:sz w:val="17"/>
                <w:szCs w:val="17"/>
                <w:color w:val="auto"/>
              </w:rPr>
            </w:pPr>
          </w:p>
        </w:tc>
        <w:tc>
          <w:tcPr>
            <w:tcW w:w="640" w:type="dxa"/>
            <w:vAlign w:val="bottom"/>
            <w:tcBorders>
              <w:right w:val="single" w:sz="8" w:color="2360A6"/>
            </w:tcBorders>
          </w:tcPr>
          <w:p>
            <w:pPr>
              <w:spacing w:after="0"/>
              <w:rPr>
                <w:sz w:val="17"/>
                <w:szCs w:val="17"/>
                <w:color w:val="auto"/>
              </w:rPr>
            </w:pPr>
          </w:p>
        </w:tc>
        <w:tc>
          <w:tcPr>
            <w:tcW w:w="940" w:type="dxa"/>
            <w:vAlign w:val="bottom"/>
            <w:tcBorders>
              <w:right w:val="single" w:sz="8" w:color="2360A6"/>
            </w:tcBorders>
          </w:tcPr>
          <w:p>
            <w:pPr>
              <w:spacing w:after="0"/>
              <w:rPr>
                <w:sz w:val="17"/>
                <w:szCs w:val="17"/>
                <w:color w:val="auto"/>
              </w:rPr>
            </w:pPr>
          </w:p>
        </w:tc>
        <w:tc>
          <w:tcPr>
            <w:tcW w:w="1160" w:type="dxa"/>
            <w:vAlign w:val="bottom"/>
            <w:tcBorders>
              <w:right w:val="single" w:sz="8" w:color="2360A6"/>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December 31, 2014</w:t>
            </w:r>
          </w:p>
        </w:tc>
        <w:tc>
          <w:tcPr>
            <w:tcW w:w="10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(197.8)</w:t>
            </w:r>
          </w:p>
        </w:tc>
        <w:tc>
          <w:tcPr>
            <w:tcW w:w="12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(41.1)</w:t>
            </w:r>
          </w:p>
        </w:tc>
        <w:tc>
          <w:tcPr>
            <w:tcW w:w="6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(238.9)</w:t>
            </w:r>
          </w:p>
        </w:tc>
        <w:tc>
          <w:tcPr>
            <w:tcW w:w="11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w:t>
            </w:r>
          </w:p>
        </w:tc>
        <w:tc>
          <w:tcPr>
            <w:tcW w:w="94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(238.9)</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Gross Effect</w:t>
            </w:r>
          </w:p>
        </w:tc>
        <w:tc>
          <w:tcPr>
            <w:tcW w:w="10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(79.3)</w:t>
            </w:r>
          </w:p>
        </w:tc>
        <w:tc>
          <w:tcPr>
            <w:tcW w:w="12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17.1</w:t>
            </w:r>
          </w:p>
        </w:tc>
        <w:tc>
          <w:tcPr>
            <w:tcW w:w="6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(62.2)</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(11.7)</w:t>
            </w:r>
          </w:p>
        </w:tc>
        <w:tc>
          <w:tcPr>
            <w:tcW w:w="9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(73.9)</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Tax Effect</w:t>
            </w:r>
          </w:p>
        </w:tc>
        <w:tc>
          <w:tcPr>
            <w:tcW w:w="10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18.4</w:t>
            </w:r>
          </w:p>
        </w:tc>
        <w:tc>
          <w:tcPr>
            <w:tcW w:w="12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(4.9)</w:t>
            </w:r>
          </w:p>
        </w:tc>
        <w:tc>
          <w:tcPr>
            <w:tcW w:w="6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13.5</w:t>
            </w:r>
          </w:p>
        </w:tc>
        <w:tc>
          <w:tcPr>
            <w:tcW w:w="11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60A6"/>
            </w:tcBorders>
          </w:tcPr>
          <w:p>
            <w:pPr>
              <w:jc w:val="right"/>
              <w:ind w:right="28"/>
              <w:spacing w:after="0"/>
              <w:rPr>
                <w:sz w:val="20"/>
                <w:szCs w:val="20"/>
                <w:color w:val="auto"/>
              </w:rPr>
            </w:pPr>
            <w:r>
              <w:rPr>
                <w:rFonts w:ascii="Arial" w:cs="Arial" w:eastAsia="Arial" w:hAnsi="Arial"/>
                <w:sz w:val="14"/>
                <w:szCs w:val="14"/>
                <w:color w:val="231F20"/>
              </w:rPr>
              <w:t>13.5</w:t>
            </w:r>
          </w:p>
        </w:tc>
        <w:tc>
          <w:tcPr>
            <w:tcW w:w="0" w:type="dxa"/>
            <w:vAlign w:val="bottom"/>
          </w:tcPr>
          <w:p>
            <w:pPr>
              <w:spacing w:after="0"/>
              <w:rPr>
                <w:sz w:val="1"/>
                <w:szCs w:val="1"/>
                <w:color w:val="auto"/>
              </w:rPr>
            </w:pPr>
          </w:p>
        </w:tc>
      </w:tr>
      <w:tr>
        <w:trPr>
          <w:trHeight w:val="202"/>
        </w:trPr>
        <w:tc>
          <w:tcPr>
            <w:tcW w:w="3140" w:type="dxa"/>
            <w:vAlign w:val="bottom"/>
            <w:tcBorders>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Fair Value Reserves as of</w:t>
            </w:r>
          </w:p>
        </w:tc>
        <w:tc>
          <w:tcPr>
            <w:tcW w:w="1080" w:type="dxa"/>
            <w:vAlign w:val="bottom"/>
            <w:tcBorders>
              <w:right w:val="single" w:sz="8" w:color="2360A6"/>
            </w:tcBorders>
          </w:tcPr>
          <w:p>
            <w:pPr>
              <w:spacing w:after="0"/>
              <w:rPr>
                <w:sz w:val="17"/>
                <w:szCs w:val="17"/>
                <w:color w:val="auto"/>
              </w:rPr>
            </w:pPr>
          </w:p>
        </w:tc>
        <w:tc>
          <w:tcPr>
            <w:tcW w:w="1280" w:type="dxa"/>
            <w:vAlign w:val="bottom"/>
            <w:tcBorders>
              <w:right w:val="single" w:sz="8" w:color="2360A6"/>
            </w:tcBorders>
          </w:tcPr>
          <w:p>
            <w:pPr>
              <w:spacing w:after="0"/>
              <w:rPr>
                <w:sz w:val="17"/>
                <w:szCs w:val="17"/>
                <w:color w:val="auto"/>
              </w:rPr>
            </w:pPr>
          </w:p>
        </w:tc>
        <w:tc>
          <w:tcPr>
            <w:tcW w:w="1500" w:type="dxa"/>
            <w:vAlign w:val="bottom"/>
            <w:tcBorders>
              <w:right w:val="single" w:sz="8" w:color="2360A6"/>
            </w:tcBorders>
          </w:tcPr>
          <w:p>
            <w:pPr>
              <w:spacing w:after="0"/>
              <w:rPr>
                <w:sz w:val="17"/>
                <w:szCs w:val="17"/>
                <w:color w:val="auto"/>
              </w:rPr>
            </w:pPr>
          </w:p>
        </w:tc>
        <w:tc>
          <w:tcPr>
            <w:tcW w:w="640" w:type="dxa"/>
            <w:vAlign w:val="bottom"/>
            <w:tcBorders>
              <w:right w:val="single" w:sz="8" w:color="2360A6"/>
            </w:tcBorders>
          </w:tcPr>
          <w:p>
            <w:pPr>
              <w:spacing w:after="0"/>
              <w:rPr>
                <w:sz w:val="17"/>
                <w:szCs w:val="17"/>
                <w:color w:val="auto"/>
              </w:rPr>
            </w:pPr>
          </w:p>
        </w:tc>
        <w:tc>
          <w:tcPr>
            <w:tcW w:w="940" w:type="dxa"/>
            <w:vAlign w:val="bottom"/>
            <w:tcBorders>
              <w:right w:val="single" w:sz="8" w:color="2360A6"/>
            </w:tcBorders>
          </w:tcPr>
          <w:p>
            <w:pPr>
              <w:spacing w:after="0"/>
              <w:rPr>
                <w:sz w:val="17"/>
                <w:szCs w:val="17"/>
                <w:color w:val="auto"/>
              </w:rPr>
            </w:pPr>
          </w:p>
        </w:tc>
        <w:tc>
          <w:tcPr>
            <w:tcW w:w="1160" w:type="dxa"/>
            <w:vAlign w:val="bottom"/>
            <w:tcBorders>
              <w:right w:val="single" w:sz="8" w:color="2360A6"/>
            </w:tcBorders>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December 31, 2015</w:t>
            </w:r>
          </w:p>
        </w:tc>
        <w:tc>
          <w:tcPr>
            <w:tcW w:w="10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(258.7)</w:t>
            </w:r>
          </w:p>
        </w:tc>
        <w:tc>
          <w:tcPr>
            <w:tcW w:w="12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(28.9)</w:t>
            </w:r>
          </w:p>
        </w:tc>
        <w:tc>
          <w:tcPr>
            <w:tcW w:w="6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(287.6)</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(11.7)</w:t>
            </w:r>
          </w:p>
        </w:tc>
        <w:tc>
          <w:tcPr>
            <w:tcW w:w="94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(299.3)</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Gross Effect</w:t>
            </w:r>
          </w:p>
        </w:tc>
        <w:tc>
          <w:tcPr>
            <w:tcW w:w="10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188.9</w:t>
            </w:r>
          </w:p>
        </w:tc>
        <w:tc>
          <w:tcPr>
            <w:tcW w:w="12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5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(3.7)</w:t>
            </w:r>
          </w:p>
        </w:tc>
        <w:tc>
          <w:tcPr>
            <w:tcW w:w="6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185.2</w:t>
            </w:r>
          </w:p>
        </w:tc>
        <w:tc>
          <w:tcPr>
            <w:tcW w:w="11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11.7</w:t>
            </w:r>
          </w:p>
        </w:tc>
        <w:tc>
          <w:tcPr>
            <w:tcW w:w="940" w:type="dxa"/>
            <w:vAlign w:val="bottom"/>
            <w:tcBorders>
              <w:bottom w:val="single" w:sz="8" w:color="2360A6"/>
            </w:tcBorders>
          </w:tcPr>
          <w:p>
            <w:pPr>
              <w:jc w:val="right"/>
              <w:ind w:right="28"/>
              <w:spacing w:after="0"/>
              <w:rPr>
                <w:sz w:val="20"/>
                <w:szCs w:val="20"/>
                <w:color w:val="auto"/>
              </w:rPr>
            </w:pPr>
            <w:r>
              <w:rPr>
                <w:rFonts w:ascii="Arial" w:cs="Arial" w:eastAsia="Arial" w:hAnsi="Arial"/>
                <w:sz w:val="14"/>
                <w:szCs w:val="14"/>
                <w:color w:val="231F20"/>
              </w:rPr>
              <w:t>196.9</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Tax Effect</w:t>
            </w:r>
          </w:p>
        </w:tc>
        <w:tc>
          <w:tcPr>
            <w:tcW w:w="10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(53.2)</w:t>
            </w:r>
          </w:p>
        </w:tc>
        <w:tc>
          <w:tcPr>
            <w:tcW w:w="12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5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1.2</w:t>
            </w:r>
          </w:p>
        </w:tc>
        <w:tc>
          <w:tcPr>
            <w:tcW w:w="6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(52.0)</w:t>
            </w:r>
          </w:p>
        </w:tc>
        <w:tc>
          <w:tcPr>
            <w:tcW w:w="11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9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(52.0)</w:t>
            </w:r>
          </w:p>
        </w:tc>
        <w:tc>
          <w:tcPr>
            <w:tcW w:w="0" w:type="dxa"/>
            <w:vAlign w:val="bottom"/>
          </w:tcPr>
          <w:p>
            <w:pPr>
              <w:spacing w:after="0"/>
              <w:rPr>
                <w:sz w:val="1"/>
                <w:szCs w:val="1"/>
                <w:color w:val="auto"/>
              </w:rPr>
            </w:pPr>
          </w:p>
        </w:tc>
      </w:tr>
      <w:tr>
        <w:trPr>
          <w:trHeight w:val="175"/>
        </w:trPr>
        <w:tc>
          <w:tcPr>
            <w:tcW w:w="3140" w:type="dxa"/>
            <w:vAlign w:val="bottom"/>
            <w:tcBorders>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FAIR VALUE RESERVES AS OF DECEMBER</w:t>
            </w:r>
          </w:p>
        </w:tc>
        <w:tc>
          <w:tcPr>
            <w:tcW w:w="1080" w:type="dxa"/>
            <w:vAlign w:val="bottom"/>
            <w:tcBorders>
              <w:right w:val="single" w:sz="8" w:color="2360A6"/>
            </w:tcBorders>
            <w:vMerge w:val="restart"/>
            <w:shd w:val="clear" w:color="auto" w:fill="D2DEEC"/>
          </w:tcPr>
          <w:p>
            <w:pPr>
              <w:jc w:val="right"/>
              <w:ind w:right="28"/>
              <w:spacing w:after="0"/>
              <w:rPr>
                <w:sz w:val="20"/>
                <w:szCs w:val="20"/>
                <w:color w:val="auto"/>
              </w:rPr>
            </w:pPr>
            <w:r>
              <w:rPr>
                <w:rFonts w:ascii="Arial" w:cs="Arial" w:eastAsia="Arial" w:hAnsi="Arial"/>
                <w:sz w:val="14"/>
                <w:szCs w:val="14"/>
                <w:b w:val="1"/>
                <w:bCs w:val="1"/>
                <w:color w:val="2360A6"/>
              </w:rPr>
              <w:t>(123.0)</w:t>
            </w:r>
          </w:p>
        </w:tc>
        <w:tc>
          <w:tcPr>
            <w:tcW w:w="1280" w:type="dxa"/>
            <w:vAlign w:val="bottom"/>
            <w:tcBorders>
              <w:right w:val="single" w:sz="8" w:color="2360A6"/>
            </w:tcBorders>
            <w:vMerge w:val="restart"/>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w:t>
            </w:r>
          </w:p>
        </w:tc>
        <w:tc>
          <w:tcPr>
            <w:tcW w:w="1500" w:type="dxa"/>
            <w:vAlign w:val="bottom"/>
            <w:tcBorders>
              <w:right w:val="single" w:sz="8" w:color="2360A6"/>
            </w:tcBorders>
            <w:vMerge w:val="restart"/>
            <w:shd w:val="clear" w:color="auto" w:fill="D2DEEC"/>
          </w:tcPr>
          <w:p>
            <w:pPr>
              <w:jc w:val="right"/>
              <w:ind w:right="28"/>
              <w:spacing w:after="0"/>
              <w:rPr>
                <w:sz w:val="20"/>
                <w:szCs w:val="20"/>
                <w:color w:val="auto"/>
              </w:rPr>
            </w:pPr>
            <w:r>
              <w:rPr>
                <w:rFonts w:ascii="Arial" w:cs="Arial" w:eastAsia="Arial" w:hAnsi="Arial"/>
                <w:sz w:val="14"/>
                <w:szCs w:val="14"/>
                <w:b w:val="1"/>
                <w:bCs w:val="1"/>
                <w:color w:val="2360A6"/>
              </w:rPr>
              <w:t>(31.4)</w:t>
            </w:r>
          </w:p>
        </w:tc>
        <w:tc>
          <w:tcPr>
            <w:tcW w:w="640" w:type="dxa"/>
            <w:vAlign w:val="bottom"/>
            <w:tcBorders>
              <w:right w:val="single" w:sz="8" w:color="2360A6"/>
            </w:tcBorders>
            <w:vMerge w:val="restart"/>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w:t>
            </w:r>
          </w:p>
        </w:tc>
        <w:tc>
          <w:tcPr>
            <w:tcW w:w="940" w:type="dxa"/>
            <w:vAlign w:val="bottom"/>
            <w:tcBorders>
              <w:right w:val="single" w:sz="8" w:color="2360A6"/>
            </w:tcBorders>
            <w:vMerge w:val="restart"/>
            <w:shd w:val="clear" w:color="auto" w:fill="D2DEEC"/>
          </w:tcPr>
          <w:p>
            <w:pPr>
              <w:jc w:val="right"/>
              <w:spacing w:after="0"/>
              <w:rPr>
                <w:sz w:val="20"/>
                <w:szCs w:val="20"/>
                <w:color w:val="auto"/>
              </w:rPr>
            </w:pPr>
            <w:r>
              <w:rPr>
                <w:rFonts w:ascii="Arial" w:cs="Arial" w:eastAsia="Arial" w:hAnsi="Arial"/>
                <w:sz w:val="14"/>
                <w:szCs w:val="14"/>
                <w:b w:val="1"/>
                <w:bCs w:val="1"/>
                <w:color w:val="2360A6"/>
              </w:rPr>
              <w:t>(154.4)</w:t>
            </w:r>
          </w:p>
        </w:tc>
        <w:tc>
          <w:tcPr>
            <w:tcW w:w="1160" w:type="dxa"/>
            <w:vAlign w:val="bottom"/>
            <w:tcBorders>
              <w:right w:val="single" w:sz="8" w:color="2360A6"/>
            </w:tcBorders>
            <w:vMerge w:val="restart"/>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w:t>
            </w:r>
          </w:p>
        </w:tc>
        <w:tc>
          <w:tcPr>
            <w:tcW w:w="940" w:type="dxa"/>
            <w:vAlign w:val="bottom"/>
            <w:vMerge w:val="restart"/>
            <w:shd w:val="clear" w:color="auto" w:fill="D2DEEC"/>
          </w:tcPr>
          <w:p>
            <w:pPr>
              <w:jc w:val="right"/>
              <w:spacing w:after="0"/>
              <w:rPr>
                <w:sz w:val="20"/>
                <w:szCs w:val="20"/>
                <w:color w:val="auto"/>
              </w:rPr>
            </w:pPr>
            <w:r>
              <w:rPr>
                <w:rFonts w:ascii="Arial" w:cs="Arial" w:eastAsia="Arial" w:hAnsi="Arial"/>
                <w:sz w:val="14"/>
                <w:szCs w:val="14"/>
                <w:b w:val="1"/>
                <w:bCs w:val="1"/>
                <w:color w:val="2360A6"/>
              </w:rPr>
              <w:t>(154.4)</w:t>
            </w:r>
          </w:p>
        </w:tc>
        <w:tc>
          <w:tcPr>
            <w:tcW w:w="0" w:type="dxa"/>
            <w:vAlign w:val="bottom"/>
          </w:tcPr>
          <w:p>
            <w:pPr>
              <w:spacing w:after="0"/>
              <w:rPr>
                <w:sz w:val="1"/>
                <w:szCs w:val="1"/>
                <w:color w:val="auto"/>
              </w:rPr>
            </w:pPr>
          </w:p>
        </w:tc>
      </w:tr>
      <w:tr>
        <w:trPr>
          <w:trHeight w:val="109"/>
        </w:trPr>
        <w:tc>
          <w:tcPr>
            <w:tcW w:w="3140" w:type="dxa"/>
            <w:vAlign w:val="bottom"/>
            <w:tcBorders>
              <w:right w:val="single" w:sz="8" w:color="2360A6"/>
            </w:tcBorders>
            <w:vMerge w:val="restart"/>
            <w:shd w:val="clear" w:color="auto" w:fill="D2DEEC"/>
          </w:tcPr>
          <w:p>
            <w:pPr>
              <w:ind w:left="40"/>
              <w:spacing w:after="0"/>
              <w:rPr>
                <w:sz w:val="20"/>
                <w:szCs w:val="20"/>
                <w:color w:val="auto"/>
              </w:rPr>
            </w:pPr>
            <w:r>
              <w:rPr>
                <w:rFonts w:ascii="Arial" w:cs="Arial" w:eastAsia="Arial" w:hAnsi="Arial"/>
                <w:sz w:val="14"/>
                <w:szCs w:val="14"/>
                <w:b w:val="1"/>
                <w:bCs w:val="1"/>
                <w:color w:val="2360A6"/>
              </w:rPr>
              <w:t>31, 2016</w:t>
            </w:r>
          </w:p>
        </w:tc>
        <w:tc>
          <w:tcPr>
            <w:tcW w:w="1080" w:type="dxa"/>
            <w:vAlign w:val="bottom"/>
            <w:tcBorders>
              <w:right w:val="single" w:sz="8" w:color="2360A6"/>
            </w:tcBorders>
            <w:vMerge w:val="continue"/>
            <w:shd w:val="clear" w:color="auto" w:fill="D2DEEC"/>
          </w:tcPr>
          <w:p>
            <w:pPr>
              <w:spacing w:after="0"/>
              <w:rPr>
                <w:sz w:val="9"/>
                <w:szCs w:val="9"/>
                <w:color w:val="auto"/>
              </w:rPr>
            </w:pPr>
          </w:p>
        </w:tc>
        <w:tc>
          <w:tcPr>
            <w:tcW w:w="1280" w:type="dxa"/>
            <w:vAlign w:val="bottom"/>
            <w:tcBorders>
              <w:right w:val="single" w:sz="8" w:color="2360A6"/>
            </w:tcBorders>
            <w:vMerge w:val="continue"/>
            <w:shd w:val="clear" w:color="auto" w:fill="D2DEEC"/>
          </w:tcPr>
          <w:p>
            <w:pPr>
              <w:spacing w:after="0"/>
              <w:rPr>
                <w:sz w:val="9"/>
                <w:szCs w:val="9"/>
                <w:color w:val="auto"/>
              </w:rPr>
            </w:pPr>
          </w:p>
        </w:tc>
        <w:tc>
          <w:tcPr>
            <w:tcW w:w="1500" w:type="dxa"/>
            <w:vAlign w:val="bottom"/>
            <w:tcBorders>
              <w:right w:val="single" w:sz="8" w:color="2360A6"/>
            </w:tcBorders>
            <w:vMerge w:val="continue"/>
            <w:shd w:val="clear" w:color="auto" w:fill="D2DEEC"/>
          </w:tcPr>
          <w:p>
            <w:pPr>
              <w:spacing w:after="0"/>
              <w:rPr>
                <w:sz w:val="9"/>
                <w:szCs w:val="9"/>
                <w:color w:val="auto"/>
              </w:rPr>
            </w:pPr>
          </w:p>
        </w:tc>
        <w:tc>
          <w:tcPr>
            <w:tcW w:w="640" w:type="dxa"/>
            <w:vAlign w:val="bottom"/>
            <w:tcBorders>
              <w:right w:val="single" w:sz="8" w:color="2360A6"/>
            </w:tcBorders>
            <w:vMerge w:val="continue"/>
            <w:shd w:val="clear" w:color="auto" w:fill="D2DEEC"/>
          </w:tcPr>
          <w:p>
            <w:pPr>
              <w:spacing w:after="0"/>
              <w:rPr>
                <w:sz w:val="9"/>
                <w:szCs w:val="9"/>
                <w:color w:val="auto"/>
              </w:rPr>
            </w:pPr>
          </w:p>
        </w:tc>
        <w:tc>
          <w:tcPr>
            <w:tcW w:w="940" w:type="dxa"/>
            <w:vAlign w:val="bottom"/>
            <w:tcBorders>
              <w:right w:val="single" w:sz="8" w:color="2360A6"/>
            </w:tcBorders>
            <w:vMerge w:val="continue"/>
            <w:shd w:val="clear" w:color="auto" w:fill="D2DEEC"/>
          </w:tcPr>
          <w:p>
            <w:pPr>
              <w:spacing w:after="0"/>
              <w:rPr>
                <w:sz w:val="9"/>
                <w:szCs w:val="9"/>
                <w:color w:val="auto"/>
              </w:rPr>
            </w:pPr>
          </w:p>
        </w:tc>
        <w:tc>
          <w:tcPr>
            <w:tcW w:w="1160" w:type="dxa"/>
            <w:vAlign w:val="bottom"/>
            <w:tcBorders>
              <w:right w:val="single" w:sz="8" w:color="2360A6"/>
            </w:tcBorders>
            <w:vMerge w:val="continue"/>
            <w:shd w:val="clear" w:color="auto" w:fill="D2DEEC"/>
          </w:tcPr>
          <w:p>
            <w:pPr>
              <w:spacing w:after="0"/>
              <w:rPr>
                <w:sz w:val="9"/>
                <w:szCs w:val="9"/>
                <w:color w:val="auto"/>
              </w:rPr>
            </w:pPr>
          </w:p>
        </w:tc>
        <w:tc>
          <w:tcPr>
            <w:tcW w:w="940" w:type="dxa"/>
            <w:vAlign w:val="bottom"/>
            <w:vMerge w:val="continue"/>
            <w:shd w:val="clear" w:color="auto" w:fill="D2DEEC"/>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140" w:type="dxa"/>
            <w:vAlign w:val="bottom"/>
            <w:tcBorders>
              <w:bottom w:val="single" w:sz="8" w:color="2360A6"/>
              <w:right w:val="single" w:sz="8" w:color="2360A6"/>
            </w:tcBorders>
            <w:vMerge w:val="continue"/>
            <w:shd w:val="clear" w:color="auto" w:fill="D2DEEC"/>
          </w:tcPr>
          <w:p>
            <w:pPr>
              <w:spacing w:after="0"/>
              <w:rPr>
                <w:sz w:val="7"/>
                <w:szCs w:val="7"/>
                <w:color w:val="auto"/>
              </w:rPr>
            </w:pPr>
          </w:p>
        </w:tc>
        <w:tc>
          <w:tcPr>
            <w:tcW w:w="1080" w:type="dxa"/>
            <w:vAlign w:val="bottom"/>
            <w:tcBorders>
              <w:bottom w:val="single" w:sz="8" w:color="2360A6"/>
              <w:right w:val="single" w:sz="8" w:color="2360A6"/>
            </w:tcBorders>
            <w:shd w:val="clear" w:color="auto" w:fill="D2DEEC"/>
          </w:tcPr>
          <w:p>
            <w:pPr>
              <w:spacing w:after="0"/>
              <w:rPr>
                <w:sz w:val="7"/>
                <w:szCs w:val="7"/>
                <w:color w:val="auto"/>
              </w:rPr>
            </w:pPr>
          </w:p>
        </w:tc>
        <w:tc>
          <w:tcPr>
            <w:tcW w:w="1280" w:type="dxa"/>
            <w:vAlign w:val="bottom"/>
            <w:tcBorders>
              <w:bottom w:val="single" w:sz="8" w:color="2360A6"/>
              <w:right w:val="single" w:sz="8" w:color="2360A6"/>
            </w:tcBorders>
            <w:shd w:val="clear" w:color="auto" w:fill="D2DEEC"/>
          </w:tcPr>
          <w:p>
            <w:pPr>
              <w:spacing w:after="0"/>
              <w:rPr>
                <w:sz w:val="7"/>
                <w:szCs w:val="7"/>
                <w:color w:val="auto"/>
              </w:rPr>
            </w:pPr>
          </w:p>
        </w:tc>
        <w:tc>
          <w:tcPr>
            <w:tcW w:w="1500" w:type="dxa"/>
            <w:vAlign w:val="bottom"/>
            <w:tcBorders>
              <w:bottom w:val="single" w:sz="8" w:color="2360A6"/>
              <w:right w:val="single" w:sz="8" w:color="2360A6"/>
            </w:tcBorders>
            <w:shd w:val="clear" w:color="auto" w:fill="D2DEEC"/>
          </w:tcPr>
          <w:p>
            <w:pPr>
              <w:spacing w:after="0"/>
              <w:rPr>
                <w:sz w:val="7"/>
                <w:szCs w:val="7"/>
                <w:color w:val="auto"/>
              </w:rPr>
            </w:pPr>
          </w:p>
        </w:tc>
        <w:tc>
          <w:tcPr>
            <w:tcW w:w="640" w:type="dxa"/>
            <w:vAlign w:val="bottom"/>
            <w:tcBorders>
              <w:bottom w:val="single" w:sz="8" w:color="2360A6"/>
              <w:right w:val="single" w:sz="8" w:color="2360A6"/>
            </w:tcBorders>
            <w:shd w:val="clear" w:color="auto" w:fill="D2DEEC"/>
          </w:tcPr>
          <w:p>
            <w:pPr>
              <w:spacing w:after="0"/>
              <w:rPr>
                <w:sz w:val="7"/>
                <w:szCs w:val="7"/>
                <w:color w:val="auto"/>
              </w:rPr>
            </w:pPr>
          </w:p>
        </w:tc>
        <w:tc>
          <w:tcPr>
            <w:tcW w:w="940" w:type="dxa"/>
            <w:vAlign w:val="bottom"/>
            <w:tcBorders>
              <w:bottom w:val="single" w:sz="8" w:color="2360A6"/>
              <w:right w:val="single" w:sz="8" w:color="2360A6"/>
            </w:tcBorders>
            <w:shd w:val="clear" w:color="auto" w:fill="D2DEEC"/>
          </w:tcPr>
          <w:p>
            <w:pPr>
              <w:spacing w:after="0"/>
              <w:rPr>
                <w:sz w:val="7"/>
                <w:szCs w:val="7"/>
                <w:color w:val="auto"/>
              </w:rPr>
            </w:pPr>
          </w:p>
        </w:tc>
        <w:tc>
          <w:tcPr>
            <w:tcW w:w="1160" w:type="dxa"/>
            <w:vAlign w:val="bottom"/>
            <w:tcBorders>
              <w:bottom w:val="single" w:sz="8" w:color="2360A6"/>
              <w:right w:val="single" w:sz="8" w:color="2360A6"/>
            </w:tcBorders>
            <w:shd w:val="clear" w:color="auto" w:fill="D2DEEC"/>
          </w:tcPr>
          <w:p>
            <w:pPr>
              <w:spacing w:after="0"/>
              <w:rPr>
                <w:sz w:val="7"/>
                <w:szCs w:val="7"/>
                <w:color w:val="auto"/>
              </w:rPr>
            </w:pPr>
          </w:p>
        </w:tc>
        <w:tc>
          <w:tcPr>
            <w:tcW w:w="940" w:type="dxa"/>
            <w:vAlign w:val="bottom"/>
            <w:tcBorders>
              <w:bottom w:val="single" w:sz="8" w:color="2360A6"/>
            </w:tcBorders>
            <w:shd w:val="clear" w:color="auto" w:fill="D2DEEC"/>
          </w:tcPr>
          <w:p>
            <w:pPr>
              <w:spacing w:after="0"/>
              <w:rPr>
                <w:sz w:val="7"/>
                <w:szCs w:val="7"/>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jc w:val="both"/>
        <w:ind w:left="340" w:right="380"/>
        <w:spacing w:after="0" w:line="234" w:lineRule="auto"/>
        <w:rPr>
          <w:sz w:val="20"/>
          <w:szCs w:val="20"/>
          <w:color w:val="auto"/>
        </w:rPr>
      </w:pPr>
      <w:r>
        <w:rPr>
          <w:rFonts w:ascii="Arial" w:cs="Arial" w:eastAsia="Arial" w:hAnsi="Arial"/>
          <w:sz w:val="9"/>
          <w:szCs w:val="9"/>
          <w:color w:val="231F20"/>
        </w:rPr>
        <w:t xml:space="preserve">(1) </w:t>
      </w:r>
      <w:r>
        <w:rPr>
          <w:rFonts w:ascii="Arial" w:cs="Arial" w:eastAsia="Arial" w:hAnsi="Arial"/>
          <w:sz w:val="12"/>
          <w:szCs w:val="12"/>
          <w:color w:val="231F20"/>
        </w:rPr>
        <w:t>Recorded under this heading is the efficient portion of the change in fair value of the financial instruments qualified as cash flow hedging, as well as foreign exchange gains and losses</w:t>
      </w:r>
      <w:r>
        <w:rPr>
          <w:rFonts w:ascii="Arial" w:cs="Arial" w:eastAsia="Arial" w:hAnsi="Arial"/>
          <w:sz w:val="9"/>
          <w:szCs w:val="9"/>
          <w:color w:val="231F20"/>
        </w:rPr>
        <w:t xml:space="preserve"> </w:t>
      </w:r>
      <w:r>
        <w:rPr>
          <w:rFonts w:ascii="Arial" w:cs="Arial" w:eastAsia="Arial" w:hAnsi="Arial"/>
          <w:sz w:val="12"/>
          <w:szCs w:val="12"/>
          <w:color w:val="231F20"/>
        </w:rPr>
        <w:t>corresponding to the effective portion of non-derivative financial assets or liabilities that are designated as a hedge of a foreign currency risk (see Note 1-C (c) - Foreign currency transactions and financial instruments).</w:t>
      </w:r>
    </w:p>
    <w:p>
      <w:pPr>
        <w:spacing w:after="0" w:line="2" w:lineRule="exact"/>
        <w:rPr>
          <w:sz w:val="20"/>
          <w:szCs w:val="20"/>
          <w:color w:val="auto"/>
        </w:rPr>
      </w:pPr>
    </w:p>
    <w:p>
      <w:pPr>
        <w:jc w:val="both"/>
        <w:ind w:left="340" w:right="380"/>
        <w:spacing w:after="0" w:line="234" w:lineRule="auto"/>
        <w:rPr>
          <w:sz w:val="20"/>
          <w:szCs w:val="20"/>
          <w:color w:val="auto"/>
        </w:rPr>
      </w:pPr>
      <w:r>
        <w:rPr>
          <w:rFonts w:ascii="Arial" w:cs="Arial" w:eastAsia="Arial" w:hAnsi="Arial"/>
          <w:sz w:val="9"/>
          <w:szCs w:val="9"/>
          <w:color w:val="231F20"/>
        </w:rPr>
        <w:t xml:space="preserve">(2) </w:t>
      </w:r>
      <w:r>
        <w:rPr>
          <w:rFonts w:ascii="Arial" w:cs="Arial" w:eastAsia="Arial" w:hAnsi="Arial"/>
          <w:sz w:val="12"/>
          <w:szCs w:val="12"/>
          <w:color w:val="231F20"/>
        </w:rPr>
        <w:t>Corresponding to the revaluation as of December 31, 2014 of MHB shares which were depreciated with the reversal of associated fair value reserves (see Note 13 - Available-for-sale</w:t>
      </w:r>
      <w:r>
        <w:rPr>
          <w:rFonts w:ascii="Arial" w:cs="Arial" w:eastAsia="Arial" w:hAnsi="Arial"/>
          <w:sz w:val="9"/>
          <w:szCs w:val="9"/>
          <w:color w:val="231F20"/>
        </w:rPr>
        <w:t xml:space="preserve"> </w:t>
      </w:r>
      <w:r>
        <w:rPr>
          <w:rFonts w:ascii="Arial" w:cs="Arial" w:eastAsia="Arial" w:hAnsi="Arial"/>
          <w:sz w:val="12"/>
          <w:szCs w:val="12"/>
          <w:color w:val="231F20"/>
        </w:rPr>
        <w:t>financial assets).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9"/>
          <w:szCs w:val="9"/>
          <w:color w:val="231F20"/>
        </w:rPr>
        <w:t xml:space="preserve">(3) </w:t>
      </w:r>
      <w:r>
        <w:rPr>
          <w:rFonts w:ascii="Arial" w:cs="Arial" w:eastAsia="Arial" w:hAnsi="Arial"/>
          <w:sz w:val="12"/>
          <w:szCs w:val="12"/>
          <w:color w:val="231F20"/>
        </w:rPr>
        <w:t>Recorded under this heading the total amount of actuarial gains and losses on Defined Benefit Plans according to the amended IAS 19.</w:t>
      </w:r>
    </w:p>
    <w:p>
      <w:pPr>
        <w:sectPr>
          <w:pgSz w:w="11900" w:h="16838" w:orient="portrait"/>
          <w:cols w:equalWidth="0" w:num="1">
            <w:col w:w="11320"/>
          </w:cols>
          <w:pgMar w:left="320" w:top="676" w:right="259" w:bottom="1440" w:gutter="0" w:footer="0" w:header="0"/>
        </w:sectPr>
      </w:pPr>
    </w:p>
    <w:bookmarkStart w:id="127" w:name="page128"/>
    <w:bookmarkEnd w:id="127"/>
    <w:p>
      <w:pPr>
        <w:spacing w:after="0"/>
        <w:rPr>
          <w:sz w:val="20"/>
          <w:szCs w:val="20"/>
          <w:color w:val="auto"/>
        </w:rPr>
      </w:pPr>
      <w:r>
        <w:rPr>
          <w:rFonts w:ascii="Arial" w:cs="Arial" w:eastAsia="Arial" w:hAnsi="Arial"/>
          <w:sz w:val="25"/>
          <w:szCs w:val="25"/>
          <w:b w:val="1"/>
          <w:bCs w:val="1"/>
          <w:color w:val="231F20"/>
        </w:rPr>
        <w:t>(E) Distributable Retained Earnings</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As of December 31, 2016, distributable retained earnings of the parent company amounted to €2,581.2 million, including €2,243.9 million of share capital premiums.</w:t>
      </w:r>
    </w:p>
    <w:p>
      <w:pPr>
        <w:spacing w:after="0" w:line="196" w:lineRule="exact"/>
        <w:rPr>
          <w:sz w:val="20"/>
          <w:szCs w:val="20"/>
          <w:color w:val="auto"/>
        </w:rPr>
      </w:pPr>
    </w:p>
    <w:p>
      <w:pPr>
        <w:jc w:val="both"/>
        <w:ind w:left="40"/>
        <w:spacing w:after="0" w:line="260" w:lineRule="auto"/>
        <w:rPr>
          <w:sz w:val="20"/>
          <w:szCs w:val="20"/>
          <w:color w:val="auto"/>
        </w:rPr>
      </w:pPr>
      <w:r>
        <w:rPr>
          <w:rFonts w:ascii="Arial" w:cs="Arial" w:eastAsia="Arial" w:hAnsi="Arial"/>
          <w:sz w:val="16"/>
          <w:szCs w:val="16"/>
          <w:color w:val="231F20"/>
        </w:rPr>
        <w:t>As of December 31, 2015, distributable retained earnings of the parent company amounted to €2,885.9 million, including €2,269.4 million of share capital premiums.</w:t>
      </w:r>
    </w:p>
    <w:p>
      <w:pPr>
        <w:spacing w:after="0" w:line="196" w:lineRule="exact"/>
        <w:rPr>
          <w:sz w:val="20"/>
          <w:szCs w:val="20"/>
          <w:color w:val="auto"/>
        </w:rPr>
      </w:pPr>
    </w:p>
    <w:p>
      <w:pPr>
        <w:jc w:val="both"/>
        <w:ind w:left="40"/>
        <w:spacing w:after="0" w:line="260" w:lineRule="auto"/>
        <w:rPr>
          <w:sz w:val="20"/>
          <w:szCs w:val="20"/>
          <w:color w:val="auto"/>
        </w:rPr>
      </w:pPr>
      <w:r>
        <w:rPr>
          <w:rFonts w:ascii="Arial" w:cs="Arial" w:eastAsia="Arial" w:hAnsi="Arial"/>
          <w:sz w:val="16"/>
          <w:szCs w:val="16"/>
          <w:color w:val="231F20"/>
        </w:rPr>
        <w:t>As of December 31, 2014, distributable retained earnings of the parent company amounted to €2,879.2 million, including €2,042.0 million of share capital premiums.</w:t>
      </w:r>
    </w:p>
    <w:p>
      <w:pPr>
        <w:spacing w:after="0" w:line="285"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231F20"/>
        </w:rPr>
        <w:t>(F) Statutory Legal Reserve</w:t>
      </w:r>
    </w:p>
    <w:p>
      <w:pPr>
        <w:spacing w:after="0" w:line="150" w:lineRule="exact"/>
        <w:rPr>
          <w:sz w:val="20"/>
          <w:szCs w:val="20"/>
          <w:color w:val="auto"/>
        </w:rPr>
      </w:pPr>
    </w:p>
    <w:p>
      <w:pPr>
        <w:jc w:val="both"/>
        <w:ind w:left="40"/>
        <w:spacing w:after="0" w:line="253" w:lineRule="auto"/>
        <w:rPr>
          <w:sz w:val="20"/>
          <w:szCs w:val="20"/>
          <w:color w:val="auto"/>
        </w:rPr>
      </w:pPr>
      <w:r>
        <w:rPr>
          <w:rFonts w:ascii="Arial" w:cs="Arial" w:eastAsia="Arial" w:hAnsi="Arial"/>
          <w:sz w:val="16"/>
          <w:szCs w:val="16"/>
          <w:color w:val="231F20"/>
        </w:rPr>
        <w:t>Under French Law, companies must allocate 5% of their statutory net profit to their legal reserve fund each year before dividends may be paid in respect of that year. Funds are allocated until the amount in the legal reserve is equal to 10% of the aggregate nominal value of the issued and outstanding share capital. The legal reserve may only be distributed to shareholders upon liquidation of the Company.</w:t>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As of December 31, 2016, 2015 and 2014, the statutory legal reserve amounted to €9.8 million.</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231F20"/>
        </w:rPr>
        <w:t>(G) Dividends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2360A6"/>
        </w:rPr>
        <w:t>As of December 31, 2016</w:t>
      </w:r>
    </w:p>
    <w:p>
      <w:pPr>
        <w:spacing w:after="0" w:line="241" w:lineRule="exact"/>
        <w:rPr>
          <w:sz w:val="20"/>
          <w:szCs w:val="20"/>
          <w:color w:val="auto"/>
        </w:rPr>
      </w:pPr>
    </w:p>
    <w:p>
      <w:pPr>
        <w:jc w:val="both"/>
        <w:ind w:left="40"/>
        <w:spacing w:after="0" w:line="249" w:lineRule="auto"/>
        <w:rPr>
          <w:sz w:val="20"/>
          <w:szCs w:val="20"/>
          <w:color w:val="auto"/>
        </w:rPr>
      </w:pPr>
      <w:r>
        <w:rPr>
          <w:rFonts w:ascii="Arial" w:cs="Arial" w:eastAsia="Arial" w:hAnsi="Arial"/>
          <w:sz w:val="16"/>
          <w:szCs w:val="16"/>
          <w:color w:val="231F20"/>
        </w:rPr>
        <w:t>At the Annual General Meeting held on April 28, 2016, Technip’s shareholders approved the proposed €2.00 per share dividend for the 2015 financial year and decided to offer shareholders an option to receive the dividend payment in shares. The issue price of the new shares to be issued in consideration for the dividend was set at €42.87. The price was equal to 90% of the average opening prices quoted on the regulated market of Euronext Paris during the 20 trading days preceding the date of the Annual General Meeting, less the amount of the proposed dividend, and rounded upward to the nearest euro cent. On May 24, 2016, Technip announced that the shareholders who have selected the payment of the dividend for financial year 2015 in shares represented 57.3% of Technip’s shares.</w:t>
      </w:r>
    </w:p>
    <w:p>
      <w:pPr>
        <w:spacing w:after="0" w:line="205" w:lineRule="exact"/>
        <w:rPr>
          <w:sz w:val="20"/>
          <w:szCs w:val="20"/>
          <w:color w:val="auto"/>
        </w:rPr>
      </w:pPr>
    </w:p>
    <w:p>
      <w:pPr>
        <w:jc w:val="both"/>
        <w:ind w:left="40" w:right="20"/>
        <w:spacing w:after="0" w:line="253" w:lineRule="auto"/>
        <w:rPr>
          <w:sz w:val="20"/>
          <w:szCs w:val="20"/>
          <w:color w:val="auto"/>
        </w:rPr>
      </w:pPr>
      <w:r>
        <w:rPr>
          <w:rFonts w:ascii="Arial" w:cs="Arial" w:eastAsia="Arial" w:hAnsi="Arial"/>
          <w:sz w:val="16"/>
          <w:szCs w:val="16"/>
          <w:color w:val="231F20"/>
        </w:rPr>
        <w:t>Dividends paid in 2016 for the year ended December 31, 2015 amounted to €236.6 million. For the purpose of the payment of the dividend in shares, 3,168,156, new shares were then issued for a total amount of €135.8 million. The dividend paid in cash in 2016 for the financial year ended December 31, 2015, amounted to €100.8 million.</w:t>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line with its stated policy, Technip has fully neutralized the dilution created by the scrip dividend through its share repurchase program.</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2360A6"/>
        </w:rPr>
        <w:t>As of December 31, 2015</w:t>
      </w:r>
    </w:p>
    <w:p>
      <w:pPr>
        <w:spacing w:after="0" w:line="241" w:lineRule="exact"/>
        <w:rPr>
          <w:sz w:val="20"/>
          <w:szCs w:val="20"/>
          <w:color w:val="auto"/>
        </w:rPr>
      </w:pPr>
    </w:p>
    <w:p>
      <w:pPr>
        <w:jc w:val="both"/>
        <w:ind w:left="40"/>
        <w:spacing w:after="0" w:line="249" w:lineRule="auto"/>
        <w:rPr>
          <w:sz w:val="20"/>
          <w:szCs w:val="20"/>
          <w:color w:val="auto"/>
        </w:rPr>
      </w:pPr>
      <w:r>
        <w:rPr>
          <w:rFonts w:ascii="Arial" w:cs="Arial" w:eastAsia="Arial" w:hAnsi="Arial"/>
          <w:sz w:val="16"/>
          <w:szCs w:val="16"/>
          <w:color w:val="231F20"/>
        </w:rPr>
        <w:t>At the Annual General Meeting held on April 23, 2015, Technip’s shareholders approved the proposed €2.00 per share dividend for the 2014 financial year and decided to offer shareholders an option to receive the dividend payment in shares. The issue price of the new shares to be issued in consideration for the dividend was set at €52.81. The price was equal to 90% of the average opening prices quoted on the regulated market of Euronext Paris during the 20 trading days preceding the date of the Annual General Meeting, less the amount of the proposed dividend, and rounded upward to the nearest euro cent. On May 22, 2015, Technip announced that the shareholders who have selected the payment of the dividend for financial year 2014 in shares represented 60.5% of Technip’s shares.</w:t>
      </w:r>
    </w:p>
    <w:p>
      <w:pPr>
        <w:spacing w:after="0" w:line="205" w:lineRule="exact"/>
        <w:rPr>
          <w:sz w:val="20"/>
          <w:szCs w:val="20"/>
          <w:color w:val="auto"/>
        </w:rPr>
      </w:pPr>
    </w:p>
    <w:p>
      <w:pPr>
        <w:jc w:val="both"/>
        <w:ind w:left="40" w:right="20"/>
        <w:spacing w:after="0" w:line="260" w:lineRule="auto"/>
        <w:rPr>
          <w:sz w:val="20"/>
          <w:szCs w:val="20"/>
          <w:color w:val="auto"/>
        </w:rPr>
      </w:pPr>
      <w:r>
        <w:rPr>
          <w:rFonts w:ascii="Arial" w:cs="Arial" w:eastAsia="Arial" w:hAnsi="Arial"/>
          <w:sz w:val="16"/>
          <w:szCs w:val="16"/>
          <w:color w:val="231F20"/>
        </w:rPr>
        <w:t>For the purpose of the payment of the dividend in shares, 2,591,918 new shares were then issued for a total amount of €136.9 million. The dividend paid in cash for the financial year ended December 31, 2014, amounted to €88.9 million.</w:t>
      </w:r>
    </w:p>
    <w:p>
      <w:pPr>
        <w:spacing w:after="0" w:line="196" w:lineRule="exact"/>
        <w:rPr>
          <w:sz w:val="20"/>
          <w:szCs w:val="20"/>
          <w:color w:val="auto"/>
        </w:rPr>
      </w:pPr>
    </w:p>
    <w:p>
      <w:pPr>
        <w:jc w:val="both"/>
        <w:ind w:left="40" w:right="20"/>
        <w:spacing w:after="0" w:line="253" w:lineRule="auto"/>
        <w:rPr>
          <w:sz w:val="20"/>
          <w:szCs w:val="20"/>
          <w:color w:val="auto"/>
        </w:rPr>
      </w:pPr>
      <w:r>
        <w:rPr>
          <w:rFonts w:ascii="Arial" w:cs="Arial" w:eastAsia="Arial" w:hAnsi="Arial"/>
          <w:sz w:val="16"/>
          <w:szCs w:val="16"/>
          <w:color w:val="231F20"/>
        </w:rPr>
        <w:t>The recommended dividend in respect of 2015 is €2.00 per share with an option to receive the dividend payment in shares and will be submitted for approval at the Shareholders’ General Meeting to be held on April 28, 2016. Given that no decision was taken as of December 31, 2015, no impact was recorded in the 2015 financials.</w:t>
      </w:r>
    </w:p>
    <w:p>
      <w:pPr>
        <w:sectPr>
          <w:pgSz w:w="11900" w:h="16838" w:orient="portrait"/>
          <w:cols w:equalWidth="0" w:num="1">
            <w:col w:w="11340"/>
          </w:cols>
          <w:pgMar w:left="320" w:top="676" w:right="239" w:bottom="1440" w:gutter="0" w:footer="0" w:header="0"/>
        </w:sectPr>
      </w:pPr>
    </w:p>
    <w:bookmarkStart w:id="128" w:name="page129"/>
    <w:bookmarkEnd w:id="128"/>
    <w:p>
      <w:pPr>
        <w:ind w:left="120"/>
        <w:spacing w:after="0"/>
        <w:rPr>
          <w:sz w:val="20"/>
          <w:szCs w:val="20"/>
          <w:color w:val="auto"/>
        </w:rPr>
      </w:pPr>
      <w:r>
        <w:rPr>
          <w:rFonts w:ascii="Arial" w:cs="Arial" w:eastAsia="Arial" w:hAnsi="Arial"/>
          <w:sz w:val="22"/>
          <w:szCs w:val="22"/>
          <w:b w:val="1"/>
          <w:bCs w:val="1"/>
          <w:color w:val="2360A6"/>
        </w:rPr>
        <w:t>As of December 31, 2014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231F20"/>
        </w:rPr>
        <w:t>In 2014, the dividend paid for the financial year ended December 31, 2013, amounted to €206.5 million (</w:t>
      </w:r>
      <w:r>
        <w:rPr>
          <w:rFonts w:ascii="Arial" w:cs="Arial" w:eastAsia="Arial" w:hAnsi="Arial"/>
          <w:sz w:val="16"/>
          <w:szCs w:val="16"/>
          <w:i w:val="1"/>
          <w:iCs w:val="1"/>
          <w:color w:val="231F20"/>
        </w:rPr>
        <w:t>i.e.,</w:t>
      </w:r>
      <w:r>
        <w:rPr>
          <w:rFonts w:ascii="Arial" w:cs="Arial" w:eastAsia="Arial" w:hAnsi="Arial"/>
          <w:sz w:val="16"/>
          <w:szCs w:val="16"/>
          <w:color w:val="231F20"/>
        </w:rPr>
        <w:t xml:space="preserve"> €1.85 per share).</w:t>
      </w:r>
    </w:p>
    <w:p>
      <w:pPr>
        <w:spacing w:after="0" w:line="237"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231F20"/>
        </w:rPr>
        <w:t>The recommended dividend in respect of 2014 is €2.0 per share and will be submitted for approval at the Shareholders’ General Meeting to be held on April 23, 2015. Given that no decision was taken as of December 31, 2014, no impact was recorded in the 2014 financials.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(H) Share Subscription Option Plans and Share Purchase Option Plans</w:t>
      </w:r>
    </w:p>
    <w:p>
      <w:pPr>
        <w:spacing w:after="0" w:line="242" w:lineRule="exact"/>
        <w:rPr>
          <w:sz w:val="20"/>
          <w:szCs w:val="20"/>
          <w:color w:val="auto"/>
        </w:rPr>
      </w:pPr>
    </w:p>
    <w:p>
      <w:pPr>
        <w:jc w:val="both"/>
        <w:ind w:left="80" w:right="20"/>
        <w:spacing w:after="0" w:line="264" w:lineRule="auto"/>
        <w:rPr>
          <w:sz w:val="20"/>
          <w:szCs w:val="20"/>
          <w:color w:val="auto"/>
        </w:rPr>
      </w:pPr>
      <w:r>
        <w:rPr>
          <w:rFonts w:ascii="Arial" w:cs="Arial" w:eastAsia="Arial" w:hAnsi="Arial"/>
          <w:sz w:val="16"/>
          <w:szCs w:val="16"/>
          <w:color w:val="231F20"/>
        </w:rPr>
        <w:t xml:space="preserve">The Board of Directors has granted certain employees, senior executives and Directors or Officers </w:t>
      </w:r>
      <w:r>
        <w:rPr>
          <w:rFonts w:ascii="Arial" w:cs="Arial" w:eastAsia="Arial" w:hAnsi="Arial"/>
          <w:sz w:val="16"/>
          <w:szCs w:val="16"/>
          <w:i w:val="1"/>
          <w:iCs w:val="1"/>
          <w:color w:val="231F20"/>
        </w:rPr>
        <w:t>(mandataires sociaux)</w:t>
      </w:r>
      <w:r>
        <w:rPr>
          <w:rFonts w:ascii="Arial" w:cs="Arial" w:eastAsia="Arial" w:hAnsi="Arial"/>
          <w:sz w:val="16"/>
          <w:szCs w:val="16"/>
          <w:color w:val="231F20"/>
        </w:rPr>
        <w:t xml:space="preserve"> of the Group and its affiliates, share subscription option plans or share purchase option plans at an agreed unit price. The main features and changes in plans that are in place for 2016, 2015 and 2014 are as follows:</w:t>
      </w:r>
    </w:p>
    <w:p>
      <w:pPr>
        <w:sectPr>
          <w:pgSz w:w="11900" w:h="16838" w:orient="portrait"/>
          <w:cols w:equalWidth="0" w:num="1">
            <w:col w:w="11400"/>
          </w:cols>
          <w:pgMar w:left="240" w:top="580" w:right="25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68"/>
        </w:trPr>
        <w:tc>
          <w:tcPr>
            <w:tcW w:w="1220" w:type="dxa"/>
            <w:vAlign w:val="bottom"/>
            <w:tcBorders>
              <w:top w:val="single" w:sz="8" w:color="2360A6"/>
              <w:right w:val="single" w:sz="8" w:color="2360A6"/>
            </w:tcBorders>
          </w:tcPr>
          <w:p>
            <w:pPr>
              <w:spacing w:after="0"/>
              <w:rPr>
                <w:sz w:val="23"/>
                <w:szCs w:val="23"/>
                <w:color w:val="auto"/>
              </w:rPr>
            </w:pPr>
          </w:p>
        </w:tc>
        <w:tc>
          <w:tcPr>
            <w:tcW w:w="460" w:type="dxa"/>
            <w:vAlign w:val="bottom"/>
            <w:tcBorders>
              <w:top w:val="single" w:sz="8" w:color="2360A6"/>
            </w:tcBorders>
          </w:tcPr>
          <w:p>
            <w:pPr>
              <w:spacing w:after="0"/>
              <w:rPr>
                <w:sz w:val="23"/>
                <w:szCs w:val="23"/>
                <w:color w:val="auto"/>
              </w:rPr>
            </w:pPr>
          </w:p>
        </w:tc>
        <w:tc>
          <w:tcPr>
            <w:tcW w:w="680" w:type="dxa"/>
            <w:vAlign w:val="bottom"/>
            <w:tcBorders>
              <w:top w:val="single" w:sz="8" w:color="2360A6"/>
            </w:tcBorders>
            <w:gridSpan w:val="2"/>
            <w:vMerge w:val="restart"/>
          </w:tcPr>
          <w:p>
            <w:pPr>
              <w:ind w:left="140"/>
              <w:spacing w:after="0"/>
              <w:rPr>
                <w:sz w:val="20"/>
                <w:szCs w:val="20"/>
                <w:color w:val="auto"/>
              </w:rPr>
            </w:pPr>
            <w:r>
              <w:rPr>
                <w:rFonts w:ascii="Arial" w:cs="Arial" w:eastAsia="Arial" w:hAnsi="Arial"/>
                <w:sz w:val="11"/>
                <w:szCs w:val="11"/>
                <w:b w:val="1"/>
                <w:bCs w:val="1"/>
                <w:color w:val="2360A6"/>
              </w:rPr>
              <w:t>Plan 2005</w:t>
            </w:r>
          </w:p>
        </w:tc>
        <w:tc>
          <w:tcPr>
            <w:tcW w:w="560" w:type="dxa"/>
            <w:vAlign w:val="bottom"/>
            <w:tcBorders>
              <w:top w:val="single" w:sz="8" w:color="2360A6"/>
              <w:right w:val="single" w:sz="8" w:color="2360A6"/>
            </w:tcBorders>
          </w:tcPr>
          <w:p>
            <w:pPr>
              <w:spacing w:after="0"/>
              <w:rPr>
                <w:sz w:val="23"/>
                <w:szCs w:val="23"/>
                <w:color w:val="auto"/>
              </w:rPr>
            </w:pPr>
          </w:p>
        </w:tc>
        <w:tc>
          <w:tcPr>
            <w:tcW w:w="560" w:type="dxa"/>
            <w:vAlign w:val="bottom"/>
            <w:tcBorders>
              <w:top w:val="single" w:sz="8" w:color="2360A6"/>
              <w:right w:val="single" w:sz="8" w:color="2360A6"/>
            </w:tcBorders>
            <w:vMerge w:val="restart"/>
          </w:tcPr>
          <w:p>
            <w:pPr>
              <w:jc w:val="right"/>
              <w:spacing w:after="0"/>
              <w:rPr>
                <w:sz w:val="20"/>
                <w:szCs w:val="20"/>
                <w:color w:val="auto"/>
              </w:rPr>
            </w:pPr>
            <w:r>
              <w:rPr>
                <w:rFonts w:ascii="Arial" w:cs="Arial" w:eastAsia="Arial" w:hAnsi="Arial"/>
                <w:sz w:val="11"/>
                <w:szCs w:val="11"/>
                <w:b w:val="1"/>
                <w:bCs w:val="1"/>
                <w:color w:val="2360A6"/>
                <w:w w:val="98"/>
              </w:rPr>
              <w:t>Plan 2008</w:t>
            </w:r>
          </w:p>
        </w:tc>
        <w:tc>
          <w:tcPr>
            <w:tcW w:w="580" w:type="dxa"/>
            <w:vAlign w:val="bottom"/>
            <w:tcBorders>
              <w:top w:val="single" w:sz="8" w:color="2360A6"/>
              <w:right w:val="single" w:sz="8" w:color="2360A6"/>
            </w:tcBorders>
            <w:vMerge w:val="restart"/>
          </w:tcPr>
          <w:p>
            <w:pPr>
              <w:jc w:val="right"/>
              <w:ind w:right="6"/>
              <w:spacing w:after="0"/>
              <w:rPr>
                <w:sz w:val="20"/>
                <w:szCs w:val="20"/>
                <w:color w:val="auto"/>
              </w:rPr>
            </w:pPr>
            <w:r>
              <w:rPr>
                <w:rFonts w:ascii="Arial" w:cs="Arial" w:eastAsia="Arial" w:hAnsi="Arial"/>
                <w:sz w:val="11"/>
                <w:szCs w:val="11"/>
                <w:b w:val="1"/>
                <w:bCs w:val="1"/>
                <w:color w:val="2360A6"/>
                <w:w w:val="98"/>
              </w:rPr>
              <w:t>Plan 2009</w:t>
            </w:r>
          </w:p>
        </w:tc>
        <w:tc>
          <w:tcPr>
            <w:tcW w:w="620" w:type="dxa"/>
            <w:vAlign w:val="bottom"/>
            <w:tcBorders>
              <w:top w:val="single" w:sz="8" w:color="2360A6"/>
            </w:tcBorders>
          </w:tcPr>
          <w:p>
            <w:pPr>
              <w:spacing w:after="0"/>
              <w:rPr>
                <w:sz w:val="23"/>
                <w:szCs w:val="23"/>
                <w:color w:val="auto"/>
              </w:rPr>
            </w:pPr>
          </w:p>
        </w:tc>
        <w:tc>
          <w:tcPr>
            <w:tcW w:w="540" w:type="dxa"/>
            <w:vAlign w:val="bottom"/>
            <w:tcBorders>
              <w:top w:val="single" w:sz="8" w:color="2360A6"/>
            </w:tcBorders>
            <w:vMerge w:val="restart"/>
          </w:tcPr>
          <w:p>
            <w:pPr>
              <w:jc w:val="right"/>
              <w:ind w:right="6"/>
              <w:spacing w:after="0"/>
              <w:rPr>
                <w:sz w:val="20"/>
                <w:szCs w:val="20"/>
                <w:color w:val="auto"/>
              </w:rPr>
            </w:pPr>
            <w:r>
              <w:rPr>
                <w:rFonts w:ascii="Arial" w:cs="Arial" w:eastAsia="Arial" w:hAnsi="Arial"/>
                <w:sz w:val="11"/>
                <w:szCs w:val="11"/>
                <w:b w:val="1"/>
                <w:bCs w:val="1"/>
                <w:color w:val="2360A6"/>
                <w:w w:val="90"/>
              </w:rPr>
              <w:t>Plan 2010</w:t>
            </w:r>
          </w:p>
        </w:tc>
        <w:tc>
          <w:tcPr>
            <w:tcW w:w="540" w:type="dxa"/>
            <w:vAlign w:val="bottom"/>
            <w:tcBorders>
              <w:top w:val="single" w:sz="8" w:color="2360A6"/>
              <w:right w:val="single" w:sz="8" w:color="2360A6"/>
            </w:tcBorders>
          </w:tcPr>
          <w:p>
            <w:pPr>
              <w:spacing w:after="0"/>
              <w:rPr>
                <w:sz w:val="23"/>
                <w:szCs w:val="23"/>
                <w:color w:val="auto"/>
              </w:rPr>
            </w:pPr>
          </w:p>
        </w:tc>
        <w:tc>
          <w:tcPr>
            <w:tcW w:w="560" w:type="dxa"/>
            <w:vAlign w:val="bottom"/>
            <w:tcBorders>
              <w:top w:val="single" w:sz="8" w:color="2360A6"/>
            </w:tcBorders>
          </w:tcPr>
          <w:p>
            <w:pPr>
              <w:spacing w:after="0"/>
              <w:rPr>
                <w:sz w:val="23"/>
                <w:szCs w:val="23"/>
                <w:color w:val="auto"/>
              </w:rPr>
            </w:pPr>
          </w:p>
        </w:tc>
        <w:tc>
          <w:tcPr>
            <w:tcW w:w="540" w:type="dxa"/>
            <w:vAlign w:val="bottom"/>
            <w:tcBorders>
              <w:top w:val="single" w:sz="8" w:color="2360A6"/>
            </w:tcBorders>
            <w:vMerge w:val="restart"/>
          </w:tcPr>
          <w:p>
            <w:pPr>
              <w:jc w:val="right"/>
              <w:spacing w:after="0"/>
              <w:rPr>
                <w:sz w:val="20"/>
                <w:szCs w:val="20"/>
                <w:color w:val="auto"/>
              </w:rPr>
            </w:pPr>
            <w:r>
              <w:rPr>
                <w:rFonts w:ascii="Arial" w:cs="Arial" w:eastAsia="Arial" w:hAnsi="Arial"/>
                <w:sz w:val="11"/>
                <w:szCs w:val="11"/>
                <w:b w:val="1"/>
                <w:bCs w:val="1"/>
                <w:color w:val="2360A6"/>
                <w:w w:val="98"/>
              </w:rPr>
              <w:t>Plan 2011</w:t>
            </w:r>
          </w:p>
        </w:tc>
        <w:tc>
          <w:tcPr>
            <w:tcW w:w="540" w:type="dxa"/>
            <w:vAlign w:val="bottom"/>
            <w:tcBorders>
              <w:top w:val="single" w:sz="8" w:color="2360A6"/>
              <w:right w:val="single" w:sz="8" w:color="2360A6"/>
            </w:tcBorders>
          </w:tcPr>
          <w:p>
            <w:pPr>
              <w:spacing w:after="0"/>
              <w:rPr>
                <w:sz w:val="23"/>
                <w:szCs w:val="23"/>
                <w:color w:val="auto"/>
              </w:rPr>
            </w:pPr>
          </w:p>
        </w:tc>
        <w:tc>
          <w:tcPr>
            <w:tcW w:w="1100" w:type="dxa"/>
            <w:vAlign w:val="bottom"/>
            <w:tcBorders>
              <w:top w:val="single" w:sz="8" w:color="2360A6"/>
              <w:right w:val="single" w:sz="8" w:color="2360A6"/>
            </w:tcBorders>
            <w:gridSpan w:val="2"/>
            <w:vMerge w:val="restart"/>
          </w:tcPr>
          <w:p>
            <w:pPr>
              <w:jc w:val="right"/>
              <w:ind w:right="246"/>
              <w:spacing w:after="0"/>
              <w:rPr>
                <w:sz w:val="20"/>
                <w:szCs w:val="20"/>
                <w:color w:val="auto"/>
              </w:rPr>
            </w:pPr>
            <w:r>
              <w:rPr>
                <w:rFonts w:ascii="Arial" w:cs="Arial" w:eastAsia="Arial" w:hAnsi="Arial"/>
                <w:sz w:val="11"/>
                <w:szCs w:val="11"/>
                <w:b w:val="1"/>
                <w:bCs w:val="1"/>
                <w:color w:val="2360A6"/>
              </w:rPr>
              <w:t>Plan 2012</w:t>
            </w:r>
          </w:p>
        </w:tc>
        <w:tc>
          <w:tcPr>
            <w:tcW w:w="1160" w:type="dxa"/>
            <w:vAlign w:val="bottom"/>
            <w:tcBorders>
              <w:top w:val="single" w:sz="8" w:color="2360A6"/>
              <w:right w:val="single" w:sz="8" w:color="2360A6"/>
            </w:tcBorders>
            <w:gridSpan w:val="2"/>
            <w:vMerge w:val="restart"/>
          </w:tcPr>
          <w:p>
            <w:pPr>
              <w:jc w:val="right"/>
              <w:ind w:right="286"/>
              <w:spacing w:after="0"/>
              <w:rPr>
                <w:sz w:val="20"/>
                <w:szCs w:val="20"/>
                <w:color w:val="auto"/>
              </w:rPr>
            </w:pPr>
            <w:r>
              <w:rPr>
                <w:rFonts w:ascii="Arial" w:cs="Arial" w:eastAsia="Arial" w:hAnsi="Arial"/>
                <w:sz w:val="11"/>
                <w:szCs w:val="11"/>
                <w:b w:val="1"/>
                <w:bCs w:val="1"/>
                <w:color w:val="2360A6"/>
              </w:rPr>
              <w:t>Plan 2013</w:t>
            </w:r>
          </w:p>
        </w:tc>
        <w:tc>
          <w:tcPr>
            <w:tcW w:w="540" w:type="dxa"/>
            <w:vAlign w:val="bottom"/>
            <w:tcBorders>
              <w:top w:val="single" w:sz="8" w:color="2360A6"/>
              <w:right w:val="single" w:sz="8" w:color="2360A6"/>
            </w:tcBorders>
          </w:tcPr>
          <w:p>
            <w:pPr>
              <w:jc w:val="right"/>
              <w:ind w:right="126"/>
              <w:spacing w:after="0"/>
              <w:rPr>
                <w:sz w:val="20"/>
                <w:szCs w:val="20"/>
                <w:color w:val="auto"/>
              </w:rPr>
            </w:pPr>
            <w:r>
              <w:rPr>
                <w:rFonts w:ascii="Arial" w:cs="Arial" w:eastAsia="Arial" w:hAnsi="Arial"/>
                <w:sz w:val="11"/>
                <w:szCs w:val="11"/>
                <w:b w:val="1"/>
                <w:bCs w:val="1"/>
                <w:color w:val="2360A6"/>
              </w:rPr>
              <w:t>Plan</w:t>
            </w:r>
          </w:p>
        </w:tc>
        <w:tc>
          <w:tcPr>
            <w:tcW w:w="540" w:type="dxa"/>
            <w:vAlign w:val="bottom"/>
            <w:tcBorders>
              <w:top w:val="single" w:sz="8" w:color="2360A6"/>
              <w:right w:val="single" w:sz="8" w:color="2360A6"/>
            </w:tcBorders>
            <w:gridSpan w:val="2"/>
            <w:shd w:val="clear" w:color="auto" w:fill="006EBF"/>
          </w:tcPr>
          <w:p>
            <w:pPr>
              <w:jc w:val="right"/>
              <w:ind w:right="180"/>
              <w:spacing w:after="0"/>
              <w:rPr>
                <w:sz w:val="20"/>
                <w:szCs w:val="20"/>
                <w:color w:val="auto"/>
              </w:rPr>
            </w:pPr>
            <w:r>
              <w:rPr>
                <w:rFonts w:ascii="Arial" w:cs="Arial" w:eastAsia="Arial" w:hAnsi="Arial"/>
                <w:sz w:val="11"/>
                <w:szCs w:val="11"/>
                <w:b w:val="1"/>
                <w:bCs w:val="1"/>
                <w:color w:val="FFFFFF"/>
              </w:rPr>
              <w:t>Plan</w:t>
            </w:r>
          </w:p>
        </w:tc>
        <w:tc>
          <w:tcPr>
            <w:tcW w:w="620" w:type="dxa"/>
            <w:vAlign w:val="bottom"/>
            <w:tcBorders>
              <w:top w:val="single" w:sz="8" w:color="2360A6"/>
            </w:tcBorders>
            <w:vMerge w:val="restart"/>
          </w:tcPr>
          <w:p>
            <w:pPr>
              <w:jc w:val="right"/>
              <w:ind w:right="146"/>
              <w:spacing w:after="0"/>
              <w:rPr>
                <w:sz w:val="20"/>
                <w:szCs w:val="20"/>
                <w:color w:val="auto"/>
              </w:rPr>
            </w:pPr>
            <w:r>
              <w:rPr>
                <w:rFonts w:ascii="Arial" w:cs="Arial" w:eastAsia="Arial" w:hAnsi="Arial"/>
                <w:sz w:val="11"/>
                <w:szCs w:val="11"/>
                <w:b w:val="1"/>
                <w:bCs w:val="1"/>
                <w:color w:val="2360A6"/>
              </w:rPr>
              <w:t>Total</w:t>
            </w:r>
          </w:p>
        </w:tc>
        <w:tc>
          <w:tcPr>
            <w:tcW w:w="0" w:type="dxa"/>
            <w:vAlign w:val="bottom"/>
          </w:tcPr>
          <w:p>
            <w:pPr>
              <w:spacing w:after="0"/>
              <w:rPr>
                <w:sz w:val="1"/>
                <w:szCs w:val="1"/>
                <w:color w:val="auto"/>
              </w:rPr>
            </w:pPr>
          </w:p>
        </w:tc>
      </w:tr>
      <w:tr>
        <w:trPr>
          <w:trHeight w:val="74"/>
        </w:trPr>
        <w:tc>
          <w:tcPr>
            <w:tcW w:w="1220" w:type="dxa"/>
            <w:vAlign w:val="bottom"/>
            <w:tcBorders>
              <w:right w:val="single" w:sz="8" w:color="2360A6"/>
            </w:tcBorders>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tcBorders>
              <w:right w:val="single" w:sz="8" w:color="2360A6"/>
            </w:tcBorders>
          </w:tcPr>
          <w:p>
            <w:pPr>
              <w:spacing w:after="0"/>
              <w:rPr>
                <w:sz w:val="6"/>
                <w:szCs w:val="6"/>
                <w:color w:val="auto"/>
              </w:rPr>
            </w:pPr>
          </w:p>
        </w:tc>
        <w:tc>
          <w:tcPr>
            <w:tcW w:w="560" w:type="dxa"/>
            <w:vAlign w:val="bottom"/>
            <w:tcBorders>
              <w:right w:val="single" w:sz="8" w:color="2360A6"/>
            </w:tcBorders>
            <w:vMerge w:val="continue"/>
          </w:tcPr>
          <w:p>
            <w:pPr>
              <w:spacing w:after="0"/>
              <w:rPr>
                <w:sz w:val="6"/>
                <w:szCs w:val="6"/>
                <w:color w:val="auto"/>
              </w:rPr>
            </w:pPr>
          </w:p>
        </w:tc>
        <w:tc>
          <w:tcPr>
            <w:tcW w:w="580" w:type="dxa"/>
            <w:vAlign w:val="bottom"/>
            <w:tcBorders>
              <w:right w:val="single" w:sz="8" w:color="2360A6"/>
            </w:tcBorders>
            <w:vMerge w:val="continue"/>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Borders>
              <w:right w:val="single" w:sz="8" w:color="2360A6"/>
            </w:tcBorders>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Borders>
              <w:right w:val="single" w:sz="8" w:color="2360A6"/>
            </w:tcBorders>
          </w:tcPr>
          <w:p>
            <w:pPr>
              <w:spacing w:after="0"/>
              <w:rPr>
                <w:sz w:val="6"/>
                <w:szCs w:val="6"/>
                <w:color w:val="auto"/>
              </w:rPr>
            </w:pPr>
          </w:p>
        </w:tc>
        <w:tc>
          <w:tcPr>
            <w:tcW w:w="1100" w:type="dxa"/>
            <w:vAlign w:val="bottom"/>
            <w:tcBorders>
              <w:right w:val="single" w:sz="8" w:color="2360A6"/>
            </w:tcBorders>
            <w:gridSpan w:val="2"/>
            <w:vMerge w:val="continue"/>
          </w:tcPr>
          <w:p>
            <w:pPr>
              <w:spacing w:after="0"/>
              <w:rPr>
                <w:sz w:val="6"/>
                <w:szCs w:val="6"/>
                <w:color w:val="auto"/>
              </w:rPr>
            </w:pPr>
          </w:p>
        </w:tc>
        <w:tc>
          <w:tcPr>
            <w:tcW w:w="1160" w:type="dxa"/>
            <w:vAlign w:val="bottom"/>
            <w:tcBorders>
              <w:right w:val="single" w:sz="8" w:color="2360A6"/>
            </w:tcBorders>
            <w:gridSpan w:val="2"/>
            <w:vMerge w:val="continue"/>
          </w:tcPr>
          <w:p>
            <w:pPr>
              <w:spacing w:after="0"/>
              <w:rPr>
                <w:sz w:val="6"/>
                <w:szCs w:val="6"/>
                <w:color w:val="auto"/>
              </w:rPr>
            </w:pPr>
          </w:p>
        </w:tc>
        <w:tc>
          <w:tcPr>
            <w:tcW w:w="540" w:type="dxa"/>
            <w:vAlign w:val="bottom"/>
            <w:tcBorders>
              <w:right w:val="single" w:sz="8" w:color="2360A6"/>
            </w:tcBorders>
            <w:vMerge w:val="restart"/>
          </w:tcPr>
          <w:p>
            <w:pPr>
              <w:jc w:val="right"/>
              <w:ind w:right="106"/>
              <w:spacing w:after="0"/>
              <w:rPr>
                <w:sz w:val="20"/>
                <w:szCs w:val="20"/>
                <w:color w:val="auto"/>
              </w:rPr>
            </w:pPr>
            <w:r>
              <w:rPr>
                <w:rFonts w:ascii="Arial" w:cs="Arial" w:eastAsia="Arial" w:hAnsi="Arial"/>
                <w:sz w:val="11"/>
                <w:szCs w:val="11"/>
                <w:b w:val="1"/>
                <w:bCs w:val="1"/>
                <w:color w:val="2360A6"/>
              </w:rPr>
              <w:t>2015</w:t>
            </w:r>
          </w:p>
        </w:tc>
        <w:tc>
          <w:tcPr>
            <w:tcW w:w="420" w:type="dxa"/>
            <w:vAlign w:val="bottom"/>
            <w:vMerge w:val="restart"/>
            <w:shd w:val="clear" w:color="auto" w:fill="006EBF"/>
          </w:tcPr>
          <w:p>
            <w:pPr>
              <w:jc w:val="right"/>
              <w:spacing w:after="0"/>
              <w:rPr>
                <w:sz w:val="20"/>
                <w:szCs w:val="20"/>
                <w:color w:val="auto"/>
              </w:rPr>
            </w:pPr>
            <w:r>
              <w:rPr>
                <w:rFonts w:ascii="Arial" w:cs="Arial" w:eastAsia="Arial" w:hAnsi="Arial"/>
                <w:sz w:val="11"/>
                <w:szCs w:val="11"/>
                <w:b w:val="1"/>
                <w:bCs w:val="1"/>
                <w:color w:val="FFFFFF"/>
              </w:rPr>
              <w:t>2016</w:t>
            </w:r>
          </w:p>
        </w:tc>
        <w:tc>
          <w:tcPr>
            <w:tcW w:w="120" w:type="dxa"/>
            <w:vAlign w:val="bottom"/>
            <w:tcBorders>
              <w:right w:val="single" w:sz="8" w:color="2360A6"/>
            </w:tcBorders>
            <w:shd w:val="clear" w:color="auto" w:fill="006EBF"/>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1220" w:type="dxa"/>
            <w:vAlign w:val="bottom"/>
            <w:tcBorders>
              <w:right w:val="single" w:sz="8" w:color="2360A6"/>
            </w:tcBorders>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right w:val="single" w:sz="8" w:color="2360A6"/>
            </w:tcBorders>
          </w:tcPr>
          <w:p>
            <w:pPr>
              <w:spacing w:after="0"/>
              <w:rPr>
                <w:sz w:val="5"/>
                <w:szCs w:val="5"/>
                <w:color w:val="auto"/>
              </w:rPr>
            </w:pPr>
          </w:p>
        </w:tc>
        <w:tc>
          <w:tcPr>
            <w:tcW w:w="560" w:type="dxa"/>
            <w:vAlign w:val="bottom"/>
            <w:tcBorders>
              <w:right w:val="single" w:sz="8" w:color="2360A6"/>
            </w:tcBorders>
          </w:tcPr>
          <w:p>
            <w:pPr>
              <w:spacing w:after="0"/>
              <w:rPr>
                <w:sz w:val="5"/>
                <w:szCs w:val="5"/>
                <w:color w:val="auto"/>
              </w:rPr>
            </w:pPr>
          </w:p>
        </w:tc>
        <w:tc>
          <w:tcPr>
            <w:tcW w:w="580" w:type="dxa"/>
            <w:vAlign w:val="bottom"/>
            <w:tcBorders>
              <w:right w:val="single" w:sz="8" w:color="2360A6"/>
            </w:tcBorders>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Borders>
              <w:right w:val="single" w:sz="8" w:color="2360A6"/>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Borders>
              <w:right w:val="single" w:sz="8" w:color="2360A6"/>
            </w:tcBorders>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Borders>
              <w:right w:val="single" w:sz="8" w:color="2360A6"/>
            </w:tcBorders>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Borders>
              <w:right w:val="single" w:sz="8" w:color="2360A6"/>
            </w:tcBorders>
          </w:tcPr>
          <w:p>
            <w:pPr>
              <w:spacing w:after="0"/>
              <w:rPr>
                <w:sz w:val="5"/>
                <w:szCs w:val="5"/>
                <w:color w:val="auto"/>
              </w:rPr>
            </w:pPr>
          </w:p>
        </w:tc>
        <w:tc>
          <w:tcPr>
            <w:tcW w:w="540" w:type="dxa"/>
            <w:vAlign w:val="bottom"/>
            <w:tcBorders>
              <w:right w:val="single" w:sz="8" w:color="2360A6"/>
            </w:tcBorders>
            <w:vMerge w:val="continue"/>
          </w:tcPr>
          <w:p>
            <w:pPr>
              <w:spacing w:after="0"/>
              <w:rPr>
                <w:sz w:val="5"/>
                <w:szCs w:val="5"/>
                <w:color w:val="auto"/>
              </w:rPr>
            </w:pPr>
          </w:p>
        </w:tc>
        <w:tc>
          <w:tcPr>
            <w:tcW w:w="420" w:type="dxa"/>
            <w:vAlign w:val="bottom"/>
            <w:vMerge w:val="continue"/>
            <w:shd w:val="clear" w:color="auto" w:fill="006EBF"/>
          </w:tcPr>
          <w:p>
            <w:pPr>
              <w:spacing w:after="0"/>
              <w:rPr>
                <w:sz w:val="5"/>
                <w:szCs w:val="5"/>
                <w:color w:val="auto"/>
              </w:rPr>
            </w:pPr>
          </w:p>
        </w:tc>
        <w:tc>
          <w:tcPr>
            <w:tcW w:w="120" w:type="dxa"/>
            <w:vAlign w:val="bottom"/>
            <w:tcBorders>
              <w:right w:val="single" w:sz="8" w:color="2360A6"/>
            </w:tcBorders>
            <w:shd w:val="clear" w:color="auto" w:fill="006EBF"/>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220" w:type="dxa"/>
            <w:vAlign w:val="bottom"/>
            <w:tcBorders>
              <w:right w:val="single" w:sz="8" w:color="2360A6"/>
            </w:tcBorders>
          </w:tcPr>
          <w:p>
            <w:pPr>
              <w:spacing w:after="0"/>
              <w:rPr>
                <w:sz w:val="12"/>
                <w:szCs w:val="12"/>
                <w:color w:val="auto"/>
              </w:rPr>
            </w:pPr>
          </w:p>
        </w:tc>
        <w:tc>
          <w:tcPr>
            <w:tcW w:w="460" w:type="dxa"/>
            <w:vAlign w:val="bottom"/>
            <w:tcBorders>
              <w:bottom w:val="single" w:sz="8" w:color="2360A6"/>
            </w:tcBorders>
          </w:tcPr>
          <w:p>
            <w:pPr>
              <w:spacing w:after="0"/>
              <w:rPr>
                <w:sz w:val="12"/>
                <w:szCs w:val="12"/>
                <w:color w:val="auto"/>
              </w:rPr>
            </w:pPr>
          </w:p>
        </w:tc>
        <w:tc>
          <w:tcPr>
            <w:tcW w:w="600" w:type="dxa"/>
            <w:vAlign w:val="bottom"/>
            <w:tcBorders>
              <w:bottom w:val="single" w:sz="8" w:color="2360A6"/>
            </w:tcBorders>
          </w:tcPr>
          <w:p>
            <w:pPr>
              <w:spacing w:after="0"/>
              <w:rPr>
                <w:sz w:val="12"/>
                <w:szCs w:val="12"/>
                <w:color w:val="auto"/>
              </w:rPr>
            </w:pPr>
          </w:p>
        </w:tc>
        <w:tc>
          <w:tcPr>
            <w:tcW w:w="80" w:type="dxa"/>
            <w:vAlign w:val="bottom"/>
            <w:tcBorders>
              <w:bottom w:val="single" w:sz="8" w:color="2360A6"/>
            </w:tcBorders>
          </w:tcPr>
          <w:p>
            <w:pPr>
              <w:spacing w:after="0"/>
              <w:rPr>
                <w:sz w:val="12"/>
                <w:szCs w:val="12"/>
                <w:color w:val="auto"/>
              </w:rPr>
            </w:pPr>
          </w:p>
        </w:tc>
        <w:tc>
          <w:tcPr>
            <w:tcW w:w="560" w:type="dxa"/>
            <w:vAlign w:val="bottom"/>
            <w:tcBorders>
              <w:bottom w:val="single" w:sz="8" w:color="2360A6"/>
              <w:right w:val="single" w:sz="8" w:color="2360A6"/>
            </w:tcBorders>
          </w:tcPr>
          <w:p>
            <w:pPr>
              <w:spacing w:after="0"/>
              <w:rPr>
                <w:sz w:val="12"/>
                <w:szCs w:val="12"/>
                <w:color w:val="auto"/>
              </w:rPr>
            </w:pPr>
          </w:p>
        </w:tc>
        <w:tc>
          <w:tcPr>
            <w:tcW w:w="560" w:type="dxa"/>
            <w:vAlign w:val="bottom"/>
            <w:tcBorders>
              <w:bottom w:val="single" w:sz="8" w:color="2360A6"/>
              <w:right w:val="single" w:sz="8" w:color="2360A6"/>
            </w:tcBorders>
          </w:tcPr>
          <w:p>
            <w:pPr>
              <w:spacing w:after="0"/>
              <w:rPr>
                <w:sz w:val="12"/>
                <w:szCs w:val="12"/>
                <w:color w:val="auto"/>
              </w:rPr>
            </w:pPr>
          </w:p>
        </w:tc>
        <w:tc>
          <w:tcPr>
            <w:tcW w:w="580" w:type="dxa"/>
            <w:vAlign w:val="bottom"/>
            <w:tcBorders>
              <w:bottom w:val="single" w:sz="8" w:color="2360A6"/>
              <w:right w:val="single" w:sz="8" w:color="2360A6"/>
            </w:tcBorders>
          </w:tcPr>
          <w:p>
            <w:pPr>
              <w:spacing w:after="0"/>
              <w:rPr>
                <w:sz w:val="12"/>
                <w:szCs w:val="12"/>
                <w:color w:val="auto"/>
              </w:rPr>
            </w:pPr>
          </w:p>
        </w:tc>
        <w:tc>
          <w:tcPr>
            <w:tcW w:w="620" w:type="dxa"/>
            <w:vAlign w:val="bottom"/>
            <w:tcBorders>
              <w:bottom w:val="single" w:sz="8" w:color="2360A6"/>
            </w:tcBorders>
          </w:tcPr>
          <w:p>
            <w:pPr>
              <w:spacing w:after="0"/>
              <w:rPr>
                <w:sz w:val="12"/>
                <w:szCs w:val="12"/>
                <w:color w:val="auto"/>
              </w:rPr>
            </w:pPr>
          </w:p>
        </w:tc>
        <w:tc>
          <w:tcPr>
            <w:tcW w:w="540" w:type="dxa"/>
            <w:vAlign w:val="bottom"/>
            <w:tcBorders>
              <w:bottom w:val="single" w:sz="8" w:color="2360A6"/>
            </w:tcBorders>
          </w:tcPr>
          <w:p>
            <w:pPr>
              <w:spacing w:after="0"/>
              <w:rPr>
                <w:sz w:val="12"/>
                <w:szCs w:val="12"/>
                <w:color w:val="auto"/>
              </w:rPr>
            </w:pPr>
          </w:p>
        </w:tc>
        <w:tc>
          <w:tcPr>
            <w:tcW w:w="540" w:type="dxa"/>
            <w:vAlign w:val="bottom"/>
            <w:tcBorders>
              <w:bottom w:val="single" w:sz="8" w:color="2360A6"/>
              <w:right w:val="single" w:sz="8" w:color="2360A6"/>
            </w:tcBorders>
          </w:tcPr>
          <w:p>
            <w:pPr>
              <w:spacing w:after="0"/>
              <w:rPr>
                <w:sz w:val="12"/>
                <w:szCs w:val="12"/>
                <w:color w:val="auto"/>
              </w:rPr>
            </w:pPr>
          </w:p>
        </w:tc>
        <w:tc>
          <w:tcPr>
            <w:tcW w:w="560" w:type="dxa"/>
            <w:vAlign w:val="bottom"/>
            <w:tcBorders>
              <w:bottom w:val="single" w:sz="8" w:color="2360A6"/>
            </w:tcBorders>
          </w:tcPr>
          <w:p>
            <w:pPr>
              <w:spacing w:after="0"/>
              <w:rPr>
                <w:sz w:val="12"/>
                <w:szCs w:val="12"/>
                <w:color w:val="auto"/>
              </w:rPr>
            </w:pPr>
          </w:p>
        </w:tc>
        <w:tc>
          <w:tcPr>
            <w:tcW w:w="540" w:type="dxa"/>
            <w:vAlign w:val="bottom"/>
            <w:tcBorders>
              <w:bottom w:val="single" w:sz="8" w:color="2360A6"/>
            </w:tcBorders>
          </w:tcPr>
          <w:p>
            <w:pPr>
              <w:spacing w:after="0"/>
              <w:rPr>
                <w:sz w:val="12"/>
                <w:szCs w:val="12"/>
                <w:color w:val="auto"/>
              </w:rPr>
            </w:pPr>
          </w:p>
        </w:tc>
        <w:tc>
          <w:tcPr>
            <w:tcW w:w="540" w:type="dxa"/>
            <w:vAlign w:val="bottom"/>
            <w:tcBorders>
              <w:bottom w:val="single" w:sz="8" w:color="2360A6"/>
              <w:right w:val="single" w:sz="8" w:color="2360A6"/>
            </w:tcBorders>
          </w:tcPr>
          <w:p>
            <w:pPr>
              <w:spacing w:after="0"/>
              <w:rPr>
                <w:sz w:val="12"/>
                <w:szCs w:val="12"/>
                <w:color w:val="auto"/>
              </w:rPr>
            </w:pPr>
          </w:p>
        </w:tc>
        <w:tc>
          <w:tcPr>
            <w:tcW w:w="560" w:type="dxa"/>
            <w:vAlign w:val="bottom"/>
            <w:tcBorders>
              <w:bottom w:val="single" w:sz="8" w:color="2360A6"/>
            </w:tcBorders>
          </w:tcPr>
          <w:p>
            <w:pPr>
              <w:spacing w:after="0"/>
              <w:rPr>
                <w:sz w:val="12"/>
                <w:szCs w:val="12"/>
                <w:color w:val="auto"/>
              </w:rPr>
            </w:pPr>
          </w:p>
        </w:tc>
        <w:tc>
          <w:tcPr>
            <w:tcW w:w="540" w:type="dxa"/>
            <w:vAlign w:val="bottom"/>
            <w:tcBorders>
              <w:bottom w:val="single" w:sz="8" w:color="2360A6"/>
              <w:right w:val="single" w:sz="8" w:color="2360A6"/>
            </w:tcBorders>
          </w:tcPr>
          <w:p>
            <w:pPr>
              <w:spacing w:after="0"/>
              <w:rPr>
                <w:sz w:val="12"/>
                <w:szCs w:val="12"/>
                <w:color w:val="auto"/>
              </w:rPr>
            </w:pPr>
          </w:p>
        </w:tc>
        <w:tc>
          <w:tcPr>
            <w:tcW w:w="560" w:type="dxa"/>
            <w:vAlign w:val="bottom"/>
            <w:tcBorders>
              <w:bottom w:val="single" w:sz="8" w:color="2360A6"/>
            </w:tcBorders>
          </w:tcPr>
          <w:p>
            <w:pPr>
              <w:spacing w:after="0"/>
              <w:rPr>
                <w:sz w:val="12"/>
                <w:szCs w:val="12"/>
                <w:color w:val="auto"/>
              </w:rPr>
            </w:pPr>
          </w:p>
        </w:tc>
        <w:tc>
          <w:tcPr>
            <w:tcW w:w="600" w:type="dxa"/>
            <w:vAlign w:val="bottom"/>
            <w:tcBorders>
              <w:bottom w:val="single" w:sz="8" w:color="2360A6"/>
              <w:right w:val="single" w:sz="8" w:color="2360A6"/>
            </w:tcBorders>
          </w:tcPr>
          <w:p>
            <w:pPr>
              <w:spacing w:after="0"/>
              <w:rPr>
                <w:sz w:val="12"/>
                <w:szCs w:val="12"/>
                <w:color w:val="auto"/>
              </w:rPr>
            </w:pPr>
          </w:p>
        </w:tc>
        <w:tc>
          <w:tcPr>
            <w:tcW w:w="540" w:type="dxa"/>
            <w:vAlign w:val="bottom"/>
            <w:tcBorders>
              <w:bottom w:val="single" w:sz="8" w:color="2360A6"/>
              <w:right w:val="single" w:sz="8" w:color="2360A6"/>
            </w:tcBorders>
          </w:tcPr>
          <w:p>
            <w:pPr>
              <w:spacing w:after="0"/>
              <w:rPr>
                <w:sz w:val="12"/>
                <w:szCs w:val="12"/>
                <w:color w:val="auto"/>
              </w:rPr>
            </w:pPr>
          </w:p>
        </w:tc>
        <w:tc>
          <w:tcPr>
            <w:tcW w:w="420" w:type="dxa"/>
            <w:vAlign w:val="bottom"/>
            <w:tcBorders>
              <w:bottom w:val="single" w:sz="8" w:color="2360A6"/>
            </w:tcBorders>
            <w:shd w:val="clear" w:color="auto" w:fill="006EBF"/>
          </w:tcPr>
          <w:p>
            <w:pPr>
              <w:spacing w:after="0"/>
              <w:rPr>
                <w:sz w:val="12"/>
                <w:szCs w:val="12"/>
                <w:color w:val="auto"/>
              </w:rPr>
            </w:pPr>
          </w:p>
        </w:tc>
        <w:tc>
          <w:tcPr>
            <w:tcW w:w="120" w:type="dxa"/>
            <w:vAlign w:val="bottom"/>
            <w:tcBorders>
              <w:bottom w:val="single" w:sz="8" w:color="2360A6"/>
              <w:right w:val="single" w:sz="8" w:color="2360A6"/>
            </w:tcBorders>
            <w:shd w:val="clear" w:color="auto" w:fill="006EBF"/>
          </w:tcPr>
          <w:p>
            <w:pPr>
              <w:spacing w:after="0"/>
              <w:rPr>
                <w:sz w:val="12"/>
                <w:szCs w:val="12"/>
                <w:color w:val="auto"/>
              </w:rPr>
            </w:pPr>
          </w:p>
        </w:tc>
        <w:tc>
          <w:tcPr>
            <w:tcW w:w="620" w:type="dxa"/>
            <w:vAlign w:val="bottom"/>
            <w:tcBorders>
              <w:bottom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220" w:type="dxa"/>
            <w:vAlign w:val="bottom"/>
            <w:tcBorders>
              <w:right w:val="single" w:sz="8" w:color="2360A6"/>
            </w:tcBorders>
          </w:tcPr>
          <w:p>
            <w:pPr>
              <w:spacing w:after="0"/>
              <w:rPr>
                <w:sz w:val="11"/>
                <w:szCs w:val="11"/>
                <w:color w:val="auto"/>
              </w:rPr>
            </w:pPr>
          </w:p>
        </w:tc>
        <w:tc>
          <w:tcPr>
            <w:tcW w:w="460" w:type="dxa"/>
            <w:vAlign w:val="bottom"/>
            <w:tcBorders>
              <w:right w:val="single" w:sz="8" w:color="2360A6"/>
            </w:tcBorders>
          </w:tcPr>
          <w:p>
            <w:pPr>
              <w:spacing w:after="0"/>
              <w:rPr>
                <w:sz w:val="11"/>
                <w:szCs w:val="11"/>
                <w:color w:val="auto"/>
              </w:rPr>
            </w:pPr>
          </w:p>
        </w:tc>
        <w:tc>
          <w:tcPr>
            <w:tcW w:w="600" w:type="dxa"/>
            <w:vAlign w:val="bottom"/>
            <w:tcBorders>
              <w:right w:val="single" w:sz="8" w:color="2360A6"/>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Parts</w:t>
            </w:r>
          </w:p>
        </w:tc>
        <w:tc>
          <w:tcPr>
            <w:tcW w:w="56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620" w:type="dxa"/>
            <w:vAlign w:val="bottom"/>
            <w:tcBorders>
              <w:right w:val="single" w:sz="8" w:color="2360A6"/>
            </w:tcBorders>
          </w:tcPr>
          <w:p>
            <w:pPr>
              <w:spacing w:after="0"/>
              <w:rPr>
                <w:sz w:val="11"/>
                <w:szCs w:val="11"/>
                <w:color w:val="auto"/>
              </w:rPr>
            </w:pPr>
          </w:p>
        </w:tc>
        <w:tc>
          <w:tcPr>
            <w:tcW w:w="540" w:type="dxa"/>
            <w:vAlign w:val="bottom"/>
            <w:tcBorders>
              <w:right w:val="single" w:sz="8" w:color="2360A6"/>
            </w:tcBorders>
          </w:tcPr>
          <w:p>
            <w:pPr>
              <w:spacing w:after="0"/>
              <w:rPr>
                <w:sz w:val="11"/>
                <w:szCs w:val="11"/>
                <w:color w:val="auto"/>
              </w:rPr>
            </w:pPr>
          </w:p>
        </w:tc>
        <w:tc>
          <w:tcPr>
            <w:tcW w:w="540" w:type="dxa"/>
            <w:vAlign w:val="bottom"/>
            <w:tcBorders>
              <w:right w:val="single" w:sz="8" w:color="2360A6"/>
            </w:tcBorders>
          </w:tcPr>
          <w:p>
            <w:pPr>
              <w:spacing w:after="0"/>
              <w:rPr>
                <w:sz w:val="11"/>
                <w:szCs w:val="11"/>
                <w:color w:val="auto"/>
              </w:rPr>
            </w:pPr>
          </w:p>
        </w:tc>
        <w:tc>
          <w:tcPr>
            <w:tcW w:w="560" w:type="dxa"/>
            <w:vAlign w:val="bottom"/>
            <w:tcBorders>
              <w:right w:val="single" w:sz="8" w:color="2360A6"/>
            </w:tcBorders>
          </w:tcPr>
          <w:p>
            <w:pPr>
              <w:spacing w:after="0"/>
              <w:rPr>
                <w:sz w:val="11"/>
                <w:szCs w:val="11"/>
                <w:color w:val="auto"/>
              </w:rPr>
            </w:pPr>
          </w:p>
        </w:tc>
        <w:tc>
          <w:tcPr>
            <w:tcW w:w="540" w:type="dxa"/>
            <w:vAlign w:val="bottom"/>
            <w:tcBorders>
              <w:right w:val="single" w:sz="8" w:color="2360A6"/>
            </w:tcBorders>
          </w:tcPr>
          <w:p>
            <w:pPr>
              <w:spacing w:after="0"/>
              <w:rPr>
                <w:sz w:val="11"/>
                <w:szCs w:val="11"/>
                <w:color w:val="auto"/>
              </w:rPr>
            </w:pPr>
          </w:p>
        </w:tc>
        <w:tc>
          <w:tcPr>
            <w:tcW w:w="540" w:type="dxa"/>
            <w:vAlign w:val="bottom"/>
            <w:tcBorders>
              <w:right w:val="single" w:sz="8" w:color="2360A6"/>
            </w:tcBorders>
          </w:tcPr>
          <w:p>
            <w:pPr>
              <w:spacing w:after="0"/>
              <w:rPr>
                <w:sz w:val="11"/>
                <w:szCs w:val="11"/>
                <w:color w:val="auto"/>
              </w:rPr>
            </w:pPr>
          </w:p>
        </w:tc>
        <w:tc>
          <w:tcPr>
            <w:tcW w:w="560" w:type="dxa"/>
            <w:vAlign w:val="bottom"/>
            <w:tcBorders>
              <w:right w:val="single" w:sz="8" w:color="2360A6"/>
            </w:tcBorders>
          </w:tcPr>
          <w:p>
            <w:pPr>
              <w:spacing w:after="0"/>
              <w:rPr>
                <w:sz w:val="11"/>
                <w:szCs w:val="11"/>
                <w:color w:val="auto"/>
              </w:rPr>
            </w:pPr>
          </w:p>
        </w:tc>
        <w:tc>
          <w:tcPr>
            <w:tcW w:w="540" w:type="dxa"/>
            <w:vAlign w:val="bottom"/>
            <w:tcBorders>
              <w:right w:val="single" w:sz="8" w:color="2360A6"/>
            </w:tcBorders>
          </w:tcPr>
          <w:p>
            <w:pPr>
              <w:spacing w:after="0"/>
              <w:rPr>
                <w:sz w:val="11"/>
                <w:szCs w:val="11"/>
                <w:color w:val="auto"/>
              </w:rPr>
            </w:pPr>
          </w:p>
        </w:tc>
        <w:tc>
          <w:tcPr>
            <w:tcW w:w="560" w:type="dxa"/>
            <w:vAlign w:val="bottom"/>
            <w:tcBorders>
              <w:right w:val="single" w:sz="8" w:color="2360A6"/>
            </w:tcBorders>
          </w:tcPr>
          <w:p>
            <w:pPr>
              <w:spacing w:after="0"/>
              <w:rPr>
                <w:sz w:val="11"/>
                <w:szCs w:val="11"/>
                <w:color w:val="auto"/>
              </w:rPr>
            </w:pPr>
          </w:p>
        </w:tc>
        <w:tc>
          <w:tcPr>
            <w:tcW w:w="600" w:type="dxa"/>
            <w:vAlign w:val="bottom"/>
            <w:tcBorders>
              <w:right w:val="single" w:sz="8" w:color="2360A6"/>
            </w:tcBorders>
          </w:tcPr>
          <w:p>
            <w:pPr>
              <w:spacing w:after="0"/>
              <w:rPr>
                <w:sz w:val="11"/>
                <w:szCs w:val="11"/>
                <w:color w:val="auto"/>
              </w:rPr>
            </w:pPr>
          </w:p>
        </w:tc>
        <w:tc>
          <w:tcPr>
            <w:tcW w:w="540" w:type="dxa"/>
            <w:vAlign w:val="bottom"/>
            <w:tcBorders>
              <w:right w:val="single" w:sz="8" w:color="2360A6"/>
            </w:tcBorders>
          </w:tcPr>
          <w:p>
            <w:pPr>
              <w:spacing w:after="0"/>
              <w:rPr>
                <w:sz w:val="11"/>
                <w:szCs w:val="11"/>
                <w:color w:val="auto"/>
              </w:rPr>
            </w:pPr>
          </w:p>
        </w:tc>
        <w:tc>
          <w:tcPr>
            <w:tcW w:w="420" w:type="dxa"/>
            <w:vAlign w:val="bottom"/>
            <w:shd w:val="clear" w:color="auto" w:fill="EDEDEE"/>
          </w:tcPr>
          <w:p>
            <w:pPr>
              <w:spacing w:after="0"/>
              <w:rPr>
                <w:sz w:val="11"/>
                <w:szCs w:val="11"/>
                <w:color w:val="auto"/>
              </w:rPr>
            </w:pPr>
          </w:p>
        </w:tc>
        <w:tc>
          <w:tcPr>
            <w:tcW w:w="120" w:type="dxa"/>
            <w:vAlign w:val="bottom"/>
            <w:tcBorders>
              <w:right w:val="single" w:sz="8" w:color="2360A6"/>
            </w:tcBorders>
            <w:shd w:val="clear" w:color="auto" w:fill="EDEDEE"/>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20" w:type="dxa"/>
            <w:vAlign w:val="bottom"/>
            <w:tcBorders>
              <w:right w:val="single" w:sz="8" w:color="2360A6"/>
            </w:tcBorders>
          </w:tcPr>
          <w:p>
            <w:pPr>
              <w:spacing w:after="0"/>
              <w:rPr>
                <w:sz w:val="10"/>
                <w:szCs w:val="10"/>
                <w:color w:val="auto"/>
              </w:rPr>
            </w:pPr>
          </w:p>
        </w:tc>
        <w:tc>
          <w:tcPr>
            <w:tcW w:w="4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jc w:val="right"/>
              <w:ind w:right="46"/>
              <w:spacing w:after="0" w:line="122" w:lineRule="exact"/>
              <w:rPr>
                <w:sz w:val="20"/>
                <w:szCs w:val="20"/>
                <w:color w:val="auto"/>
              </w:rPr>
            </w:pPr>
            <w:r>
              <w:rPr>
                <w:rFonts w:ascii="Arial" w:cs="Arial" w:eastAsia="Arial" w:hAnsi="Arial"/>
                <w:sz w:val="11"/>
                <w:szCs w:val="11"/>
                <w:b w:val="1"/>
                <w:bCs w:val="1"/>
                <w:color w:val="2360A6"/>
              </w:rPr>
              <w:t>Parts</w:t>
            </w:r>
          </w:p>
        </w:tc>
        <w:tc>
          <w:tcPr>
            <w:tcW w:w="80" w:type="dxa"/>
            <w:vAlign w:val="bottom"/>
          </w:tcPr>
          <w:p>
            <w:pPr>
              <w:spacing w:after="0"/>
              <w:rPr>
                <w:sz w:val="10"/>
                <w:szCs w:val="10"/>
                <w:color w:val="auto"/>
              </w:rPr>
            </w:pPr>
          </w:p>
        </w:tc>
        <w:tc>
          <w:tcPr>
            <w:tcW w:w="56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1, 2</w:t>
            </w:r>
          </w:p>
        </w:tc>
        <w:tc>
          <w:tcPr>
            <w:tcW w:w="56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2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420" w:type="dxa"/>
            <w:vAlign w:val="bottom"/>
            <w:shd w:val="clear" w:color="auto" w:fill="EDEDEE"/>
          </w:tcPr>
          <w:p>
            <w:pPr>
              <w:spacing w:after="0"/>
              <w:rPr>
                <w:sz w:val="10"/>
                <w:szCs w:val="10"/>
                <w:color w:val="auto"/>
              </w:rPr>
            </w:pPr>
          </w:p>
        </w:tc>
        <w:tc>
          <w:tcPr>
            <w:tcW w:w="120" w:type="dxa"/>
            <w:vAlign w:val="bottom"/>
            <w:tcBorders>
              <w:right w:val="single" w:sz="8" w:color="2360A6"/>
            </w:tcBorders>
            <w:shd w:val="clear" w:color="auto" w:fill="EDEDE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Borders>
              <w:right w:val="single" w:sz="8" w:color="2360A6"/>
            </w:tcBorders>
          </w:tcPr>
          <w:p>
            <w:pPr>
              <w:spacing w:after="0"/>
              <w:rPr>
                <w:sz w:val="10"/>
                <w:szCs w:val="10"/>
                <w:color w:val="auto"/>
              </w:rPr>
            </w:pPr>
          </w:p>
        </w:tc>
        <w:tc>
          <w:tcPr>
            <w:tcW w:w="4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jc w:val="right"/>
              <w:ind w:right="46"/>
              <w:spacing w:after="0" w:line="122" w:lineRule="exact"/>
              <w:rPr>
                <w:sz w:val="20"/>
                <w:szCs w:val="20"/>
                <w:color w:val="auto"/>
              </w:rPr>
            </w:pPr>
            <w:r>
              <w:rPr>
                <w:rFonts w:ascii="Arial" w:cs="Arial" w:eastAsia="Arial" w:hAnsi="Arial"/>
                <w:sz w:val="11"/>
                <w:szCs w:val="11"/>
                <w:b w:val="1"/>
                <w:bCs w:val="1"/>
                <w:color w:val="2360A6"/>
              </w:rPr>
              <w:t>1 and</w:t>
            </w:r>
          </w:p>
        </w:tc>
        <w:tc>
          <w:tcPr>
            <w:tcW w:w="80" w:type="dxa"/>
            <w:vAlign w:val="bottom"/>
          </w:tcPr>
          <w:p>
            <w:pPr>
              <w:spacing w:after="0"/>
              <w:rPr>
                <w:sz w:val="10"/>
                <w:szCs w:val="10"/>
                <w:color w:val="auto"/>
              </w:rPr>
            </w:pPr>
          </w:p>
        </w:tc>
        <w:tc>
          <w:tcPr>
            <w:tcW w:w="56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and 3</w:t>
            </w:r>
          </w:p>
        </w:tc>
        <w:tc>
          <w:tcPr>
            <w:tcW w:w="56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2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Part 1</w:t>
            </w:r>
          </w:p>
        </w:tc>
        <w:tc>
          <w:tcPr>
            <w:tcW w:w="540" w:type="dxa"/>
            <w:vAlign w:val="bottom"/>
            <w:tcBorders>
              <w:right w:val="single" w:sz="8" w:color="2360A6"/>
            </w:tcBorders>
          </w:tcPr>
          <w:p>
            <w:pPr>
              <w:spacing w:after="0"/>
              <w:rPr>
                <w:sz w:val="10"/>
                <w:szCs w:val="10"/>
                <w:color w:val="auto"/>
              </w:rPr>
            </w:pPr>
          </w:p>
        </w:tc>
        <w:tc>
          <w:tcPr>
            <w:tcW w:w="420" w:type="dxa"/>
            <w:vAlign w:val="bottom"/>
            <w:shd w:val="clear" w:color="auto" w:fill="EDEDEE"/>
          </w:tcPr>
          <w:p>
            <w:pPr>
              <w:spacing w:after="0"/>
              <w:rPr>
                <w:sz w:val="10"/>
                <w:szCs w:val="10"/>
                <w:color w:val="auto"/>
              </w:rPr>
            </w:pPr>
          </w:p>
        </w:tc>
        <w:tc>
          <w:tcPr>
            <w:tcW w:w="120" w:type="dxa"/>
            <w:vAlign w:val="bottom"/>
            <w:tcBorders>
              <w:right w:val="single" w:sz="8" w:color="2360A6"/>
            </w:tcBorders>
            <w:shd w:val="clear" w:color="auto" w:fill="EDEDE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Borders>
              <w:right w:val="single" w:sz="8" w:color="2360A6"/>
            </w:tcBorders>
          </w:tcPr>
          <w:p>
            <w:pPr>
              <w:spacing w:after="0"/>
              <w:rPr>
                <w:sz w:val="10"/>
                <w:szCs w:val="10"/>
                <w:color w:val="auto"/>
              </w:rPr>
            </w:pPr>
          </w:p>
        </w:tc>
        <w:tc>
          <w:tcPr>
            <w:tcW w:w="4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jc w:val="right"/>
              <w:ind w:right="46"/>
              <w:spacing w:after="0" w:line="122" w:lineRule="exact"/>
              <w:rPr>
                <w:sz w:val="20"/>
                <w:szCs w:val="20"/>
                <w:color w:val="auto"/>
              </w:rPr>
            </w:pPr>
            <w:r>
              <w:rPr>
                <w:rFonts w:ascii="Arial" w:cs="Arial" w:eastAsia="Arial" w:hAnsi="Arial"/>
                <w:sz w:val="11"/>
                <w:szCs w:val="11"/>
                <w:b w:val="1"/>
                <w:bCs w:val="1"/>
                <w:color w:val="2360A6"/>
              </w:rPr>
              <w:t>2 Re-</w:t>
            </w:r>
          </w:p>
        </w:tc>
        <w:tc>
          <w:tcPr>
            <w:tcW w:w="80" w:type="dxa"/>
            <w:vAlign w:val="bottom"/>
          </w:tcPr>
          <w:p>
            <w:pPr>
              <w:spacing w:after="0"/>
              <w:rPr>
                <w:sz w:val="10"/>
                <w:szCs w:val="10"/>
                <w:color w:val="auto"/>
              </w:rPr>
            </w:pPr>
          </w:p>
        </w:tc>
        <w:tc>
          <w:tcPr>
            <w:tcW w:w="56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Re-</w:t>
            </w:r>
          </w:p>
        </w:tc>
        <w:tc>
          <w:tcPr>
            <w:tcW w:w="56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2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Re-</w:t>
            </w:r>
          </w:p>
        </w:tc>
        <w:tc>
          <w:tcPr>
            <w:tcW w:w="540" w:type="dxa"/>
            <w:vAlign w:val="bottom"/>
            <w:tcBorders>
              <w:right w:val="single" w:sz="8" w:color="2360A6"/>
            </w:tcBorders>
          </w:tcPr>
          <w:p>
            <w:pPr>
              <w:spacing w:after="0"/>
              <w:rPr>
                <w:sz w:val="10"/>
                <w:szCs w:val="10"/>
                <w:color w:val="auto"/>
              </w:rPr>
            </w:pPr>
          </w:p>
        </w:tc>
        <w:tc>
          <w:tcPr>
            <w:tcW w:w="420" w:type="dxa"/>
            <w:vAlign w:val="bottom"/>
            <w:shd w:val="clear" w:color="auto" w:fill="EDEDEE"/>
          </w:tcPr>
          <w:p>
            <w:pPr>
              <w:spacing w:after="0"/>
              <w:rPr>
                <w:sz w:val="10"/>
                <w:szCs w:val="10"/>
                <w:color w:val="auto"/>
              </w:rPr>
            </w:pPr>
          </w:p>
        </w:tc>
        <w:tc>
          <w:tcPr>
            <w:tcW w:w="120" w:type="dxa"/>
            <w:vAlign w:val="bottom"/>
            <w:tcBorders>
              <w:right w:val="single" w:sz="8" w:color="2360A6"/>
            </w:tcBorders>
            <w:shd w:val="clear" w:color="auto" w:fill="EDEDE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Borders>
              <w:right w:val="single" w:sz="8" w:color="2360A6"/>
            </w:tcBorders>
          </w:tcPr>
          <w:p>
            <w:pPr>
              <w:spacing w:after="0"/>
              <w:rPr>
                <w:sz w:val="10"/>
                <w:szCs w:val="10"/>
                <w:color w:val="auto"/>
              </w:rPr>
            </w:pPr>
          </w:p>
        </w:tc>
        <w:tc>
          <w:tcPr>
            <w:tcW w:w="460" w:type="dxa"/>
            <w:vAlign w:val="bottom"/>
            <w:tcBorders>
              <w:right w:val="single" w:sz="8" w:color="2360A6"/>
            </w:tcBorders>
          </w:tcPr>
          <w:p>
            <w:pPr>
              <w:jc w:val="right"/>
              <w:ind w:right="26"/>
              <w:spacing w:after="0" w:line="122" w:lineRule="exact"/>
              <w:rPr>
                <w:sz w:val="20"/>
                <w:szCs w:val="20"/>
                <w:color w:val="auto"/>
              </w:rPr>
            </w:pPr>
            <w:r>
              <w:rPr>
                <w:rFonts w:ascii="Arial" w:cs="Arial" w:eastAsia="Arial" w:hAnsi="Arial"/>
                <w:sz w:val="11"/>
                <w:szCs w:val="11"/>
                <w:b w:val="1"/>
                <w:bCs w:val="1"/>
                <w:color w:val="2360A6"/>
              </w:rPr>
              <w:t>Part 3</w:t>
            </w:r>
          </w:p>
        </w:tc>
        <w:tc>
          <w:tcPr>
            <w:tcW w:w="600" w:type="dxa"/>
            <w:vAlign w:val="bottom"/>
            <w:tcBorders>
              <w:right w:val="single" w:sz="8" w:color="2360A6"/>
            </w:tcBorders>
          </w:tcPr>
          <w:p>
            <w:pPr>
              <w:jc w:val="right"/>
              <w:ind w:right="46"/>
              <w:spacing w:after="0" w:line="122" w:lineRule="exact"/>
              <w:rPr>
                <w:sz w:val="20"/>
                <w:szCs w:val="20"/>
                <w:color w:val="auto"/>
              </w:rPr>
            </w:pPr>
            <w:r>
              <w:rPr>
                <w:rFonts w:ascii="Arial" w:cs="Arial" w:eastAsia="Arial" w:hAnsi="Arial"/>
                <w:sz w:val="11"/>
                <w:szCs w:val="11"/>
                <w:b w:val="1"/>
                <w:bCs w:val="1"/>
                <w:color w:val="2360A6"/>
              </w:rPr>
              <w:t>granted</w:t>
            </w:r>
          </w:p>
        </w:tc>
        <w:tc>
          <w:tcPr>
            <w:tcW w:w="80" w:type="dxa"/>
            <w:vAlign w:val="bottom"/>
          </w:tcPr>
          <w:p>
            <w:pPr>
              <w:spacing w:after="0"/>
              <w:rPr>
                <w:sz w:val="10"/>
                <w:szCs w:val="10"/>
                <w:color w:val="auto"/>
              </w:rPr>
            </w:pPr>
          </w:p>
        </w:tc>
        <w:tc>
          <w:tcPr>
            <w:tcW w:w="56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granted</w:t>
            </w:r>
          </w:p>
        </w:tc>
        <w:tc>
          <w:tcPr>
            <w:tcW w:w="560" w:type="dxa"/>
            <w:vAlign w:val="bottom"/>
            <w:tcBorders>
              <w:right w:val="single" w:sz="8" w:color="2360A6"/>
            </w:tcBorders>
          </w:tcPr>
          <w:p>
            <w:pPr>
              <w:jc w:val="right"/>
              <w:ind w:right="46"/>
              <w:spacing w:after="0" w:line="122" w:lineRule="exact"/>
              <w:rPr>
                <w:sz w:val="20"/>
                <w:szCs w:val="20"/>
                <w:color w:val="auto"/>
              </w:rPr>
            </w:pPr>
            <w:r>
              <w:rPr>
                <w:rFonts w:ascii="Arial" w:cs="Arial" w:eastAsia="Arial" w:hAnsi="Arial"/>
                <w:sz w:val="11"/>
                <w:szCs w:val="11"/>
                <w:b w:val="1"/>
                <w:bCs w:val="1"/>
                <w:color w:val="2360A6"/>
              </w:rPr>
              <w:t>Part 1</w:t>
            </w:r>
          </w:p>
        </w:tc>
        <w:tc>
          <w:tcPr>
            <w:tcW w:w="58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Part 1</w:t>
            </w:r>
          </w:p>
        </w:tc>
        <w:tc>
          <w:tcPr>
            <w:tcW w:w="62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Part 1</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Part 2</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Part 3</w:t>
            </w:r>
          </w:p>
        </w:tc>
        <w:tc>
          <w:tcPr>
            <w:tcW w:w="56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Part 1</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Part 2</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Part 3</w:t>
            </w:r>
          </w:p>
        </w:tc>
        <w:tc>
          <w:tcPr>
            <w:tcW w:w="560" w:type="dxa"/>
            <w:vAlign w:val="bottom"/>
            <w:tcBorders>
              <w:right w:val="single" w:sz="8" w:color="2360A6"/>
            </w:tcBorders>
          </w:tcPr>
          <w:p>
            <w:pPr>
              <w:jc w:val="right"/>
              <w:ind w:right="86"/>
              <w:spacing w:after="0" w:line="122" w:lineRule="exact"/>
              <w:rPr>
                <w:sz w:val="20"/>
                <w:szCs w:val="20"/>
                <w:color w:val="auto"/>
              </w:rPr>
            </w:pPr>
            <w:r>
              <w:rPr>
                <w:rFonts w:ascii="Arial" w:cs="Arial" w:eastAsia="Arial" w:hAnsi="Arial"/>
                <w:sz w:val="11"/>
                <w:szCs w:val="11"/>
                <w:b w:val="1"/>
                <w:bCs w:val="1"/>
                <w:color w:val="2360A6"/>
              </w:rPr>
              <w:t>Part 1</w:t>
            </w:r>
          </w:p>
        </w:tc>
        <w:tc>
          <w:tcPr>
            <w:tcW w:w="540" w:type="dxa"/>
            <w:vAlign w:val="bottom"/>
            <w:tcBorders>
              <w:right w:val="single" w:sz="8" w:color="2360A6"/>
            </w:tcBorders>
          </w:tcPr>
          <w:p>
            <w:pPr>
              <w:jc w:val="right"/>
              <w:ind w:right="86"/>
              <w:spacing w:after="0" w:line="122" w:lineRule="exact"/>
              <w:rPr>
                <w:sz w:val="20"/>
                <w:szCs w:val="20"/>
                <w:color w:val="auto"/>
              </w:rPr>
            </w:pPr>
            <w:r>
              <w:rPr>
                <w:rFonts w:ascii="Arial" w:cs="Arial" w:eastAsia="Arial" w:hAnsi="Arial"/>
                <w:sz w:val="11"/>
                <w:szCs w:val="11"/>
                <w:b w:val="1"/>
                <w:bCs w:val="1"/>
                <w:color w:val="2360A6"/>
              </w:rPr>
              <w:t>Part 2</w:t>
            </w:r>
          </w:p>
        </w:tc>
        <w:tc>
          <w:tcPr>
            <w:tcW w:w="560" w:type="dxa"/>
            <w:vAlign w:val="bottom"/>
            <w:tcBorders>
              <w:right w:val="single" w:sz="8" w:color="2360A6"/>
            </w:tcBorders>
          </w:tcPr>
          <w:p>
            <w:pPr>
              <w:jc w:val="right"/>
              <w:ind w:right="86"/>
              <w:spacing w:after="0" w:line="122" w:lineRule="exact"/>
              <w:rPr>
                <w:sz w:val="20"/>
                <w:szCs w:val="20"/>
                <w:color w:val="auto"/>
              </w:rPr>
            </w:pPr>
            <w:r>
              <w:rPr>
                <w:rFonts w:ascii="Arial" w:cs="Arial" w:eastAsia="Arial" w:hAnsi="Arial"/>
                <w:sz w:val="11"/>
                <w:szCs w:val="11"/>
                <w:b w:val="1"/>
                <w:bCs w:val="1"/>
                <w:color w:val="2360A6"/>
              </w:rPr>
              <w:t>Part 1</w:t>
            </w:r>
          </w:p>
        </w:tc>
        <w:tc>
          <w:tcPr>
            <w:tcW w:w="60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2360A6"/>
              </w:rPr>
              <w:t>granted</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b w:val="1"/>
                <w:bCs w:val="1"/>
                <w:color w:val="006EBF"/>
              </w:rPr>
              <w:t>Part 1</w:t>
            </w:r>
          </w:p>
        </w:tc>
        <w:tc>
          <w:tcPr>
            <w:tcW w:w="420" w:type="dxa"/>
            <w:vAlign w:val="bottom"/>
            <w:shd w:val="clear" w:color="auto" w:fill="EDEDEE"/>
          </w:tcPr>
          <w:p>
            <w:pPr>
              <w:jc w:val="right"/>
              <w:spacing w:after="0" w:line="122" w:lineRule="exact"/>
              <w:rPr>
                <w:sz w:val="20"/>
                <w:szCs w:val="20"/>
                <w:color w:val="auto"/>
              </w:rPr>
            </w:pPr>
            <w:r>
              <w:rPr>
                <w:rFonts w:ascii="Arial" w:cs="Arial" w:eastAsia="Arial" w:hAnsi="Arial"/>
                <w:sz w:val="11"/>
                <w:szCs w:val="11"/>
                <w:b w:val="1"/>
                <w:bCs w:val="1"/>
                <w:color w:val="2360A6"/>
              </w:rPr>
              <w:t>Part 1</w:t>
            </w:r>
          </w:p>
        </w:tc>
        <w:tc>
          <w:tcPr>
            <w:tcW w:w="120" w:type="dxa"/>
            <w:vAlign w:val="bottom"/>
            <w:tcBorders>
              <w:right w:val="single" w:sz="8" w:color="2360A6"/>
            </w:tcBorders>
            <w:shd w:val="clear" w:color="auto" w:fill="EDEDE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Number of Options</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(1)</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(1)</w:t>
            </w:r>
          </w:p>
        </w:tc>
        <w:tc>
          <w:tcPr>
            <w:tcW w:w="80" w:type="dxa"/>
            <w:vAlign w:val="bottom"/>
          </w:tcPr>
          <w:p>
            <w:pPr>
              <w:spacing w:after="0"/>
              <w:rPr>
                <w:sz w:val="14"/>
                <w:szCs w:val="14"/>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(2)</w:t>
            </w:r>
          </w:p>
        </w:tc>
        <w:tc>
          <w:tcPr>
            <w:tcW w:w="58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w:t>
            </w:r>
          </w:p>
        </w:tc>
        <w:tc>
          <w:tcPr>
            <w:tcW w:w="6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(1)</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(1)</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(1)</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006EBF"/>
              </w:rPr>
              <w:t>(1)</w:t>
            </w: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b w:val="1"/>
                <w:bCs w:val="1"/>
                <w:color w:val="2360A6"/>
              </w:rPr>
              <w:t>(1)</w:t>
            </w:r>
          </w:p>
        </w:tc>
        <w:tc>
          <w:tcPr>
            <w:tcW w:w="120" w:type="dxa"/>
            <w:vAlign w:val="bottom"/>
            <w:tcBorders>
              <w:bottom w:val="single" w:sz="8" w:color="EDEDEE"/>
              <w:right w:val="single" w:sz="8" w:color="2360A6"/>
            </w:tcBorders>
            <w:shd w:val="clear" w:color="auto" w:fill="EDEDE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Approval Date by</w:t>
            </w:r>
          </w:p>
        </w:tc>
        <w:tc>
          <w:tcPr>
            <w:tcW w:w="46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auto"/>
              </w:rPr>
              <w:t>Apr.</w:t>
            </w:r>
          </w:p>
        </w:tc>
        <w:tc>
          <w:tcPr>
            <w:tcW w:w="600" w:type="dxa"/>
            <w:vAlign w:val="bottom"/>
            <w:tcBorders>
              <w:top w:val="single" w:sz="8" w:color="2360A6"/>
              <w:right w:val="single" w:sz="8" w:color="2360A6"/>
            </w:tcBorders>
          </w:tcPr>
          <w:p>
            <w:pPr>
              <w:spacing w:after="0"/>
              <w:rPr>
                <w:sz w:val="12"/>
                <w:szCs w:val="12"/>
                <w:color w:val="auto"/>
              </w:rPr>
            </w:pPr>
          </w:p>
        </w:tc>
        <w:tc>
          <w:tcPr>
            <w:tcW w:w="80" w:type="dxa"/>
            <w:vAlign w:val="bottom"/>
            <w:tcBorders>
              <w:top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2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420" w:type="dxa"/>
            <w:vAlign w:val="bottom"/>
            <w:tcBorders>
              <w:top w:val="single" w:sz="8" w:color="2360A6"/>
            </w:tcBorders>
            <w:shd w:val="clear" w:color="auto" w:fill="EDEDEE"/>
          </w:tcPr>
          <w:p>
            <w:pPr>
              <w:spacing w:after="0"/>
              <w:rPr>
                <w:sz w:val="12"/>
                <w:szCs w:val="12"/>
                <w:color w:val="auto"/>
              </w:rPr>
            </w:pPr>
          </w:p>
        </w:tc>
        <w:tc>
          <w:tcPr>
            <w:tcW w:w="120" w:type="dxa"/>
            <w:vAlign w:val="bottom"/>
            <w:tcBorders>
              <w:top w:val="single" w:sz="8" w:color="2360A6"/>
              <w:right w:val="single" w:sz="8" w:color="2360A6"/>
            </w:tcBorders>
            <w:shd w:val="clear" w:color="auto" w:fill="EDEDEE"/>
          </w:tcPr>
          <w:p>
            <w:pPr>
              <w:spacing w:after="0"/>
              <w:rPr>
                <w:sz w:val="12"/>
                <w:szCs w:val="12"/>
                <w:color w:val="auto"/>
              </w:rPr>
            </w:pPr>
          </w:p>
        </w:tc>
        <w:tc>
          <w:tcPr>
            <w:tcW w:w="620" w:type="dxa"/>
            <w:vAlign w:val="bottom"/>
            <w:tcBorders>
              <w:top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20" w:type="dxa"/>
            <w:vAlign w:val="bottom"/>
            <w:tcBorders>
              <w:right w:val="single" w:sz="8" w:color="2360A6"/>
            </w:tcBorders>
          </w:tcPr>
          <w:p>
            <w:pPr>
              <w:ind w:left="40"/>
              <w:spacing w:after="0" w:line="122" w:lineRule="exact"/>
              <w:rPr>
                <w:sz w:val="20"/>
                <w:szCs w:val="20"/>
                <w:color w:val="auto"/>
              </w:rPr>
            </w:pPr>
            <w:r>
              <w:rPr>
                <w:rFonts w:ascii="Arial" w:cs="Arial" w:eastAsia="Arial" w:hAnsi="Arial"/>
                <w:sz w:val="11"/>
                <w:szCs w:val="11"/>
                <w:color w:val="231F20"/>
              </w:rPr>
              <w:t>Shareholders’ General</w:t>
            </w:r>
          </w:p>
        </w:tc>
        <w:tc>
          <w:tcPr>
            <w:tcW w:w="460" w:type="dxa"/>
            <w:vAlign w:val="bottom"/>
            <w:tcBorders>
              <w:right w:val="single" w:sz="8" w:color="2360A6"/>
            </w:tcBorders>
          </w:tcPr>
          <w:p>
            <w:pPr>
              <w:jc w:val="right"/>
              <w:ind w:right="26"/>
              <w:spacing w:after="0" w:line="122" w:lineRule="exact"/>
              <w:rPr>
                <w:sz w:val="20"/>
                <w:szCs w:val="20"/>
                <w:color w:val="auto"/>
              </w:rPr>
            </w:pPr>
            <w:r>
              <w:rPr>
                <w:rFonts w:ascii="Arial" w:cs="Arial" w:eastAsia="Arial" w:hAnsi="Arial"/>
                <w:sz w:val="11"/>
                <w:szCs w:val="11"/>
                <w:color w:val="auto"/>
              </w:rPr>
              <w:t>29,</w:t>
            </w:r>
          </w:p>
        </w:tc>
        <w:tc>
          <w:tcPr>
            <w:tcW w:w="600" w:type="dxa"/>
            <w:vAlign w:val="bottom"/>
            <w:tcBorders>
              <w:right w:val="single" w:sz="8" w:color="2360A6"/>
            </w:tcBorders>
          </w:tcPr>
          <w:p>
            <w:pPr>
              <w:jc w:val="right"/>
              <w:ind w:right="46"/>
              <w:spacing w:after="0" w:line="122" w:lineRule="exact"/>
              <w:rPr>
                <w:sz w:val="20"/>
                <w:szCs w:val="20"/>
                <w:color w:val="auto"/>
              </w:rPr>
            </w:pPr>
            <w:r>
              <w:rPr>
                <w:rFonts w:ascii="Arial" w:cs="Arial" w:eastAsia="Arial" w:hAnsi="Arial"/>
                <w:sz w:val="11"/>
                <w:szCs w:val="11"/>
                <w:color w:val="auto"/>
              </w:rPr>
              <w:t>Apr. 29,</w:t>
            </w:r>
          </w:p>
        </w:tc>
        <w:tc>
          <w:tcPr>
            <w:tcW w:w="80" w:type="dxa"/>
            <w:vAlign w:val="bottom"/>
          </w:tcPr>
          <w:p>
            <w:pPr>
              <w:spacing w:after="0"/>
              <w:rPr>
                <w:sz w:val="10"/>
                <w:szCs w:val="10"/>
                <w:color w:val="auto"/>
              </w:rPr>
            </w:pPr>
          </w:p>
        </w:tc>
        <w:tc>
          <w:tcPr>
            <w:tcW w:w="56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Apr. 29,</w:t>
            </w:r>
          </w:p>
        </w:tc>
        <w:tc>
          <w:tcPr>
            <w:tcW w:w="560" w:type="dxa"/>
            <w:vAlign w:val="bottom"/>
            <w:tcBorders>
              <w:right w:val="single" w:sz="8" w:color="2360A6"/>
            </w:tcBorders>
          </w:tcPr>
          <w:p>
            <w:pPr>
              <w:jc w:val="right"/>
              <w:ind w:right="46"/>
              <w:spacing w:after="0" w:line="122" w:lineRule="exact"/>
              <w:rPr>
                <w:sz w:val="20"/>
                <w:szCs w:val="20"/>
                <w:color w:val="auto"/>
              </w:rPr>
            </w:pPr>
            <w:r>
              <w:rPr>
                <w:rFonts w:ascii="Arial" w:cs="Arial" w:eastAsia="Arial" w:hAnsi="Arial"/>
                <w:sz w:val="11"/>
                <w:szCs w:val="11"/>
                <w:color w:val="auto"/>
              </w:rPr>
              <w:t>May 06,</w:t>
            </w:r>
          </w:p>
        </w:tc>
        <w:tc>
          <w:tcPr>
            <w:tcW w:w="58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Apr. 30,</w:t>
            </w:r>
          </w:p>
        </w:tc>
        <w:tc>
          <w:tcPr>
            <w:tcW w:w="62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Apr. 29,</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Apr. 29,</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Apr. 29,</w:t>
            </w:r>
          </w:p>
        </w:tc>
        <w:tc>
          <w:tcPr>
            <w:tcW w:w="56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Apr. 28,</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Apr. 28,</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Apr. 28,</w:t>
            </w:r>
          </w:p>
        </w:tc>
        <w:tc>
          <w:tcPr>
            <w:tcW w:w="560" w:type="dxa"/>
            <w:vAlign w:val="bottom"/>
            <w:tcBorders>
              <w:right w:val="single" w:sz="8" w:color="2360A6"/>
            </w:tcBorders>
          </w:tcPr>
          <w:p>
            <w:pPr>
              <w:jc w:val="right"/>
              <w:ind w:right="86"/>
              <w:spacing w:after="0" w:line="122" w:lineRule="exact"/>
              <w:rPr>
                <w:sz w:val="20"/>
                <w:szCs w:val="20"/>
                <w:color w:val="auto"/>
              </w:rPr>
            </w:pPr>
            <w:r>
              <w:rPr>
                <w:rFonts w:ascii="Arial" w:cs="Arial" w:eastAsia="Arial" w:hAnsi="Arial"/>
                <w:sz w:val="11"/>
                <w:szCs w:val="11"/>
                <w:color w:val="auto"/>
              </w:rPr>
              <w:t>Apr. 26,</w:t>
            </w:r>
          </w:p>
        </w:tc>
        <w:tc>
          <w:tcPr>
            <w:tcW w:w="540" w:type="dxa"/>
            <w:vAlign w:val="bottom"/>
            <w:tcBorders>
              <w:right w:val="single" w:sz="8" w:color="2360A6"/>
            </w:tcBorders>
          </w:tcPr>
          <w:p>
            <w:pPr>
              <w:jc w:val="right"/>
              <w:ind w:right="86"/>
              <w:spacing w:after="0" w:line="122" w:lineRule="exact"/>
              <w:rPr>
                <w:sz w:val="20"/>
                <w:szCs w:val="20"/>
                <w:color w:val="auto"/>
              </w:rPr>
            </w:pPr>
            <w:r>
              <w:rPr>
                <w:rFonts w:ascii="Arial" w:cs="Arial" w:eastAsia="Arial" w:hAnsi="Arial"/>
                <w:sz w:val="11"/>
                <w:szCs w:val="11"/>
                <w:color w:val="auto"/>
                <w:w w:val="98"/>
              </w:rPr>
              <w:t>Apr. 26,</w:t>
            </w:r>
          </w:p>
        </w:tc>
        <w:tc>
          <w:tcPr>
            <w:tcW w:w="560" w:type="dxa"/>
            <w:vAlign w:val="bottom"/>
            <w:tcBorders>
              <w:right w:val="single" w:sz="8" w:color="2360A6"/>
            </w:tcBorders>
          </w:tcPr>
          <w:p>
            <w:pPr>
              <w:jc w:val="right"/>
              <w:ind w:right="86"/>
              <w:spacing w:after="0" w:line="122" w:lineRule="exact"/>
              <w:rPr>
                <w:sz w:val="20"/>
                <w:szCs w:val="20"/>
                <w:color w:val="auto"/>
              </w:rPr>
            </w:pPr>
            <w:r>
              <w:rPr>
                <w:rFonts w:ascii="Arial" w:cs="Arial" w:eastAsia="Arial" w:hAnsi="Arial"/>
                <w:sz w:val="11"/>
                <w:szCs w:val="11"/>
                <w:color w:val="auto"/>
              </w:rPr>
              <w:t>Apr. 25,</w:t>
            </w:r>
          </w:p>
        </w:tc>
        <w:tc>
          <w:tcPr>
            <w:tcW w:w="60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Apr. 25,</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Apr. 24,</w:t>
            </w:r>
          </w:p>
        </w:tc>
        <w:tc>
          <w:tcPr>
            <w:tcW w:w="420" w:type="dxa"/>
            <w:vAlign w:val="bottom"/>
            <w:shd w:val="clear" w:color="auto" w:fill="EDEDEE"/>
          </w:tcPr>
          <w:p>
            <w:pPr>
              <w:jc w:val="right"/>
              <w:spacing w:after="0" w:line="122" w:lineRule="exact"/>
              <w:rPr>
                <w:sz w:val="20"/>
                <w:szCs w:val="20"/>
                <w:color w:val="auto"/>
              </w:rPr>
            </w:pPr>
            <w:r>
              <w:rPr>
                <w:rFonts w:ascii="Arial" w:cs="Arial" w:eastAsia="Arial" w:hAnsi="Arial"/>
                <w:sz w:val="11"/>
                <w:szCs w:val="11"/>
                <w:color w:val="auto"/>
              </w:rPr>
              <w:t>Apr. 28,</w:t>
            </w:r>
          </w:p>
        </w:tc>
        <w:tc>
          <w:tcPr>
            <w:tcW w:w="120" w:type="dxa"/>
            <w:vAlign w:val="bottom"/>
            <w:tcBorders>
              <w:right w:val="single" w:sz="8" w:color="2360A6"/>
            </w:tcBorders>
            <w:shd w:val="clear" w:color="auto" w:fill="EDEDE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color w:val="231F20"/>
              </w:rPr>
              <w:t>Meeting</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auto"/>
              </w:rPr>
              <w:t>2005</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auto"/>
              </w:rPr>
              <w:t>2005</w:t>
            </w:r>
          </w:p>
        </w:tc>
        <w:tc>
          <w:tcPr>
            <w:tcW w:w="80" w:type="dxa"/>
            <w:vAlign w:val="bottom"/>
          </w:tcPr>
          <w:p>
            <w:pPr>
              <w:spacing w:after="0"/>
              <w:rPr>
                <w:sz w:val="13"/>
                <w:szCs w:val="13"/>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2005</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auto"/>
              </w:rPr>
              <w:t>2008</w:t>
            </w:r>
          </w:p>
        </w:tc>
        <w:tc>
          <w:tcPr>
            <w:tcW w:w="58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2009</w:t>
            </w:r>
          </w:p>
        </w:tc>
        <w:tc>
          <w:tcPr>
            <w:tcW w:w="6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2010</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2011</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2011</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2011</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auto"/>
              </w:rPr>
              <w:t>2012</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auto"/>
              </w:rPr>
              <w:t>2012</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auto"/>
              </w:rPr>
              <w:t>2013</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2013</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2014</w:t>
            </w: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color w:val="auto"/>
              </w:rPr>
              <w:t>2016</w:t>
            </w:r>
          </w:p>
        </w:tc>
        <w:tc>
          <w:tcPr>
            <w:tcW w:w="120" w:type="dxa"/>
            <w:vAlign w:val="bottom"/>
            <w:tcBorders>
              <w:bottom w:val="single" w:sz="8" w:color="EDEDEE"/>
              <w:right w:val="single" w:sz="8" w:color="2360A6"/>
            </w:tcBorders>
            <w:shd w:val="clear" w:color="auto" w:fill="EDEDEE"/>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220" w:type="dxa"/>
            <w:vAlign w:val="bottom"/>
            <w:tcBorders>
              <w:top w:val="single" w:sz="8" w:color="2360A6"/>
              <w:right w:val="single" w:sz="8" w:color="2360A6"/>
            </w:tcBorders>
          </w:tcPr>
          <w:p>
            <w:pPr>
              <w:spacing w:after="0"/>
              <w:rPr>
                <w:sz w:val="12"/>
                <w:szCs w:val="12"/>
                <w:color w:val="auto"/>
              </w:rPr>
            </w:pPr>
          </w:p>
        </w:tc>
        <w:tc>
          <w:tcPr>
            <w:tcW w:w="46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auto"/>
              </w:rPr>
              <w:t>March</w:t>
            </w:r>
          </w:p>
        </w:tc>
        <w:tc>
          <w:tcPr>
            <w:tcW w:w="600" w:type="dxa"/>
            <w:vAlign w:val="bottom"/>
            <w:tcBorders>
              <w:top w:val="single" w:sz="8" w:color="2360A6"/>
              <w:right w:val="single" w:sz="8" w:color="2360A6"/>
            </w:tcBorders>
          </w:tcPr>
          <w:p>
            <w:pPr>
              <w:spacing w:after="0"/>
              <w:rPr>
                <w:sz w:val="12"/>
                <w:szCs w:val="12"/>
                <w:color w:val="auto"/>
              </w:rPr>
            </w:pPr>
          </w:p>
        </w:tc>
        <w:tc>
          <w:tcPr>
            <w:tcW w:w="80" w:type="dxa"/>
            <w:vAlign w:val="bottom"/>
            <w:tcBorders>
              <w:top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2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auto"/>
              </w:rPr>
              <w:t>Dec.</w:t>
            </w: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auto"/>
              </w:rPr>
              <w:t>March</w:t>
            </w:r>
          </w:p>
        </w:tc>
        <w:tc>
          <w:tcPr>
            <w:tcW w:w="56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auto"/>
              </w:rPr>
              <w:t>June</w:t>
            </w: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auto"/>
              </w:rPr>
              <w:t>Dec.</w:t>
            </w: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jc w:val="right"/>
              <w:ind w:right="86"/>
              <w:spacing w:after="0"/>
              <w:rPr>
                <w:sz w:val="20"/>
                <w:szCs w:val="20"/>
                <w:color w:val="auto"/>
              </w:rPr>
            </w:pPr>
            <w:r>
              <w:rPr>
                <w:rFonts w:ascii="Arial" w:cs="Arial" w:eastAsia="Arial" w:hAnsi="Arial"/>
                <w:sz w:val="11"/>
                <w:szCs w:val="11"/>
                <w:color w:val="auto"/>
              </w:rPr>
              <w:t>June</w:t>
            </w: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jc w:val="right"/>
              <w:ind w:right="86"/>
              <w:spacing w:after="0"/>
              <w:rPr>
                <w:sz w:val="20"/>
                <w:szCs w:val="20"/>
                <w:color w:val="auto"/>
              </w:rPr>
            </w:pPr>
            <w:r>
              <w:rPr>
                <w:rFonts w:ascii="Arial" w:cs="Arial" w:eastAsia="Arial" w:hAnsi="Arial"/>
                <w:sz w:val="11"/>
                <w:szCs w:val="11"/>
                <w:color w:val="auto"/>
              </w:rPr>
              <w:t>June</w:t>
            </w:r>
          </w:p>
        </w:tc>
        <w:tc>
          <w:tcPr>
            <w:tcW w:w="60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auto"/>
              </w:rPr>
              <w:t>Sept.</w:t>
            </w:r>
          </w:p>
        </w:tc>
        <w:tc>
          <w:tcPr>
            <w:tcW w:w="420" w:type="dxa"/>
            <w:vAlign w:val="bottom"/>
            <w:tcBorders>
              <w:top w:val="single" w:sz="8" w:color="2360A6"/>
            </w:tcBorders>
            <w:shd w:val="clear" w:color="auto" w:fill="EDEDEE"/>
          </w:tcPr>
          <w:p>
            <w:pPr>
              <w:spacing w:after="0"/>
              <w:rPr>
                <w:sz w:val="12"/>
                <w:szCs w:val="12"/>
                <w:color w:val="auto"/>
              </w:rPr>
            </w:pPr>
          </w:p>
        </w:tc>
        <w:tc>
          <w:tcPr>
            <w:tcW w:w="120" w:type="dxa"/>
            <w:vAlign w:val="bottom"/>
            <w:tcBorders>
              <w:top w:val="single" w:sz="8" w:color="2360A6"/>
              <w:right w:val="single" w:sz="8" w:color="2360A6"/>
            </w:tcBorders>
            <w:shd w:val="clear" w:color="auto" w:fill="EDEDEE"/>
          </w:tcPr>
          <w:p>
            <w:pPr>
              <w:spacing w:after="0"/>
              <w:rPr>
                <w:sz w:val="12"/>
                <w:szCs w:val="12"/>
                <w:color w:val="auto"/>
              </w:rPr>
            </w:pPr>
          </w:p>
        </w:tc>
        <w:tc>
          <w:tcPr>
            <w:tcW w:w="620" w:type="dxa"/>
            <w:vAlign w:val="bottom"/>
            <w:tcBorders>
              <w:top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20" w:type="dxa"/>
            <w:vAlign w:val="bottom"/>
            <w:tcBorders>
              <w:right w:val="single" w:sz="8" w:color="2360A6"/>
            </w:tcBorders>
          </w:tcPr>
          <w:p>
            <w:pPr>
              <w:ind w:left="40"/>
              <w:spacing w:after="0" w:line="122" w:lineRule="exact"/>
              <w:rPr>
                <w:sz w:val="20"/>
                <w:szCs w:val="20"/>
                <w:color w:val="auto"/>
              </w:rPr>
            </w:pPr>
            <w:r>
              <w:rPr>
                <w:rFonts w:ascii="Arial" w:cs="Arial" w:eastAsia="Arial" w:hAnsi="Arial"/>
                <w:sz w:val="11"/>
                <w:szCs w:val="11"/>
                <w:color w:val="231F20"/>
              </w:rPr>
              <w:t>Grant Date by the</w:t>
            </w:r>
          </w:p>
        </w:tc>
        <w:tc>
          <w:tcPr>
            <w:tcW w:w="460" w:type="dxa"/>
            <w:vAlign w:val="bottom"/>
            <w:tcBorders>
              <w:right w:val="single" w:sz="8" w:color="2360A6"/>
            </w:tcBorders>
          </w:tcPr>
          <w:p>
            <w:pPr>
              <w:jc w:val="right"/>
              <w:ind w:right="26"/>
              <w:spacing w:after="0" w:line="122" w:lineRule="exact"/>
              <w:rPr>
                <w:sz w:val="20"/>
                <w:szCs w:val="20"/>
                <w:color w:val="auto"/>
              </w:rPr>
            </w:pPr>
            <w:r>
              <w:rPr>
                <w:rFonts w:ascii="Arial" w:cs="Arial" w:eastAsia="Arial" w:hAnsi="Arial"/>
                <w:sz w:val="11"/>
                <w:szCs w:val="11"/>
                <w:color w:val="auto"/>
              </w:rPr>
              <w:t>12,</w:t>
            </w:r>
          </w:p>
        </w:tc>
        <w:tc>
          <w:tcPr>
            <w:tcW w:w="600" w:type="dxa"/>
            <w:vAlign w:val="bottom"/>
            <w:tcBorders>
              <w:right w:val="single" w:sz="8" w:color="2360A6"/>
            </w:tcBorders>
          </w:tcPr>
          <w:p>
            <w:pPr>
              <w:jc w:val="right"/>
              <w:ind w:right="46"/>
              <w:spacing w:after="0" w:line="122" w:lineRule="exact"/>
              <w:rPr>
                <w:sz w:val="20"/>
                <w:szCs w:val="20"/>
                <w:color w:val="auto"/>
              </w:rPr>
            </w:pPr>
            <w:r>
              <w:rPr>
                <w:rFonts w:ascii="Arial" w:cs="Arial" w:eastAsia="Arial" w:hAnsi="Arial"/>
                <w:sz w:val="11"/>
                <w:szCs w:val="11"/>
                <w:color w:val="auto"/>
              </w:rPr>
              <w:t>Dec. 12,</w:t>
            </w:r>
          </w:p>
        </w:tc>
        <w:tc>
          <w:tcPr>
            <w:tcW w:w="80" w:type="dxa"/>
            <w:vAlign w:val="bottom"/>
          </w:tcPr>
          <w:p>
            <w:pPr>
              <w:spacing w:after="0"/>
              <w:rPr>
                <w:sz w:val="10"/>
                <w:szCs w:val="10"/>
                <w:color w:val="auto"/>
              </w:rPr>
            </w:pPr>
          </w:p>
        </w:tc>
        <w:tc>
          <w:tcPr>
            <w:tcW w:w="56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w w:val="99"/>
              </w:rPr>
              <w:t>June 12,</w:t>
            </w:r>
          </w:p>
        </w:tc>
        <w:tc>
          <w:tcPr>
            <w:tcW w:w="560" w:type="dxa"/>
            <w:vAlign w:val="bottom"/>
            <w:tcBorders>
              <w:right w:val="single" w:sz="8" w:color="2360A6"/>
            </w:tcBorders>
          </w:tcPr>
          <w:p>
            <w:pPr>
              <w:jc w:val="right"/>
              <w:ind w:right="46"/>
              <w:spacing w:after="0" w:line="122" w:lineRule="exact"/>
              <w:rPr>
                <w:sz w:val="20"/>
                <w:szCs w:val="20"/>
                <w:color w:val="auto"/>
              </w:rPr>
            </w:pPr>
            <w:r>
              <w:rPr>
                <w:rFonts w:ascii="Arial" w:cs="Arial" w:eastAsia="Arial" w:hAnsi="Arial"/>
                <w:sz w:val="11"/>
                <w:szCs w:val="11"/>
                <w:color w:val="auto"/>
              </w:rPr>
              <w:t>July 01,</w:t>
            </w:r>
          </w:p>
        </w:tc>
        <w:tc>
          <w:tcPr>
            <w:tcW w:w="58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June 15,</w:t>
            </w:r>
          </w:p>
        </w:tc>
        <w:tc>
          <w:tcPr>
            <w:tcW w:w="62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June 23,</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15,</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04,</w:t>
            </w:r>
          </w:p>
        </w:tc>
        <w:tc>
          <w:tcPr>
            <w:tcW w:w="56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17,</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14,</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March</w:t>
            </w:r>
          </w:p>
        </w:tc>
        <w:tc>
          <w:tcPr>
            <w:tcW w:w="560" w:type="dxa"/>
            <w:vAlign w:val="bottom"/>
            <w:tcBorders>
              <w:right w:val="single" w:sz="8" w:color="2360A6"/>
            </w:tcBorders>
          </w:tcPr>
          <w:p>
            <w:pPr>
              <w:jc w:val="right"/>
              <w:ind w:right="86"/>
              <w:spacing w:after="0" w:line="122" w:lineRule="exact"/>
              <w:rPr>
                <w:sz w:val="20"/>
                <w:szCs w:val="20"/>
                <w:color w:val="auto"/>
              </w:rPr>
            </w:pPr>
            <w:r>
              <w:rPr>
                <w:rFonts w:ascii="Arial" w:cs="Arial" w:eastAsia="Arial" w:hAnsi="Arial"/>
                <w:sz w:val="11"/>
                <w:szCs w:val="11"/>
                <w:color w:val="auto"/>
              </w:rPr>
              <w:t>15,</w:t>
            </w:r>
          </w:p>
        </w:tc>
        <w:tc>
          <w:tcPr>
            <w:tcW w:w="540" w:type="dxa"/>
            <w:vAlign w:val="bottom"/>
            <w:tcBorders>
              <w:right w:val="single" w:sz="8" w:color="2360A6"/>
            </w:tcBorders>
          </w:tcPr>
          <w:p>
            <w:pPr>
              <w:jc w:val="right"/>
              <w:ind w:right="86"/>
              <w:spacing w:after="0" w:line="122" w:lineRule="exact"/>
              <w:rPr>
                <w:sz w:val="20"/>
                <w:szCs w:val="20"/>
                <w:color w:val="auto"/>
              </w:rPr>
            </w:pPr>
            <w:r>
              <w:rPr>
                <w:rFonts w:ascii="Arial" w:cs="Arial" w:eastAsia="Arial" w:hAnsi="Arial"/>
                <w:sz w:val="11"/>
                <w:szCs w:val="11"/>
                <w:color w:val="auto"/>
              </w:rPr>
              <w:t>Dec 12,</w:t>
            </w:r>
          </w:p>
        </w:tc>
        <w:tc>
          <w:tcPr>
            <w:tcW w:w="560" w:type="dxa"/>
            <w:vAlign w:val="bottom"/>
            <w:tcBorders>
              <w:right w:val="single" w:sz="8" w:color="2360A6"/>
            </w:tcBorders>
          </w:tcPr>
          <w:p>
            <w:pPr>
              <w:jc w:val="right"/>
              <w:ind w:right="86"/>
              <w:spacing w:after="0" w:line="122" w:lineRule="exact"/>
              <w:rPr>
                <w:sz w:val="20"/>
                <w:szCs w:val="20"/>
                <w:color w:val="auto"/>
              </w:rPr>
            </w:pPr>
            <w:r>
              <w:rPr>
                <w:rFonts w:ascii="Arial" w:cs="Arial" w:eastAsia="Arial" w:hAnsi="Arial"/>
                <w:sz w:val="11"/>
                <w:szCs w:val="11"/>
                <w:color w:val="auto"/>
              </w:rPr>
              <w:t>14,</w:t>
            </w:r>
          </w:p>
        </w:tc>
        <w:tc>
          <w:tcPr>
            <w:tcW w:w="60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Jan. 10,</w:t>
            </w:r>
          </w:p>
        </w:tc>
        <w:tc>
          <w:tcPr>
            <w:tcW w:w="540" w:type="dxa"/>
            <w:vAlign w:val="bottom"/>
            <w:tcBorders>
              <w:right w:val="single" w:sz="8" w:color="2360A6"/>
            </w:tcBorders>
          </w:tcPr>
          <w:p>
            <w:pPr>
              <w:jc w:val="right"/>
              <w:ind w:right="66"/>
              <w:spacing w:after="0" w:line="122" w:lineRule="exact"/>
              <w:rPr>
                <w:sz w:val="20"/>
                <w:szCs w:val="20"/>
                <w:color w:val="auto"/>
              </w:rPr>
            </w:pPr>
            <w:r>
              <w:rPr>
                <w:rFonts w:ascii="Arial" w:cs="Arial" w:eastAsia="Arial" w:hAnsi="Arial"/>
                <w:sz w:val="11"/>
                <w:szCs w:val="11"/>
                <w:color w:val="auto"/>
              </w:rPr>
              <w:t>07,</w:t>
            </w:r>
          </w:p>
        </w:tc>
        <w:tc>
          <w:tcPr>
            <w:tcW w:w="420" w:type="dxa"/>
            <w:vAlign w:val="bottom"/>
            <w:shd w:val="clear" w:color="auto" w:fill="EDEDEE"/>
          </w:tcPr>
          <w:p>
            <w:pPr>
              <w:jc w:val="right"/>
              <w:spacing w:after="0" w:line="122" w:lineRule="exact"/>
              <w:rPr>
                <w:sz w:val="20"/>
                <w:szCs w:val="20"/>
                <w:color w:val="auto"/>
              </w:rPr>
            </w:pPr>
            <w:r>
              <w:rPr>
                <w:rFonts w:ascii="Arial" w:cs="Arial" w:eastAsia="Arial" w:hAnsi="Arial"/>
                <w:sz w:val="11"/>
                <w:szCs w:val="11"/>
                <w:color w:val="auto"/>
              </w:rPr>
              <w:t>July 01,</w:t>
            </w:r>
          </w:p>
        </w:tc>
        <w:tc>
          <w:tcPr>
            <w:tcW w:w="120" w:type="dxa"/>
            <w:vAlign w:val="bottom"/>
            <w:tcBorders>
              <w:right w:val="single" w:sz="8" w:color="2360A6"/>
            </w:tcBorders>
            <w:shd w:val="clear" w:color="auto" w:fill="EDEDE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color w:val="231F20"/>
              </w:rPr>
              <w:t>Board of Directors</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auto"/>
              </w:rPr>
              <w:t>2007</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auto"/>
              </w:rPr>
              <w:t>2007</w:t>
            </w:r>
          </w:p>
        </w:tc>
        <w:tc>
          <w:tcPr>
            <w:tcW w:w="80" w:type="dxa"/>
            <w:vAlign w:val="bottom"/>
          </w:tcPr>
          <w:p>
            <w:pPr>
              <w:spacing w:after="0"/>
              <w:rPr>
                <w:sz w:val="13"/>
                <w:szCs w:val="13"/>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2008</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auto"/>
              </w:rPr>
              <w:t>2008</w:t>
            </w:r>
          </w:p>
        </w:tc>
        <w:tc>
          <w:tcPr>
            <w:tcW w:w="58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2009</w:t>
            </w:r>
          </w:p>
        </w:tc>
        <w:tc>
          <w:tcPr>
            <w:tcW w:w="6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2011</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2011</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2011</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2, 2012</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auto"/>
              </w:rPr>
              <w:t>2012</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auto"/>
              </w:rPr>
              <w:t>2012</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auto"/>
              </w:rPr>
              <w:t>2013</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2014</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auto"/>
              </w:rPr>
              <w:t>2015</w:t>
            </w: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color w:val="auto"/>
              </w:rPr>
              <w:t>2016</w:t>
            </w:r>
          </w:p>
        </w:tc>
        <w:tc>
          <w:tcPr>
            <w:tcW w:w="120" w:type="dxa"/>
            <w:vAlign w:val="bottom"/>
            <w:tcBorders>
              <w:bottom w:val="single" w:sz="8" w:color="EDEDEE"/>
              <w:right w:val="single" w:sz="8" w:color="2360A6"/>
            </w:tcBorders>
            <w:shd w:val="clear" w:color="auto" w:fill="EDEDEE"/>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Options outstanding</w:t>
            </w:r>
          </w:p>
        </w:tc>
        <w:tc>
          <w:tcPr>
            <w:tcW w:w="460" w:type="dxa"/>
            <w:vAlign w:val="bottom"/>
            <w:tcBorders>
              <w:top w:val="single" w:sz="8" w:color="2360A6"/>
              <w:right w:val="single" w:sz="8" w:color="2360A6"/>
            </w:tcBorders>
          </w:tcPr>
          <w:p>
            <w:pPr>
              <w:spacing w:after="0"/>
              <w:rPr>
                <w:sz w:val="11"/>
                <w:szCs w:val="11"/>
                <w:color w:val="auto"/>
              </w:rPr>
            </w:pPr>
          </w:p>
        </w:tc>
        <w:tc>
          <w:tcPr>
            <w:tcW w:w="600" w:type="dxa"/>
            <w:vAlign w:val="bottom"/>
            <w:tcBorders>
              <w:top w:val="single" w:sz="8" w:color="2360A6"/>
              <w:right w:val="single" w:sz="8" w:color="2360A6"/>
            </w:tcBorders>
          </w:tcPr>
          <w:p>
            <w:pPr>
              <w:spacing w:after="0"/>
              <w:rPr>
                <w:sz w:val="11"/>
                <w:szCs w:val="11"/>
                <w:color w:val="auto"/>
              </w:rPr>
            </w:pPr>
          </w:p>
        </w:tc>
        <w:tc>
          <w:tcPr>
            <w:tcW w:w="80" w:type="dxa"/>
            <w:vAlign w:val="bottom"/>
            <w:tcBorders>
              <w:top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580" w:type="dxa"/>
            <w:vAlign w:val="bottom"/>
            <w:tcBorders>
              <w:top w:val="single" w:sz="8" w:color="2360A6"/>
              <w:right w:val="single" w:sz="8" w:color="2360A6"/>
            </w:tcBorders>
          </w:tcPr>
          <w:p>
            <w:pPr>
              <w:spacing w:after="0"/>
              <w:rPr>
                <w:sz w:val="11"/>
                <w:szCs w:val="11"/>
                <w:color w:val="auto"/>
              </w:rPr>
            </w:pPr>
          </w:p>
        </w:tc>
        <w:tc>
          <w:tcPr>
            <w:tcW w:w="62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60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420" w:type="dxa"/>
            <w:vAlign w:val="bottom"/>
            <w:tcBorders>
              <w:top w:val="single" w:sz="8" w:color="2360A6"/>
            </w:tcBorders>
            <w:shd w:val="clear" w:color="auto" w:fill="EDEDEE"/>
          </w:tcPr>
          <w:p>
            <w:pPr>
              <w:spacing w:after="0"/>
              <w:rPr>
                <w:sz w:val="11"/>
                <w:szCs w:val="11"/>
                <w:color w:val="auto"/>
              </w:rPr>
            </w:pPr>
          </w:p>
        </w:tc>
        <w:tc>
          <w:tcPr>
            <w:tcW w:w="120" w:type="dxa"/>
            <w:vAlign w:val="bottom"/>
            <w:tcBorders>
              <w:top w:val="single" w:sz="8" w:color="2360A6"/>
              <w:right w:val="single" w:sz="8" w:color="2360A6"/>
            </w:tcBorders>
            <w:shd w:val="clear" w:color="auto" w:fill="EDEDEE"/>
          </w:tcPr>
          <w:p>
            <w:pPr>
              <w:spacing w:after="0"/>
              <w:rPr>
                <w:sz w:val="11"/>
                <w:szCs w:val="11"/>
                <w:color w:val="auto"/>
              </w:rPr>
            </w:pPr>
          </w:p>
        </w:tc>
        <w:tc>
          <w:tcPr>
            <w:tcW w:w="620" w:type="dxa"/>
            <w:vAlign w:val="bottom"/>
            <w:tcBorders>
              <w:top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as of January 1, 2014</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w:t>
            </w:r>
          </w:p>
        </w:tc>
        <w:tc>
          <w:tcPr>
            <w:tcW w:w="80" w:type="dxa"/>
            <w:vAlign w:val="bottom"/>
          </w:tcPr>
          <w:p>
            <w:pPr>
              <w:spacing w:after="0"/>
              <w:rPr>
                <w:sz w:val="14"/>
                <w:szCs w:val="14"/>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16,000</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330,275</w:t>
            </w:r>
          </w:p>
        </w:tc>
        <w:tc>
          <w:tcPr>
            <w:tcW w:w="58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599,436</w:t>
            </w:r>
          </w:p>
        </w:tc>
        <w:tc>
          <w:tcPr>
            <w:tcW w:w="6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w w:val="97"/>
              </w:rPr>
              <w:t>1,020,900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17,400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72,800</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331,400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44,600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48,107</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278,700</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34,950</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322,200</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w:t>
            </w: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b w:val="1"/>
                <w:bCs w:val="1"/>
                <w:color w:val="2360A6"/>
              </w:rPr>
              <w:t>—</w:t>
            </w:r>
          </w:p>
        </w:tc>
        <w:tc>
          <w:tcPr>
            <w:tcW w:w="120" w:type="dxa"/>
            <w:vAlign w:val="bottom"/>
            <w:tcBorders>
              <w:bottom w:val="single" w:sz="8" w:color="EDEDEE"/>
              <w:right w:val="single" w:sz="8" w:color="2360A6"/>
            </w:tcBorders>
            <w:shd w:val="clear" w:color="auto" w:fill="EDEDEE"/>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b w:val="1"/>
                <w:bCs w:val="1"/>
                <w:color w:val="2360A6"/>
                <w:w w:val="97"/>
              </w:rPr>
              <w:t>3,116,768</w:t>
            </w:r>
          </w:p>
        </w:tc>
        <w:tc>
          <w:tcPr>
            <w:tcW w:w="0" w:type="dxa"/>
            <w:vAlign w:val="bottom"/>
          </w:tcPr>
          <w:p>
            <w:pPr>
              <w:spacing w:after="0"/>
              <w:rPr>
                <w:sz w:val="1"/>
                <w:szCs w:val="1"/>
                <w:color w:val="auto"/>
              </w:rPr>
            </w:pPr>
          </w:p>
        </w:tc>
      </w:tr>
      <w:tr>
        <w:trPr>
          <w:trHeight w:val="139"/>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Options Granted</w:t>
            </w:r>
          </w:p>
        </w:tc>
        <w:tc>
          <w:tcPr>
            <w:tcW w:w="4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80" w:type="dxa"/>
            <w:vAlign w:val="bottom"/>
            <w:tcBorders>
              <w:top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2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420" w:type="dxa"/>
            <w:vAlign w:val="bottom"/>
            <w:tcBorders>
              <w:top w:val="single" w:sz="8" w:color="2360A6"/>
            </w:tcBorders>
            <w:shd w:val="clear" w:color="auto" w:fill="EDEDEE"/>
          </w:tcPr>
          <w:p>
            <w:pPr>
              <w:spacing w:after="0"/>
              <w:rPr>
                <w:sz w:val="12"/>
                <w:szCs w:val="12"/>
                <w:color w:val="auto"/>
              </w:rPr>
            </w:pPr>
          </w:p>
        </w:tc>
        <w:tc>
          <w:tcPr>
            <w:tcW w:w="120" w:type="dxa"/>
            <w:vAlign w:val="bottom"/>
            <w:tcBorders>
              <w:top w:val="single" w:sz="8" w:color="2360A6"/>
              <w:right w:val="single" w:sz="8" w:color="2360A6"/>
            </w:tcBorders>
            <w:shd w:val="clear" w:color="auto" w:fill="EDEDEE"/>
          </w:tcPr>
          <w:p>
            <w:pPr>
              <w:spacing w:after="0"/>
              <w:rPr>
                <w:sz w:val="12"/>
                <w:szCs w:val="12"/>
                <w:color w:val="auto"/>
              </w:rPr>
            </w:pPr>
          </w:p>
        </w:tc>
        <w:tc>
          <w:tcPr>
            <w:tcW w:w="620" w:type="dxa"/>
            <w:vAlign w:val="bottom"/>
            <w:tcBorders>
              <w:top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color w:val="231F20"/>
              </w:rPr>
              <w:t>(Subscription)</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80" w:type="dxa"/>
            <w:vAlign w:val="bottom"/>
          </w:tcPr>
          <w:p>
            <w:pPr>
              <w:spacing w:after="0"/>
              <w:rPr>
                <w:sz w:val="13"/>
                <w:szCs w:val="13"/>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8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6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16,520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color w:val="231F20"/>
              </w:rPr>
              <w:t>—</w:t>
            </w:r>
          </w:p>
        </w:tc>
        <w:tc>
          <w:tcPr>
            <w:tcW w:w="120" w:type="dxa"/>
            <w:vAlign w:val="bottom"/>
            <w:tcBorders>
              <w:bottom w:val="single" w:sz="8" w:color="EDEDEE"/>
              <w:right w:val="single" w:sz="8" w:color="2360A6"/>
            </w:tcBorders>
            <w:shd w:val="clear" w:color="auto" w:fill="EDEDEE"/>
          </w:tcPr>
          <w:p>
            <w:pPr>
              <w:spacing w:after="0"/>
              <w:rPr>
                <w:sz w:val="13"/>
                <w:szCs w:val="1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231F20"/>
              </w:rPr>
              <w:t>16,520</w:t>
            </w:r>
          </w:p>
        </w:tc>
        <w:tc>
          <w:tcPr>
            <w:tcW w:w="0" w:type="dxa"/>
            <w:vAlign w:val="bottom"/>
          </w:tcPr>
          <w:p>
            <w:pPr>
              <w:spacing w:after="0"/>
              <w:rPr>
                <w:sz w:val="1"/>
                <w:szCs w:val="1"/>
                <w:color w:val="auto"/>
              </w:rPr>
            </w:pPr>
          </w:p>
        </w:tc>
      </w:tr>
      <w:tr>
        <w:trPr>
          <w:trHeight w:val="139"/>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Options exercised</w:t>
            </w:r>
          </w:p>
        </w:tc>
        <w:tc>
          <w:tcPr>
            <w:tcW w:w="4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80" w:type="dxa"/>
            <w:vAlign w:val="bottom"/>
            <w:tcBorders>
              <w:top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2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420" w:type="dxa"/>
            <w:vAlign w:val="bottom"/>
            <w:tcBorders>
              <w:top w:val="single" w:sz="8" w:color="2360A6"/>
            </w:tcBorders>
            <w:shd w:val="clear" w:color="auto" w:fill="EDEDEE"/>
          </w:tcPr>
          <w:p>
            <w:pPr>
              <w:spacing w:after="0"/>
              <w:rPr>
                <w:sz w:val="12"/>
                <w:szCs w:val="12"/>
                <w:color w:val="auto"/>
              </w:rPr>
            </w:pPr>
          </w:p>
        </w:tc>
        <w:tc>
          <w:tcPr>
            <w:tcW w:w="120" w:type="dxa"/>
            <w:vAlign w:val="bottom"/>
            <w:tcBorders>
              <w:top w:val="single" w:sz="8" w:color="2360A6"/>
              <w:right w:val="single" w:sz="8" w:color="2360A6"/>
            </w:tcBorders>
            <w:shd w:val="clear" w:color="auto" w:fill="EDEDEE"/>
          </w:tcPr>
          <w:p>
            <w:pPr>
              <w:spacing w:after="0"/>
              <w:rPr>
                <w:sz w:val="12"/>
                <w:szCs w:val="12"/>
                <w:color w:val="auto"/>
              </w:rPr>
            </w:pPr>
          </w:p>
        </w:tc>
        <w:tc>
          <w:tcPr>
            <w:tcW w:w="620" w:type="dxa"/>
            <w:vAlign w:val="bottom"/>
            <w:tcBorders>
              <w:top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color w:val="231F20"/>
              </w:rPr>
              <w:t>(Subscription)</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80" w:type="dxa"/>
            <w:vAlign w:val="bottom"/>
          </w:tcPr>
          <w:p>
            <w:pPr>
              <w:spacing w:after="0"/>
              <w:rPr>
                <w:sz w:val="13"/>
                <w:szCs w:val="13"/>
                <w:color w:val="auto"/>
              </w:rPr>
            </w:pPr>
          </w:p>
        </w:tc>
        <w:tc>
          <w:tcPr>
            <w:tcW w:w="5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(16,000)</w:t>
            </w:r>
          </w:p>
        </w:tc>
        <w:tc>
          <w:tcPr>
            <w:tcW w:w="5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w w:val="97"/>
              </w:rPr>
              <w:t>(334,695)</w:t>
            </w:r>
          </w:p>
        </w:tc>
        <w:tc>
          <w:tcPr>
            <w:tcW w:w="5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(121,744)</w:t>
            </w:r>
          </w:p>
        </w:tc>
        <w:tc>
          <w:tcPr>
            <w:tcW w:w="6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(127,167)</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color w:val="231F20"/>
              </w:rPr>
              <w:t>—</w:t>
            </w:r>
          </w:p>
        </w:tc>
        <w:tc>
          <w:tcPr>
            <w:tcW w:w="120" w:type="dxa"/>
            <w:vAlign w:val="bottom"/>
            <w:tcBorders>
              <w:bottom w:val="single" w:sz="8" w:color="EDEDEE"/>
              <w:right w:val="single" w:sz="8" w:color="2360A6"/>
            </w:tcBorders>
            <w:shd w:val="clear" w:color="auto" w:fill="EDEDEE"/>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231F20"/>
              </w:rPr>
              <w:t>(599,606)</w:t>
            </w:r>
          </w:p>
        </w:tc>
        <w:tc>
          <w:tcPr>
            <w:tcW w:w="0" w:type="dxa"/>
            <w:vAlign w:val="bottom"/>
          </w:tcPr>
          <w:p>
            <w:pPr>
              <w:spacing w:after="0"/>
              <w:rPr>
                <w:sz w:val="1"/>
                <w:szCs w:val="1"/>
                <w:color w:val="auto"/>
              </w:rPr>
            </w:pPr>
          </w:p>
        </w:tc>
      </w:tr>
      <w:tr>
        <w:trPr>
          <w:trHeight w:val="139"/>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Options Forfeited</w:t>
            </w:r>
          </w:p>
        </w:tc>
        <w:tc>
          <w:tcPr>
            <w:tcW w:w="4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80" w:type="dxa"/>
            <w:vAlign w:val="bottom"/>
            <w:tcBorders>
              <w:top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2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420" w:type="dxa"/>
            <w:vAlign w:val="bottom"/>
            <w:tcBorders>
              <w:top w:val="single" w:sz="8" w:color="2360A6"/>
            </w:tcBorders>
            <w:shd w:val="clear" w:color="auto" w:fill="EDEDEE"/>
          </w:tcPr>
          <w:p>
            <w:pPr>
              <w:spacing w:after="0"/>
              <w:rPr>
                <w:sz w:val="12"/>
                <w:szCs w:val="12"/>
                <w:color w:val="auto"/>
              </w:rPr>
            </w:pPr>
          </w:p>
        </w:tc>
        <w:tc>
          <w:tcPr>
            <w:tcW w:w="120" w:type="dxa"/>
            <w:vAlign w:val="bottom"/>
            <w:tcBorders>
              <w:top w:val="single" w:sz="8" w:color="2360A6"/>
              <w:right w:val="single" w:sz="8" w:color="2360A6"/>
            </w:tcBorders>
            <w:shd w:val="clear" w:color="auto" w:fill="EDEDEE"/>
          </w:tcPr>
          <w:p>
            <w:pPr>
              <w:spacing w:after="0"/>
              <w:rPr>
                <w:sz w:val="12"/>
                <w:szCs w:val="12"/>
                <w:color w:val="auto"/>
              </w:rPr>
            </w:pPr>
          </w:p>
        </w:tc>
        <w:tc>
          <w:tcPr>
            <w:tcW w:w="620" w:type="dxa"/>
            <w:vAlign w:val="bottom"/>
            <w:tcBorders>
              <w:top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20" w:type="dxa"/>
            <w:vAlign w:val="bottom"/>
            <w:tcBorders>
              <w:right w:val="single" w:sz="8" w:color="2360A6"/>
            </w:tcBorders>
          </w:tcPr>
          <w:p>
            <w:pPr>
              <w:ind w:left="40"/>
              <w:spacing w:after="0" w:line="122" w:lineRule="exact"/>
              <w:rPr>
                <w:sz w:val="20"/>
                <w:szCs w:val="20"/>
                <w:color w:val="auto"/>
              </w:rPr>
            </w:pPr>
            <w:r>
              <w:rPr>
                <w:rFonts w:ascii="Arial" w:cs="Arial" w:eastAsia="Arial" w:hAnsi="Arial"/>
                <w:sz w:val="11"/>
                <w:szCs w:val="11"/>
                <w:color w:val="231F20"/>
              </w:rPr>
              <w:t>(Purchase/</w:t>
            </w:r>
          </w:p>
        </w:tc>
        <w:tc>
          <w:tcPr>
            <w:tcW w:w="4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2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420" w:type="dxa"/>
            <w:vAlign w:val="bottom"/>
            <w:shd w:val="clear" w:color="auto" w:fill="EDEDEE"/>
          </w:tcPr>
          <w:p>
            <w:pPr>
              <w:spacing w:after="0"/>
              <w:rPr>
                <w:sz w:val="10"/>
                <w:szCs w:val="10"/>
                <w:color w:val="auto"/>
              </w:rPr>
            </w:pPr>
          </w:p>
        </w:tc>
        <w:tc>
          <w:tcPr>
            <w:tcW w:w="120" w:type="dxa"/>
            <w:vAlign w:val="bottom"/>
            <w:tcBorders>
              <w:right w:val="single" w:sz="8" w:color="2360A6"/>
            </w:tcBorders>
            <w:shd w:val="clear" w:color="auto" w:fill="EDEDE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color w:val="231F20"/>
              </w:rPr>
              <w:t>Subscription)</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80" w:type="dxa"/>
            <w:vAlign w:val="bottom"/>
          </w:tcPr>
          <w:p>
            <w:pPr>
              <w:spacing w:after="0"/>
              <w:rPr>
                <w:sz w:val="13"/>
                <w:szCs w:val="13"/>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4,420</w:t>
            </w:r>
          </w:p>
        </w:tc>
        <w:tc>
          <w:tcPr>
            <w:tcW w:w="5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(300)</w:t>
            </w:r>
          </w:p>
        </w:tc>
        <w:tc>
          <w:tcPr>
            <w:tcW w:w="6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(11,600)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(2,100)</w:t>
            </w:r>
          </w:p>
        </w:tc>
        <w:tc>
          <w:tcPr>
            <w:tcW w:w="5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(700)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(1,000)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(600)</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(600)</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(700)</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color w:val="231F20"/>
              </w:rPr>
              <w:t>—</w:t>
            </w:r>
          </w:p>
        </w:tc>
        <w:tc>
          <w:tcPr>
            <w:tcW w:w="120" w:type="dxa"/>
            <w:vAlign w:val="bottom"/>
            <w:tcBorders>
              <w:bottom w:val="single" w:sz="8" w:color="EDEDEE"/>
              <w:right w:val="single" w:sz="8" w:color="2360A6"/>
            </w:tcBorders>
            <w:shd w:val="clear" w:color="auto" w:fill="EDEDEE"/>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231F20"/>
              </w:rPr>
              <w:t>(13,180)</w:t>
            </w:r>
          </w:p>
        </w:tc>
        <w:tc>
          <w:tcPr>
            <w:tcW w:w="0" w:type="dxa"/>
            <w:vAlign w:val="bottom"/>
          </w:tcPr>
          <w:p>
            <w:pPr>
              <w:spacing w:after="0"/>
              <w:rPr>
                <w:sz w:val="1"/>
                <w:szCs w:val="1"/>
                <w:color w:val="auto"/>
              </w:rPr>
            </w:pPr>
          </w:p>
        </w:tc>
      </w:tr>
      <w:tr>
        <w:trPr>
          <w:trHeight w:val="127"/>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Options outstanding</w:t>
            </w:r>
          </w:p>
        </w:tc>
        <w:tc>
          <w:tcPr>
            <w:tcW w:w="460" w:type="dxa"/>
            <w:vAlign w:val="bottom"/>
            <w:tcBorders>
              <w:top w:val="single" w:sz="8" w:color="2360A6"/>
              <w:right w:val="single" w:sz="8" w:color="2360A6"/>
            </w:tcBorders>
          </w:tcPr>
          <w:p>
            <w:pPr>
              <w:spacing w:after="0"/>
              <w:rPr>
                <w:sz w:val="11"/>
                <w:szCs w:val="11"/>
                <w:color w:val="auto"/>
              </w:rPr>
            </w:pPr>
          </w:p>
        </w:tc>
        <w:tc>
          <w:tcPr>
            <w:tcW w:w="600" w:type="dxa"/>
            <w:vAlign w:val="bottom"/>
            <w:tcBorders>
              <w:top w:val="single" w:sz="8" w:color="2360A6"/>
              <w:right w:val="single" w:sz="8" w:color="2360A6"/>
            </w:tcBorders>
          </w:tcPr>
          <w:p>
            <w:pPr>
              <w:spacing w:after="0"/>
              <w:rPr>
                <w:sz w:val="11"/>
                <w:szCs w:val="11"/>
                <w:color w:val="auto"/>
              </w:rPr>
            </w:pPr>
          </w:p>
        </w:tc>
        <w:tc>
          <w:tcPr>
            <w:tcW w:w="80" w:type="dxa"/>
            <w:vAlign w:val="bottom"/>
            <w:tcBorders>
              <w:top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580" w:type="dxa"/>
            <w:vAlign w:val="bottom"/>
            <w:tcBorders>
              <w:top w:val="single" w:sz="8" w:color="2360A6"/>
              <w:right w:val="single" w:sz="8" w:color="2360A6"/>
            </w:tcBorders>
          </w:tcPr>
          <w:p>
            <w:pPr>
              <w:spacing w:after="0"/>
              <w:rPr>
                <w:sz w:val="11"/>
                <w:szCs w:val="11"/>
                <w:color w:val="auto"/>
              </w:rPr>
            </w:pPr>
          </w:p>
        </w:tc>
        <w:tc>
          <w:tcPr>
            <w:tcW w:w="62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60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420" w:type="dxa"/>
            <w:vAlign w:val="bottom"/>
            <w:tcBorders>
              <w:top w:val="single" w:sz="8" w:color="2360A6"/>
            </w:tcBorders>
            <w:shd w:val="clear" w:color="auto" w:fill="EDEDEE"/>
          </w:tcPr>
          <w:p>
            <w:pPr>
              <w:spacing w:after="0"/>
              <w:rPr>
                <w:sz w:val="11"/>
                <w:szCs w:val="11"/>
                <w:color w:val="auto"/>
              </w:rPr>
            </w:pPr>
          </w:p>
        </w:tc>
        <w:tc>
          <w:tcPr>
            <w:tcW w:w="120" w:type="dxa"/>
            <w:vAlign w:val="bottom"/>
            <w:tcBorders>
              <w:top w:val="single" w:sz="8" w:color="2360A6"/>
              <w:right w:val="single" w:sz="8" w:color="2360A6"/>
            </w:tcBorders>
            <w:shd w:val="clear" w:color="auto" w:fill="EDEDEE"/>
          </w:tcPr>
          <w:p>
            <w:pPr>
              <w:spacing w:after="0"/>
              <w:rPr>
                <w:sz w:val="11"/>
                <w:szCs w:val="11"/>
                <w:color w:val="auto"/>
              </w:rPr>
            </w:pPr>
          </w:p>
        </w:tc>
        <w:tc>
          <w:tcPr>
            <w:tcW w:w="620" w:type="dxa"/>
            <w:vAlign w:val="bottom"/>
            <w:tcBorders>
              <w:top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20" w:type="dxa"/>
            <w:vAlign w:val="bottom"/>
            <w:tcBorders>
              <w:right w:val="single" w:sz="8" w:color="2360A6"/>
            </w:tcBorders>
          </w:tcPr>
          <w:p>
            <w:pPr>
              <w:ind w:left="40"/>
              <w:spacing w:after="0" w:line="122" w:lineRule="exact"/>
              <w:rPr>
                <w:sz w:val="20"/>
                <w:szCs w:val="20"/>
                <w:color w:val="auto"/>
              </w:rPr>
            </w:pPr>
            <w:r>
              <w:rPr>
                <w:rFonts w:ascii="Arial" w:cs="Arial" w:eastAsia="Arial" w:hAnsi="Arial"/>
                <w:sz w:val="11"/>
                <w:szCs w:val="11"/>
                <w:b w:val="1"/>
                <w:bCs w:val="1"/>
                <w:color w:val="2360A6"/>
              </w:rPr>
              <w:t>as of December 31,</w:t>
            </w:r>
          </w:p>
        </w:tc>
        <w:tc>
          <w:tcPr>
            <w:tcW w:w="4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2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420" w:type="dxa"/>
            <w:vAlign w:val="bottom"/>
            <w:shd w:val="clear" w:color="auto" w:fill="EDEDEE"/>
          </w:tcPr>
          <w:p>
            <w:pPr>
              <w:spacing w:after="0"/>
              <w:rPr>
                <w:sz w:val="10"/>
                <w:szCs w:val="10"/>
                <w:color w:val="auto"/>
              </w:rPr>
            </w:pPr>
          </w:p>
        </w:tc>
        <w:tc>
          <w:tcPr>
            <w:tcW w:w="120" w:type="dxa"/>
            <w:vAlign w:val="bottom"/>
            <w:tcBorders>
              <w:right w:val="single" w:sz="8" w:color="2360A6"/>
            </w:tcBorders>
            <w:shd w:val="clear" w:color="auto" w:fill="EDEDE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2014</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w:t>
            </w:r>
          </w:p>
        </w:tc>
        <w:tc>
          <w:tcPr>
            <w:tcW w:w="80" w:type="dxa"/>
            <w:vAlign w:val="bottom"/>
          </w:tcPr>
          <w:p>
            <w:pPr>
              <w:spacing w:after="0"/>
              <w:rPr>
                <w:sz w:val="14"/>
                <w:szCs w:val="14"/>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w:t>
            </w:r>
          </w:p>
        </w:tc>
        <w:tc>
          <w:tcPr>
            <w:tcW w:w="58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477,392</w:t>
            </w:r>
          </w:p>
        </w:tc>
        <w:tc>
          <w:tcPr>
            <w:tcW w:w="6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882,133</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17,400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70,700</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330,700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43,600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47,507</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278,100</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34,950</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321,500</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16,520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w:t>
            </w: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b w:val="1"/>
                <w:bCs w:val="1"/>
                <w:color w:val="2360A6"/>
              </w:rPr>
              <w:t>—</w:t>
            </w:r>
          </w:p>
        </w:tc>
        <w:tc>
          <w:tcPr>
            <w:tcW w:w="120" w:type="dxa"/>
            <w:vAlign w:val="bottom"/>
            <w:tcBorders>
              <w:bottom w:val="single" w:sz="8" w:color="EDEDEE"/>
              <w:right w:val="single" w:sz="8" w:color="2360A6"/>
            </w:tcBorders>
            <w:shd w:val="clear" w:color="auto" w:fill="EDEDEE"/>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b w:val="1"/>
                <w:bCs w:val="1"/>
                <w:color w:val="2360A6"/>
                <w:w w:val="97"/>
              </w:rPr>
              <w:t>2,520,502</w:t>
            </w:r>
          </w:p>
        </w:tc>
        <w:tc>
          <w:tcPr>
            <w:tcW w:w="0" w:type="dxa"/>
            <w:vAlign w:val="bottom"/>
          </w:tcPr>
          <w:p>
            <w:pPr>
              <w:spacing w:after="0"/>
              <w:rPr>
                <w:sz w:val="1"/>
                <w:szCs w:val="1"/>
                <w:color w:val="auto"/>
              </w:rPr>
            </w:pPr>
          </w:p>
        </w:tc>
      </w:tr>
      <w:tr>
        <w:trPr>
          <w:trHeight w:val="139"/>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Options Granted</w:t>
            </w:r>
          </w:p>
        </w:tc>
        <w:tc>
          <w:tcPr>
            <w:tcW w:w="4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80" w:type="dxa"/>
            <w:vAlign w:val="bottom"/>
            <w:tcBorders>
              <w:top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2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420" w:type="dxa"/>
            <w:vAlign w:val="bottom"/>
            <w:tcBorders>
              <w:top w:val="single" w:sz="8" w:color="2360A6"/>
            </w:tcBorders>
            <w:shd w:val="clear" w:color="auto" w:fill="EDEDEE"/>
          </w:tcPr>
          <w:p>
            <w:pPr>
              <w:spacing w:after="0"/>
              <w:rPr>
                <w:sz w:val="12"/>
                <w:szCs w:val="12"/>
                <w:color w:val="auto"/>
              </w:rPr>
            </w:pPr>
          </w:p>
        </w:tc>
        <w:tc>
          <w:tcPr>
            <w:tcW w:w="120" w:type="dxa"/>
            <w:vAlign w:val="bottom"/>
            <w:tcBorders>
              <w:top w:val="single" w:sz="8" w:color="2360A6"/>
              <w:right w:val="single" w:sz="8" w:color="2360A6"/>
            </w:tcBorders>
            <w:shd w:val="clear" w:color="auto" w:fill="EDEDEE"/>
          </w:tcPr>
          <w:p>
            <w:pPr>
              <w:spacing w:after="0"/>
              <w:rPr>
                <w:sz w:val="12"/>
                <w:szCs w:val="12"/>
                <w:color w:val="auto"/>
              </w:rPr>
            </w:pPr>
          </w:p>
        </w:tc>
        <w:tc>
          <w:tcPr>
            <w:tcW w:w="620" w:type="dxa"/>
            <w:vAlign w:val="bottom"/>
            <w:tcBorders>
              <w:top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color w:val="231F20"/>
              </w:rPr>
              <w:t>(Subscription)</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80" w:type="dxa"/>
            <w:vAlign w:val="bottom"/>
          </w:tcPr>
          <w:p>
            <w:pPr>
              <w:spacing w:after="0"/>
              <w:rPr>
                <w:sz w:val="13"/>
                <w:szCs w:val="13"/>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8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6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568,561</w:t>
            </w:r>
          </w:p>
        </w:tc>
        <w:tc>
          <w:tcPr>
            <w:tcW w:w="420" w:type="dxa"/>
            <w:vAlign w:val="bottom"/>
            <w:tcBorders>
              <w:bottom w:val="single" w:sz="8" w:color="EDEDEE"/>
            </w:tcBorders>
            <w:shd w:val="clear" w:color="auto" w:fill="EDEDEE"/>
          </w:tcPr>
          <w:p>
            <w:pPr>
              <w:spacing w:after="0"/>
              <w:rPr>
                <w:sz w:val="13"/>
                <w:szCs w:val="13"/>
                <w:color w:val="auto"/>
              </w:rPr>
            </w:pPr>
          </w:p>
        </w:tc>
        <w:tc>
          <w:tcPr>
            <w:tcW w:w="120" w:type="dxa"/>
            <w:vAlign w:val="bottom"/>
            <w:tcBorders>
              <w:bottom w:val="single" w:sz="8" w:color="EDEDEE"/>
              <w:right w:val="single" w:sz="8" w:color="2360A6"/>
            </w:tcBorders>
            <w:shd w:val="clear" w:color="auto" w:fill="EDEDEE"/>
          </w:tcPr>
          <w:p>
            <w:pPr>
              <w:spacing w:after="0"/>
              <w:rPr>
                <w:sz w:val="13"/>
                <w:szCs w:val="1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231F20"/>
              </w:rPr>
              <w:t>568,561</w:t>
            </w:r>
          </w:p>
        </w:tc>
        <w:tc>
          <w:tcPr>
            <w:tcW w:w="0" w:type="dxa"/>
            <w:vAlign w:val="bottom"/>
          </w:tcPr>
          <w:p>
            <w:pPr>
              <w:spacing w:after="0"/>
              <w:rPr>
                <w:sz w:val="1"/>
                <w:szCs w:val="1"/>
                <w:color w:val="auto"/>
              </w:rPr>
            </w:pPr>
          </w:p>
        </w:tc>
      </w:tr>
      <w:tr>
        <w:trPr>
          <w:trHeight w:val="139"/>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Options</w:t>
            </w:r>
          </w:p>
        </w:tc>
        <w:tc>
          <w:tcPr>
            <w:tcW w:w="4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80" w:type="dxa"/>
            <w:vAlign w:val="bottom"/>
            <w:tcBorders>
              <w:top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2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420" w:type="dxa"/>
            <w:vAlign w:val="bottom"/>
            <w:tcBorders>
              <w:top w:val="single" w:sz="8" w:color="2360A6"/>
            </w:tcBorders>
            <w:shd w:val="clear" w:color="auto" w:fill="EDEDEE"/>
          </w:tcPr>
          <w:p>
            <w:pPr>
              <w:spacing w:after="0"/>
              <w:rPr>
                <w:sz w:val="12"/>
                <w:szCs w:val="12"/>
                <w:color w:val="auto"/>
              </w:rPr>
            </w:pPr>
          </w:p>
        </w:tc>
        <w:tc>
          <w:tcPr>
            <w:tcW w:w="120" w:type="dxa"/>
            <w:vAlign w:val="bottom"/>
            <w:tcBorders>
              <w:top w:val="single" w:sz="8" w:color="2360A6"/>
              <w:right w:val="single" w:sz="8" w:color="2360A6"/>
            </w:tcBorders>
            <w:shd w:val="clear" w:color="auto" w:fill="EDEDEE"/>
          </w:tcPr>
          <w:p>
            <w:pPr>
              <w:spacing w:after="0"/>
              <w:rPr>
                <w:sz w:val="12"/>
                <w:szCs w:val="12"/>
                <w:color w:val="auto"/>
              </w:rPr>
            </w:pPr>
          </w:p>
        </w:tc>
        <w:tc>
          <w:tcPr>
            <w:tcW w:w="620" w:type="dxa"/>
            <w:vAlign w:val="bottom"/>
            <w:tcBorders>
              <w:top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color w:val="231F20"/>
                <w:w w:val="99"/>
              </w:rPr>
              <w:t>exercised(Subscription)</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80" w:type="dxa"/>
            <w:vAlign w:val="bottom"/>
          </w:tcPr>
          <w:p>
            <w:pPr>
              <w:spacing w:after="0"/>
              <w:rPr>
                <w:sz w:val="13"/>
                <w:szCs w:val="13"/>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(455,256)</w:t>
            </w:r>
          </w:p>
        </w:tc>
        <w:tc>
          <w:tcPr>
            <w:tcW w:w="6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(106,440)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color w:val="231F20"/>
              </w:rPr>
              <w:t>—</w:t>
            </w:r>
          </w:p>
        </w:tc>
        <w:tc>
          <w:tcPr>
            <w:tcW w:w="120" w:type="dxa"/>
            <w:vAlign w:val="bottom"/>
            <w:tcBorders>
              <w:bottom w:val="single" w:sz="8" w:color="EDEDEE"/>
              <w:right w:val="single" w:sz="8" w:color="2360A6"/>
            </w:tcBorders>
            <w:shd w:val="clear" w:color="auto" w:fill="EDEDEE"/>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231F20"/>
              </w:rPr>
              <w:t>(561,696)</w:t>
            </w:r>
          </w:p>
        </w:tc>
        <w:tc>
          <w:tcPr>
            <w:tcW w:w="0" w:type="dxa"/>
            <w:vAlign w:val="bottom"/>
          </w:tcPr>
          <w:p>
            <w:pPr>
              <w:spacing w:after="0"/>
              <w:rPr>
                <w:sz w:val="1"/>
                <w:szCs w:val="1"/>
                <w:color w:val="auto"/>
              </w:rPr>
            </w:pPr>
          </w:p>
        </w:tc>
      </w:tr>
      <w:tr>
        <w:trPr>
          <w:trHeight w:val="139"/>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Options Forfeited</w:t>
            </w:r>
          </w:p>
        </w:tc>
        <w:tc>
          <w:tcPr>
            <w:tcW w:w="4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80" w:type="dxa"/>
            <w:vAlign w:val="bottom"/>
            <w:tcBorders>
              <w:top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2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420" w:type="dxa"/>
            <w:vAlign w:val="bottom"/>
            <w:tcBorders>
              <w:top w:val="single" w:sz="8" w:color="2360A6"/>
            </w:tcBorders>
            <w:shd w:val="clear" w:color="auto" w:fill="EDEDEE"/>
          </w:tcPr>
          <w:p>
            <w:pPr>
              <w:spacing w:after="0"/>
              <w:rPr>
                <w:sz w:val="12"/>
                <w:szCs w:val="12"/>
                <w:color w:val="auto"/>
              </w:rPr>
            </w:pPr>
          </w:p>
        </w:tc>
        <w:tc>
          <w:tcPr>
            <w:tcW w:w="120" w:type="dxa"/>
            <w:vAlign w:val="bottom"/>
            <w:tcBorders>
              <w:top w:val="single" w:sz="8" w:color="2360A6"/>
              <w:right w:val="single" w:sz="8" w:color="2360A6"/>
            </w:tcBorders>
            <w:shd w:val="clear" w:color="auto" w:fill="EDEDEE"/>
          </w:tcPr>
          <w:p>
            <w:pPr>
              <w:spacing w:after="0"/>
              <w:rPr>
                <w:sz w:val="12"/>
                <w:szCs w:val="12"/>
                <w:color w:val="auto"/>
              </w:rPr>
            </w:pPr>
          </w:p>
        </w:tc>
        <w:tc>
          <w:tcPr>
            <w:tcW w:w="620" w:type="dxa"/>
            <w:vAlign w:val="bottom"/>
            <w:tcBorders>
              <w:top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20" w:type="dxa"/>
            <w:vAlign w:val="bottom"/>
            <w:tcBorders>
              <w:right w:val="single" w:sz="8" w:color="2360A6"/>
            </w:tcBorders>
          </w:tcPr>
          <w:p>
            <w:pPr>
              <w:ind w:left="40"/>
              <w:spacing w:after="0" w:line="122" w:lineRule="exact"/>
              <w:rPr>
                <w:sz w:val="20"/>
                <w:szCs w:val="20"/>
                <w:color w:val="auto"/>
              </w:rPr>
            </w:pPr>
            <w:r>
              <w:rPr>
                <w:rFonts w:ascii="Arial" w:cs="Arial" w:eastAsia="Arial" w:hAnsi="Arial"/>
                <w:sz w:val="11"/>
                <w:szCs w:val="11"/>
                <w:color w:val="231F20"/>
              </w:rPr>
              <w:t>(Purchase/</w:t>
            </w:r>
          </w:p>
        </w:tc>
        <w:tc>
          <w:tcPr>
            <w:tcW w:w="4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2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420" w:type="dxa"/>
            <w:vAlign w:val="bottom"/>
            <w:shd w:val="clear" w:color="auto" w:fill="EDEDEE"/>
          </w:tcPr>
          <w:p>
            <w:pPr>
              <w:spacing w:after="0"/>
              <w:rPr>
                <w:sz w:val="10"/>
                <w:szCs w:val="10"/>
                <w:color w:val="auto"/>
              </w:rPr>
            </w:pPr>
          </w:p>
        </w:tc>
        <w:tc>
          <w:tcPr>
            <w:tcW w:w="120" w:type="dxa"/>
            <w:vAlign w:val="bottom"/>
            <w:tcBorders>
              <w:right w:val="single" w:sz="8" w:color="2360A6"/>
            </w:tcBorders>
            <w:shd w:val="clear" w:color="auto" w:fill="EDEDE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color w:val="231F20"/>
              </w:rPr>
              <w:t>Subscription)</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80" w:type="dxa"/>
            <w:vAlign w:val="bottom"/>
          </w:tcPr>
          <w:p>
            <w:pPr>
              <w:spacing w:after="0"/>
              <w:rPr>
                <w:sz w:val="13"/>
                <w:szCs w:val="13"/>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(22,136)</w:t>
            </w:r>
          </w:p>
        </w:tc>
        <w:tc>
          <w:tcPr>
            <w:tcW w:w="6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600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(1,300)</w:t>
            </w:r>
          </w:p>
        </w:tc>
        <w:tc>
          <w:tcPr>
            <w:tcW w:w="5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(14,380)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(1,904)</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(1,500)</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(32,300)</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(34,000)</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color w:val="231F20"/>
              </w:rPr>
              <w:t>—</w:t>
            </w:r>
          </w:p>
        </w:tc>
        <w:tc>
          <w:tcPr>
            <w:tcW w:w="120" w:type="dxa"/>
            <w:vAlign w:val="bottom"/>
            <w:tcBorders>
              <w:bottom w:val="single" w:sz="8" w:color="EDEDEE"/>
              <w:right w:val="single" w:sz="8" w:color="2360A6"/>
            </w:tcBorders>
            <w:shd w:val="clear" w:color="auto" w:fill="EDEDEE"/>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231F20"/>
              </w:rPr>
              <w:t>(106,920)</w:t>
            </w:r>
          </w:p>
        </w:tc>
        <w:tc>
          <w:tcPr>
            <w:tcW w:w="0" w:type="dxa"/>
            <w:vAlign w:val="bottom"/>
          </w:tcPr>
          <w:p>
            <w:pPr>
              <w:spacing w:after="0"/>
              <w:rPr>
                <w:sz w:val="1"/>
                <w:szCs w:val="1"/>
                <w:color w:val="auto"/>
              </w:rPr>
            </w:pPr>
          </w:p>
        </w:tc>
      </w:tr>
      <w:tr>
        <w:trPr>
          <w:trHeight w:val="127"/>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Options outstanding</w:t>
            </w:r>
          </w:p>
        </w:tc>
        <w:tc>
          <w:tcPr>
            <w:tcW w:w="460" w:type="dxa"/>
            <w:vAlign w:val="bottom"/>
            <w:tcBorders>
              <w:top w:val="single" w:sz="8" w:color="2360A6"/>
              <w:right w:val="single" w:sz="8" w:color="2360A6"/>
            </w:tcBorders>
          </w:tcPr>
          <w:p>
            <w:pPr>
              <w:spacing w:after="0"/>
              <w:rPr>
                <w:sz w:val="11"/>
                <w:szCs w:val="11"/>
                <w:color w:val="auto"/>
              </w:rPr>
            </w:pPr>
          </w:p>
        </w:tc>
        <w:tc>
          <w:tcPr>
            <w:tcW w:w="600" w:type="dxa"/>
            <w:vAlign w:val="bottom"/>
            <w:tcBorders>
              <w:top w:val="single" w:sz="8" w:color="2360A6"/>
              <w:right w:val="single" w:sz="8" w:color="2360A6"/>
            </w:tcBorders>
          </w:tcPr>
          <w:p>
            <w:pPr>
              <w:spacing w:after="0"/>
              <w:rPr>
                <w:sz w:val="11"/>
                <w:szCs w:val="11"/>
                <w:color w:val="auto"/>
              </w:rPr>
            </w:pPr>
          </w:p>
        </w:tc>
        <w:tc>
          <w:tcPr>
            <w:tcW w:w="80" w:type="dxa"/>
            <w:vAlign w:val="bottom"/>
            <w:tcBorders>
              <w:top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580" w:type="dxa"/>
            <w:vAlign w:val="bottom"/>
            <w:tcBorders>
              <w:top w:val="single" w:sz="8" w:color="2360A6"/>
              <w:right w:val="single" w:sz="8" w:color="2360A6"/>
            </w:tcBorders>
          </w:tcPr>
          <w:p>
            <w:pPr>
              <w:spacing w:after="0"/>
              <w:rPr>
                <w:sz w:val="11"/>
                <w:szCs w:val="11"/>
                <w:color w:val="auto"/>
              </w:rPr>
            </w:pPr>
          </w:p>
        </w:tc>
        <w:tc>
          <w:tcPr>
            <w:tcW w:w="62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60" w:type="dxa"/>
            <w:vAlign w:val="bottom"/>
            <w:tcBorders>
              <w:top w:val="single" w:sz="8" w:color="2360A6"/>
              <w:right w:val="single" w:sz="8" w:color="2360A6"/>
            </w:tcBorders>
          </w:tcPr>
          <w:p>
            <w:pPr>
              <w:spacing w:after="0"/>
              <w:rPr>
                <w:sz w:val="11"/>
                <w:szCs w:val="11"/>
                <w:color w:val="auto"/>
              </w:rPr>
            </w:pPr>
          </w:p>
        </w:tc>
        <w:tc>
          <w:tcPr>
            <w:tcW w:w="60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420" w:type="dxa"/>
            <w:vAlign w:val="bottom"/>
            <w:tcBorders>
              <w:top w:val="single" w:sz="8" w:color="2360A6"/>
            </w:tcBorders>
            <w:shd w:val="clear" w:color="auto" w:fill="EDEDEE"/>
          </w:tcPr>
          <w:p>
            <w:pPr>
              <w:spacing w:after="0"/>
              <w:rPr>
                <w:sz w:val="11"/>
                <w:szCs w:val="11"/>
                <w:color w:val="auto"/>
              </w:rPr>
            </w:pPr>
          </w:p>
        </w:tc>
        <w:tc>
          <w:tcPr>
            <w:tcW w:w="120" w:type="dxa"/>
            <w:vAlign w:val="bottom"/>
            <w:tcBorders>
              <w:top w:val="single" w:sz="8" w:color="2360A6"/>
              <w:right w:val="single" w:sz="8" w:color="2360A6"/>
            </w:tcBorders>
            <w:shd w:val="clear" w:color="auto" w:fill="EDEDEE"/>
          </w:tcPr>
          <w:p>
            <w:pPr>
              <w:spacing w:after="0"/>
              <w:rPr>
                <w:sz w:val="11"/>
                <w:szCs w:val="11"/>
                <w:color w:val="auto"/>
              </w:rPr>
            </w:pPr>
          </w:p>
        </w:tc>
        <w:tc>
          <w:tcPr>
            <w:tcW w:w="620" w:type="dxa"/>
            <w:vAlign w:val="bottom"/>
            <w:tcBorders>
              <w:top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20" w:type="dxa"/>
            <w:vAlign w:val="bottom"/>
            <w:tcBorders>
              <w:right w:val="single" w:sz="8" w:color="2360A6"/>
            </w:tcBorders>
          </w:tcPr>
          <w:p>
            <w:pPr>
              <w:ind w:left="40"/>
              <w:spacing w:after="0" w:line="122" w:lineRule="exact"/>
              <w:rPr>
                <w:sz w:val="20"/>
                <w:szCs w:val="20"/>
                <w:color w:val="auto"/>
              </w:rPr>
            </w:pPr>
            <w:r>
              <w:rPr>
                <w:rFonts w:ascii="Arial" w:cs="Arial" w:eastAsia="Arial" w:hAnsi="Arial"/>
                <w:sz w:val="11"/>
                <w:szCs w:val="11"/>
                <w:b w:val="1"/>
                <w:bCs w:val="1"/>
                <w:color w:val="2360A6"/>
              </w:rPr>
              <w:t>as of December 31,</w:t>
            </w:r>
          </w:p>
        </w:tc>
        <w:tc>
          <w:tcPr>
            <w:tcW w:w="4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2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420" w:type="dxa"/>
            <w:vAlign w:val="bottom"/>
            <w:shd w:val="clear" w:color="auto" w:fill="EDEDEE"/>
          </w:tcPr>
          <w:p>
            <w:pPr>
              <w:spacing w:after="0"/>
              <w:rPr>
                <w:sz w:val="10"/>
                <w:szCs w:val="10"/>
                <w:color w:val="auto"/>
              </w:rPr>
            </w:pPr>
          </w:p>
        </w:tc>
        <w:tc>
          <w:tcPr>
            <w:tcW w:w="120" w:type="dxa"/>
            <w:vAlign w:val="bottom"/>
            <w:tcBorders>
              <w:right w:val="single" w:sz="8" w:color="2360A6"/>
            </w:tcBorders>
            <w:shd w:val="clear" w:color="auto" w:fill="EDEDE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2015</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w:t>
            </w:r>
          </w:p>
        </w:tc>
        <w:tc>
          <w:tcPr>
            <w:tcW w:w="80" w:type="dxa"/>
            <w:vAlign w:val="bottom"/>
          </w:tcPr>
          <w:p>
            <w:pPr>
              <w:spacing w:after="0"/>
              <w:rPr>
                <w:sz w:val="14"/>
                <w:szCs w:val="14"/>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w:t>
            </w:r>
          </w:p>
        </w:tc>
        <w:tc>
          <w:tcPr>
            <w:tcW w:w="58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w:t>
            </w:r>
          </w:p>
        </w:tc>
        <w:tc>
          <w:tcPr>
            <w:tcW w:w="6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776,293</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17,400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69,400</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316,320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41,696</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46,007</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245,800</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34,950</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287,500</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16,520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568,561</w:t>
            </w:r>
          </w:p>
        </w:tc>
        <w:tc>
          <w:tcPr>
            <w:tcW w:w="420" w:type="dxa"/>
            <w:vAlign w:val="bottom"/>
            <w:tcBorders>
              <w:bottom w:val="single" w:sz="8" w:color="EDEDEE"/>
            </w:tcBorders>
            <w:shd w:val="clear" w:color="auto" w:fill="EDEDEE"/>
          </w:tcPr>
          <w:p>
            <w:pPr>
              <w:spacing w:after="0"/>
              <w:rPr>
                <w:sz w:val="14"/>
                <w:szCs w:val="14"/>
                <w:color w:val="auto"/>
              </w:rPr>
            </w:pPr>
          </w:p>
        </w:tc>
        <w:tc>
          <w:tcPr>
            <w:tcW w:w="120" w:type="dxa"/>
            <w:vAlign w:val="bottom"/>
            <w:tcBorders>
              <w:bottom w:val="single" w:sz="8" w:color="EDEDEE"/>
              <w:right w:val="single" w:sz="8" w:color="2360A6"/>
            </w:tcBorders>
            <w:shd w:val="clear" w:color="auto" w:fill="EDEDEE"/>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b w:val="1"/>
                <w:bCs w:val="1"/>
                <w:color w:val="2360A6"/>
                <w:w w:val="97"/>
              </w:rPr>
              <w:t>2,420,447</w:t>
            </w:r>
          </w:p>
        </w:tc>
        <w:tc>
          <w:tcPr>
            <w:tcW w:w="0" w:type="dxa"/>
            <w:vAlign w:val="bottom"/>
          </w:tcPr>
          <w:p>
            <w:pPr>
              <w:spacing w:after="0"/>
              <w:rPr>
                <w:sz w:val="1"/>
                <w:szCs w:val="1"/>
                <w:color w:val="auto"/>
              </w:rPr>
            </w:pPr>
          </w:p>
        </w:tc>
      </w:tr>
      <w:tr>
        <w:trPr>
          <w:trHeight w:val="139"/>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Options Granted</w:t>
            </w:r>
          </w:p>
        </w:tc>
        <w:tc>
          <w:tcPr>
            <w:tcW w:w="4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80" w:type="dxa"/>
            <w:vAlign w:val="bottom"/>
            <w:tcBorders>
              <w:top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2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420" w:type="dxa"/>
            <w:vAlign w:val="bottom"/>
            <w:tcBorders>
              <w:top w:val="single" w:sz="8" w:color="2360A6"/>
            </w:tcBorders>
            <w:shd w:val="clear" w:color="auto" w:fill="EDEDEE"/>
          </w:tcPr>
          <w:p>
            <w:pPr>
              <w:spacing w:after="0"/>
              <w:rPr>
                <w:sz w:val="12"/>
                <w:szCs w:val="12"/>
                <w:color w:val="auto"/>
              </w:rPr>
            </w:pPr>
          </w:p>
        </w:tc>
        <w:tc>
          <w:tcPr>
            <w:tcW w:w="120" w:type="dxa"/>
            <w:vAlign w:val="bottom"/>
            <w:tcBorders>
              <w:top w:val="single" w:sz="8" w:color="2360A6"/>
              <w:right w:val="single" w:sz="8" w:color="2360A6"/>
            </w:tcBorders>
            <w:shd w:val="clear" w:color="auto" w:fill="EDEDEE"/>
          </w:tcPr>
          <w:p>
            <w:pPr>
              <w:spacing w:after="0"/>
              <w:rPr>
                <w:sz w:val="12"/>
                <w:szCs w:val="12"/>
                <w:color w:val="auto"/>
              </w:rPr>
            </w:pPr>
          </w:p>
        </w:tc>
        <w:tc>
          <w:tcPr>
            <w:tcW w:w="620" w:type="dxa"/>
            <w:vAlign w:val="bottom"/>
            <w:tcBorders>
              <w:top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color w:val="231F20"/>
              </w:rPr>
              <w:t>(Subscription)</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80" w:type="dxa"/>
            <w:vAlign w:val="bottom"/>
          </w:tcPr>
          <w:p>
            <w:pPr>
              <w:spacing w:after="0"/>
              <w:rPr>
                <w:sz w:val="13"/>
                <w:szCs w:val="13"/>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8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6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color w:val="231F20"/>
              </w:rPr>
              <w:t>595,126</w:t>
            </w:r>
          </w:p>
        </w:tc>
        <w:tc>
          <w:tcPr>
            <w:tcW w:w="120" w:type="dxa"/>
            <w:vAlign w:val="bottom"/>
            <w:tcBorders>
              <w:bottom w:val="single" w:sz="8" w:color="EDEDEE"/>
              <w:right w:val="single" w:sz="8" w:color="2360A6"/>
            </w:tcBorders>
            <w:shd w:val="clear" w:color="auto" w:fill="EDEDEE"/>
          </w:tcPr>
          <w:p>
            <w:pPr>
              <w:spacing w:after="0"/>
              <w:rPr>
                <w:sz w:val="13"/>
                <w:szCs w:val="13"/>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231F20"/>
              </w:rPr>
              <w:t>595,126</w:t>
            </w:r>
          </w:p>
        </w:tc>
        <w:tc>
          <w:tcPr>
            <w:tcW w:w="0" w:type="dxa"/>
            <w:vAlign w:val="bottom"/>
          </w:tcPr>
          <w:p>
            <w:pPr>
              <w:spacing w:after="0"/>
              <w:rPr>
                <w:sz w:val="1"/>
                <w:szCs w:val="1"/>
                <w:color w:val="auto"/>
              </w:rPr>
            </w:pPr>
          </w:p>
        </w:tc>
      </w:tr>
      <w:tr>
        <w:trPr>
          <w:trHeight w:val="139"/>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Options exercised</w:t>
            </w:r>
          </w:p>
        </w:tc>
        <w:tc>
          <w:tcPr>
            <w:tcW w:w="4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80" w:type="dxa"/>
            <w:vAlign w:val="bottom"/>
            <w:tcBorders>
              <w:top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2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420" w:type="dxa"/>
            <w:vAlign w:val="bottom"/>
            <w:tcBorders>
              <w:top w:val="single" w:sz="8" w:color="2360A6"/>
            </w:tcBorders>
            <w:shd w:val="clear" w:color="auto" w:fill="EDEDEE"/>
          </w:tcPr>
          <w:p>
            <w:pPr>
              <w:spacing w:after="0"/>
              <w:rPr>
                <w:sz w:val="12"/>
                <w:szCs w:val="12"/>
                <w:color w:val="auto"/>
              </w:rPr>
            </w:pPr>
          </w:p>
        </w:tc>
        <w:tc>
          <w:tcPr>
            <w:tcW w:w="120" w:type="dxa"/>
            <w:vAlign w:val="bottom"/>
            <w:tcBorders>
              <w:top w:val="single" w:sz="8" w:color="2360A6"/>
              <w:right w:val="single" w:sz="8" w:color="2360A6"/>
            </w:tcBorders>
            <w:shd w:val="clear" w:color="auto" w:fill="EDEDEE"/>
          </w:tcPr>
          <w:p>
            <w:pPr>
              <w:spacing w:after="0"/>
              <w:rPr>
                <w:sz w:val="12"/>
                <w:szCs w:val="12"/>
                <w:color w:val="auto"/>
              </w:rPr>
            </w:pPr>
          </w:p>
        </w:tc>
        <w:tc>
          <w:tcPr>
            <w:tcW w:w="620" w:type="dxa"/>
            <w:vAlign w:val="bottom"/>
            <w:tcBorders>
              <w:top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color w:val="231F20"/>
              </w:rPr>
              <w:t>(Subscription)</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80" w:type="dxa"/>
            <w:vAlign w:val="bottom"/>
          </w:tcPr>
          <w:p>
            <w:pPr>
              <w:spacing w:after="0"/>
              <w:rPr>
                <w:sz w:val="13"/>
                <w:szCs w:val="13"/>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8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6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(13,750)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(9,300)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(2,400)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color w:val="231F20"/>
              </w:rPr>
              <w:t>—</w:t>
            </w:r>
          </w:p>
        </w:tc>
        <w:tc>
          <w:tcPr>
            <w:tcW w:w="120" w:type="dxa"/>
            <w:vAlign w:val="bottom"/>
            <w:tcBorders>
              <w:bottom w:val="single" w:sz="8" w:color="EDEDEE"/>
              <w:right w:val="single" w:sz="8" w:color="2360A6"/>
            </w:tcBorders>
            <w:shd w:val="clear" w:color="auto" w:fill="EDEDEE"/>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231F20"/>
              </w:rPr>
              <w:t>(25,450)</w:t>
            </w:r>
          </w:p>
        </w:tc>
        <w:tc>
          <w:tcPr>
            <w:tcW w:w="0" w:type="dxa"/>
            <w:vAlign w:val="bottom"/>
          </w:tcPr>
          <w:p>
            <w:pPr>
              <w:spacing w:after="0"/>
              <w:rPr>
                <w:sz w:val="1"/>
                <w:szCs w:val="1"/>
                <w:color w:val="auto"/>
              </w:rPr>
            </w:pPr>
          </w:p>
        </w:tc>
      </w:tr>
      <w:tr>
        <w:trPr>
          <w:trHeight w:val="139"/>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Options Forfeited</w:t>
            </w:r>
          </w:p>
        </w:tc>
        <w:tc>
          <w:tcPr>
            <w:tcW w:w="4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80" w:type="dxa"/>
            <w:vAlign w:val="bottom"/>
            <w:tcBorders>
              <w:top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2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0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420" w:type="dxa"/>
            <w:vAlign w:val="bottom"/>
            <w:tcBorders>
              <w:top w:val="single" w:sz="8" w:color="2360A6"/>
            </w:tcBorders>
            <w:shd w:val="clear" w:color="auto" w:fill="EDEDEE"/>
          </w:tcPr>
          <w:p>
            <w:pPr>
              <w:spacing w:after="0"/>
              <w:rPr>
                <w:sz w:val="12"/>
                <w:szCs w:val="12"/>
                <w:color w:val="auto"/>
              </w:rPr>
            </w:pPr>
          </w:p>
        </w:tc>
        <w:tc>
          <w:tcPr>
            <w:tcW w:w="120" w:type="dxa"/>
            <w:vAlign w:val="bottom"/>
            <w:tcBorders>
              <w:top w:val="single" w:sz="8" w:color="2360A6"/>
              <w:right w:val="single" w:sz="8" w:color="2360A6"/>
            </w:tcBorders>
            <w:shd w:val="clear" w:color="auto" w:fill="EDEDEE"/>
          </w:tcPr>
          <w:p>
            <w:pPr>
              <w:spacing w:after="0"/>
              <w:rPr>
                <w:sz w:val="12"/>
                <w:szCs w:val="12"/>
                <w:color w:val="auto"/>
              </w:rPr>
            </w:pPr>
          </w:p>
        </w:tc>
        <w:tc>
          <w:tcPr>
            <w:tcW w:w="620" w:type="dxa"/>
            <w:vAlign w:val="bottom"/>
            <w:tcBorders>
              <w:top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20" w:type="dxa"/>
            <w:vAlign w:val="bottom"/>
            <w:tcBorders>
              <w:right w:val="single" w:sz="8" w:color="2360A6"/>
            </w:tcBorders>
          </w:tcPr>
          <w:p>
            <w:pPr>
              <w:ind w:left="40"/>
              <w:spacing w:after="0" w:line="122" w:lineRule="exact"/>
              <w:rPr>
                <w:sz w:val="20"/>
                <w:szCs w:val="20"/>
                <w:color w:val="auto"/>
              </w:rPr>
            </w:pPr>
            <w:r>
              <w:rPr>
                <w:rFonts w:ascii="Arial" w:cs="Arial" w:eastAsia="Arial" w:hAnsi="Arial"/>
                <w:sz w:val="11"/>
                <w:szCs w:val="11"/>
                <w:color w:val="231F20"/>
              </w:rPr>
              <w:t>(Purchase/</w:t>
            </w:r>
          </w:p>
        </w:tc>
        <w:tc>
          <w:tcPr>
            <w:tcW w:w="4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2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0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420" w:type="dxa"/>
            <w:vAlign w:val="bottom"/>
            <w:shd w:val="clear" w:color="auto" w:fill="EDEDEE"/>
          </w:tcPr>
          <w:p>
            <w:pPr>
              <w:spacing w:after="0"/>
              <w:rPr>
                <w:sz w:val="10"/>
                <w:szCs w:val="10"/>
                <w:color w:val="auto"/>
              </w:rPr>
            </w:pPr>
          </w:p>
        </w:tc>
        <w:tc>
          <w:tcPr>
            <w:tcW w:w="120" w:type="dxa"/>
            <w:vAlign w:val="bottom"/>
            <w:tcBorders>
              <w:right w:val="single" w:sz="8" w:color="2360A6"/>
            </w:tcBorders>
            <w:shd w:val="clear" w:color="auto" w:fill="EDEDEE"/>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color w:val="231F20"/>
              </w:rPr>
              <w:t>Subscription)</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80" w:type="dxa"/>
            <w:vAlign w:val="bottom"/>
          </w:tcPr>
          <w:p>
            <w:pPr>
              <w:spacing w:after="0"/>
              <w:rPr>
                <w:sz w:val="13"/>
                <w:szCs w:val="13"/>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8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6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(762,543)</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(8,100)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(1,800)</w:t>
            </w:r>
          </w:p>
        </w:tc>
        <w:tc>
          <w:tcPr>
            <w:tcW w:w="5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(2,138)</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(2,198)</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(20,521)</w:t>
            </w:r>
          </w:p>
        </w:tc>
        <w:tc>
          <w:tcPr>
            <w:tcW w:w="54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(1,992)</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spacing w:after="0"/>
              <w:rPr>
                <w:sz w:val="13"/>
                <w:szCs w:val="13"/>
                <w:color w:val="auto"/>
              </w:rPr>
            </w:pP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color w:val="231F20"/>
              </w:rPr>
              <w:t>—</w:t>
            </w:r>
          </w:p>
        </w:tc>
        <w:tc>
          <w:tcPr>
            <w:tcW w:w="120" w:type="dxa"/>
            <w:vAlign w:val="bottom"/>
            <w:tcBorders>
              <w:bottom w:val="single" w:sz="8" w:color="EDEDEE"/>
              <w:right w:val="single" w:sz="8" w:color="2360A6"/>
            </w:tcBorders>
            <w:shd w:val="clear" w:color="auto" w:fill="EDEDEE"/>
          </w:tcPr>
          <w:p>
            <w:pPr>
              <w:spacing w:after="0"/>
              <w:rPr>
                <w:sz w:val="13"/>
                <w:szCs w:val="13"/>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231F20"/>
              </w:rPr>
              <w:t>(801,292)</w:t>
            </w:r>
          </w:p>
        </w:tc>
        <w:tc>
          <w:tcPr>
            <w:tcW w:w="0" w:type="dxa"/>
            <w:vAlign w:val="bottom"/>
          </w:tcPr>
          <w:p>
            <w:pPr>
              <w:spacing w:after="0"/>
              <w:rPr>
                <w:sz w:val="1"/>
                <w:szCs w:val="1"/>
                <w:color w:val="auto"/>
              </w:rPr>
            </w:pPr>
          </w:p>
        </w:tc>
      </w:tr>
      <w:tr>
        <w:trPr>
          <w:trHeight w:val="127"/>
        </w:trPr>
        <w:tc>
          <w:tcPr>
            <w:tcW w:w="1220" w:type="dxa"/>
            <w:vAlign w:val="bottom"/>
            <w:tcBorders>
              <w:top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1"/>
                <w:szCs w:val="11"/>
                <w:b w:val="1"/>
                <w:bCs w:val="1"/>
                <w:color w:val="2360A6"/>
              </w:rPr>
              <w:t>OPTIONS</w:t>
            </w:r>
          </w:p>
        </w:tc>
        <w:tc>
          <w:tcPr>
            <w:tcW w:w="460" w:type="dxa"/>
            <w:vAlign w:val="bottom"/>
            <w:tcBorders>
              <w:top w:val="single" w:sz="8" w:color="2360A6"/>
              <w:right w:val="single" w:sz="8" w:color="2360A6"/>
            </w:tcBorders>
            <w:shd w:val="clear" w:color="auto" w:fill="D2DEEC"/>
          </w:tcPr>
          <w:p>
            <w:pPr>
              <w:spacing w:after="0"/>
              <w:rPr>
                <w:sz w:val="11"/>
                <w:szCs w:val="11"/>
                <w:color w:val="auto"/>
              </w:rPr>
            </w:pPr>
          </w:p>
        </w:tc>
        <w:tc>
          <w:tcPr>
            <w:tcW w:w="600" w:type="dxa"/>
            <w:vAlign w:val="bottom"/>
            <w:tcBorders>
              <w:top w:val="single" w:sz="8" w:color="2360A6"/>
              <w:right w:val="single" w:sz="8" w:color="2360A6"/>
            </w:tcBorders>
            <w:shd w:val="clear" w:color="auto" w:fill="D2DEEC"/>
          </w:tcPr>
          <w:p>
            <w:pPr>
              <w:spacing w:after="0"/>
              <w:rPr>
                <w:sz w:val="11"/>
                <w:szCs w:val="11"/>
                <w:color w:val="auto"/>
              </w:rPr>
            </w:pPr>
          </w:p>
        </w:tc>
        <w:tc>
          <w:tcPr>
            <w:tcW w:w="80" w:type="dxa"/>
            <w:vAlign w:val="bottom"/>
            <w:tcBorders>
              <w:top w:val="single" w:sz="8" w:color="2360A6"/>
            </w:tcBorders>
            <w:shd w:val="clear" w:color="auto" w:fill="D2DEEC"/>
          </w:tcPr>
          <w:p>
            <w:pPr>
              <w:spacing w:after="0"/>
              <w:rPr>
                <w:sz w:val="11"/>
                <w:szCs w:val="11"/>
                <w:color w:val="auto"/>
              </w:rPr>
            </w:pPr>
          </w:p>
        </w:tc>
        <w:tc>
          <w:tcPr>
            <w:tcW w:w="560" w:type="dxa"/>
            <w:vAlign w:val="bottom"/>
            <w:tcBorders>
              <w:top w:val="single" w:sz="8" w:color="2360A6"/>
              <w:right w:val="single" w:sz="8" w:color="2360A6"/>
            </w:tcBorders>
            <w:shd w:val="clear" w:color="auto" w:fill="D2DEEC"/>
          </w:tcPr>
          <w:p>
            <w:pPr>
              <w:spacing w:after="0"/>
              <w:rPr>
                <w:sz w:val="11"/>
                <w:szCs w:val="11"/>
                <w:color w:val="auto"/>
              </w:rPr>
            </w:pPr>
          </w:p>
        </w:tc>
        <w:tc>
          <w:tcPr>
            <w:tcW w:w="560" w:type="dxa"/>
            <w:vAlign w:val="bottom"/>
            <w:tcBorders>
              <w:top w:val="single" w:sz="8" w:color="2360A6"/>
              <w:right w:val="single" w:sz="8" w:color="2360A6"/>
            </w:tcBorders>
            <w:shd w:val="clear" w:color="auto" w:fill="D2DEEC"/>
          </w:tcPr>
          <w:p>
            <w:pPr>
              <w:spacing w:after="0"/>
              <w:rPr>
                <w:sz w:val="11"/>
                <w:szCs w:val="11"/>
                <w:color w:val="auto"/>
              </w:rPr>
            </w:pPr>
          </w:p>
        </w:tc>
        <w:tc>
          <w:tcPr>
            <w:tcW w:w="580" w:type="dxa"/>
            <w:vAlign w:val="bottom"/>
            <w:tcBorders>
              <w:top w:val="single" w:sz="8" w:color="2360A6"/>
              <w:right w:val="single" w:sz="8" w:color="2360A6"/>
            </w:tcBorders>
            <w:shd w:val="clear" w:color="auto" w:fill="D2DEEC"/>
          </w:tcPr>
          <w:p>
            <w:pPr>
              <w:spacing w:after="0"/>
              <w:rPr>
                <w:sz w:val="11"/>
                <w:szCs w:val="11"/>
                <w:color w:val="auto"/>
              </w:rPr>
            </w:pPr>
          </w:p>
        </w:tc>
        <w:tc>
          <w:tcPr>
            <w:tcW w:w="620" w:type="dxa"/>
            <w:vAlign w:val="bottom"/>
            <w:tcBorders>
              <w:top w:val="single" w:sz="8" w:color="2360A6"/>
              <w:right w:val="single" w:sz="8" w:color="2360A6"/>
            </w:tcBorders>
            <w:shd w:val="clear" w:color="auto" w:fill="D2DEEC"/>
          </w:tcPr>
          <w:p>
            <w:pPr>
              <w:spacing w:after="0"/>
              <w:rPr>
                <w:sz w:val="11"/>
                <w:szCs w:val="11"/>
                <w:color w:val="auto"/>
              </w:rPr>
            </w:pPr>
          </w:p>
        </w:tc>
        <w:tc>
          <w:tcPr>
            <w:tcW w:w="540" w:type="dxa"/>
            <w:vAlign w:val="bottom"/>
            <w:tcBorders>
              <w:top w:val="single" w:sz="8" w:color="2360A6"/>
              <w:right w:val="single" w:sz="8" w:color="2360A6"/>
            </w:tcBorders>
            <w:shd w:val="clear" w:color="auto" w:fill="D2DEEC"/>
          </w:tcPr>
          <w:p>
            <w:pPr>
              <w:spacing w:after="0"/>
              <w:rPr>
                <w:sz w:val="11"/>
                <w:szCs w:val="11"/>
                <w:color w:val="auto"/>
              </w:rPr>
            </w:pPr>
          </w:p>
        </w:tc>
        <w:tc>
          <w:tcPr>
            <w:tcW w:w="540" w:type="dxa"/>
            <w:vAlign w:val="bottom"/>
            <w:tcBorders>
              <w:top w:val="single" w:sz="8" w:color="2360A6"/>
              <w:right w:val="single" w:sz="8" w:color="2360A6"/>
            </w:tcBorders>
            <w:shd w:val="clear" w:color="auto" w:fill="D2DEEC"/>
          </w:tcPr>
          <w:p>
            <w:pPr>
              <w:spacing w:after="0"/>
              <w:rPr>
                <w:sz w:val="11"/>
                <w:szCs w:val="11"/>
                <w:color w:val="auto"/>
              </w:rPr>
            </w:pPr>
          </w:p>
        </w:tc>
        <w:tc>
          <w:tcPr>
            <w:tcW w:w="560" w:type="dxa"/>
            <w:vAlign w:val="bottom"/>
            <w:tcBorders>
              <w:top w:val="single" w:sz="8" w:color="2360A6"/>
              <w:right w:val="single" w:sz="8" w:color="2360A6"/>
            </w:tcBorders>
            <w:shd w:val="clear" w:color="auto" w:fill="D2DEEC"/>
          </w:tcPr>
          <w:p>
            <w:pPr>
              <w:spacing w:after="0"/>
              <w:rPr>
                <w:sz w:val="11"/>
                <w:szCs w:val="11"/>
                <w:color w:val="auto"/>
              </w:rPr>
            </w:pPr>
          </w:p>
        </w:tc>
        <w:tc>
          <w:tcPr>
            <w:tcW w:w="540" w:type="dxa"/>
            <w:vAlign w:val="bottom"/>
            <w:tcBorders>
              <w:top w:val="single" w:sz="8" w:color="2360A6"/>
              <w:right w:val="single" w:sz="8" w:color="2360A6"/>
            </w:tcBorders>
            <w:shd w:val="clear" w:color="auto" w:fill="D2DEEC"/>
          </w:tcPr>
          <w:p>
            <w:pPr>
              <w:spacing w:after="0"/>
              <w:rPr>
                <w:sz w:val="11"/>
                <w:szCs w:val="11"/>
                <w:color w:val="auto"/>
              </w:rPr>
            </w:pPr>
          </w:p>
        </w:tc>
        <w:tc>
          <w:tcPr>
            <w:tcW w:w="540" w:type="dxa"/>
            <w:vAlign w:val="bottom"/>
            <w:tcBorders>
              <w:top w:val="single" w:sz="8" w:color="2360A6"/>
              <w:right w:val="single" w:sz="8" w:color="2360A6"/>
            </w:tcBorders>
            <w:shd w:val="clear" w:color="auto" w:fill="D2DEEC"/>
          </w:tcPr>
          <w:p>
            <w:pPr>
              <w:spacing w:after="0"/>
              <w:rPr>
                <w:sz w:val="11"/>
                <w:szCs w:val="11"/>
                <w:color w:val="auto"/>
              </w:rPr>
            </w:pPr>
          </w:p>
        </w:tc>
        <w:tc>
          <w:tcPr>
            <w:tcW w:w="560" w:type="dxa"/>
            <w:vAlign w:val="bottom"/>
            <w:tcBorders>
              <w:top w:val="single" w:sz="8" w:color="2360A6"/>
              <w:right w:val="single" w:sz="8" w:color="2360A6"/>
            </w:tcBorders>
            <w:shd w:val="clear" w:color="auto" w:fill="D2DEEC"/>
          </w:tcPr>
          <w:p>
            <w:pPr>
              <w:spacing w:after="0"/>
              <w:rPr>
                <w:sz w:val="11"/>
                <w:szCs w:val="11"/>
                <w:color w:val="auto"/>
              </w:rPr>
            </w:pPr>
          </w:p>
        </w:tc>
        <w:tc>
          <w:tcPr>
            <w:tcW w:w="540" w:type="dxa"/>
            <w:vAlign w:val="bottom"/>
            <w:tcBorders>
              <w:top w:val="single" w:sz="8" w:color="2360A6"/>
              <w:right w:val="single" w:sz="8" w:color="2360A6"/>
            </w:tcBorders>
            <w:shd w:val="clear" w:color="auto" w:fill="D2DEEC"/>
          </w:tcPr>
          <w:p>
            <w:pPr>
              <w:spacing w:after="0"/>
              <w:rPr>
                <w:sz w:val="11"/>
                <w:szCs w:val="11"/>
                <w:color w:val="auto"/>
              </w:rPr>
            </w:pPr>
          </w:p>
        </w:tc>
        <w:tc>
          <w:tcPr>
            <w:tcW w:w="560" w:type="dxa"/>
            <w:vAlign w:val="bottom"/>
            <w:tcBorders>
              <w:top w:val="single" w:sz="8" w:color="2360A6"/>
              <w:right w:val="single" w:sz="8" w:color="2360A6"/>
            </w:tcBorders>
            <w:shd w:val="clear" w:color="auto" w:fill="D2DEEC"/>
          </w:tcPr>
          <w:p>
            <w:pPr>
              <w:spacing w:after="0"/>
              <w:rPr>
                <w:sz w:val="11"/>
                <w:szCs w:val="11"/>
                <w:color w:val="auto"/>
              </w:rPr>
            </w:pPr>
          </w:p>
        </w:tc>
        <w:tc>
          <w:tcPr>
            <w:tcW w:w="600" w:type="dxa"/>
            <w:vAlign w:val="bottom"/>
            <w:tcBorders>
              <w:top w:val="single" w:sz="8" w:color="2360A6"/>
              <w:right w:val="single" w:sz="8" w:color="2360A6"/>
            </w:tcBorders>
            <w:shd w:val="clear" w:color="auto" w:fill="D2DEEC"/>
          </w:tcPr>
          <w:p>
            <w:pPr>
              <w:spacing w:after="0"/>
              <w:rPr>
                <w:sz w:val="11"/>
                <w:szCs w:val="11"/>
                <w:color w:val="auto"/>
              </w:rPr>
            </w:pPr>
          </w:p>
        </w:tc>
        <w:tc>
          <w:tcPr>
            <w:tcW w:w="540" w:type="dxa"/>
            <w:vAlign w:val="bottom"/>
            <w:tcBorders>
              <w:top w:val="single" w:sz="8" w:color="2360A6"/>
              <w:right w:val="single" w:sz="8" w:color="2360A6"/>
            </w:tcBorders>
            <w:shd w:val="clear" w:color="auto" w:fill="D2DEEC"/>
          </w:tcPr>
          <w:p>
            <w:pPr>
              <w:spacing w:after="0"/>
              <w:rPr>
                <w:sz w:val="11"/>
                <w:szCs w:val="11"/>
                <w:color w:val="auto"/>
              </w:rPr>
            </w:pPr>
          </w:p>
        </w:tc>
        <w:tc>
          <w:tcPr>
            <w:tcW w:w="420" w:type="dxa"/>
            <w:vAlign w:val="bottom"/>
            <w:tcBorders>
              <w:top w:val="single" w:sz="8" w:color="2360A6"/>
            </w:tcBorders>
            <w:shd w:val="clear" w:color="auto" w:fill="D2DEEC"/>
          </w:tcPr>
          <w:p>
            <w:pPr>
              <w:spacing w:after="0"/>
              <w:rPr>
                <w:sz w:val="11"/>
                <w:szCs w:val="11"/>
                <w:color w:val="auto"/>
              </w:rPr>
            </w:pPr>
          </w:p>
        </w:tc>
        <w:tc>
          <w:tcPr>
            <w:tcW w:w="120" w:type="dxa"/>
            <w:vAlign w:val="bottom"/>
            <w:tcBorders>
              <w:top w:val="single" w:sz="8" w:color="2360A6"/>
              <w:right w:val="single" w:sz="8" w:color="2360A6"/>
            </w:tcBorders>
            <w:shd w:val="clear" w:color="auto" w:fill="D2DEEC"/>
          </w:tcPr>
          <w:p>
            <w:pPr>
              <w:spacing w:after="0"/>
              <w:rPr>
                <w:sz w:val="11"/>
                <w:szCs w:val="11"/>
                <w:color w:val="auto"/>
              </w:rPr>
            </w:pPr>
          </w:p>
        </w:tc>
        <w:tc>
          <w:tcPr>
            <w:tcW w:w="620" w:type="dxa"/>
            <w:vAlign w:val="bottom"/>
            <w:tcBorders>
              <w:top w:val="single" w:sz="8" w:color="2360A6"/>
            </w:tcBorders>
            <w:shd w:val="clear" w:color="auto" w:fill="D2DEE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20" w:type="dxa"/>
            <w:vAlign w:val="bottom"/>
            <w:tcBorders>
              <w:right w:val="single" w:sz="8" w:color="2360A6"/>
            </w:tcBorders>
            <w:shd w:val="clear" w:color="auto" w:fill="D2DEEC"/>
          </w:tcPr>
          <w:p>
            <w:pPr>
              <w:ind w:left="40"/>
              <w:spacing w:after="0" w:line="122" w:lineRule="exact"/>
              <w:rPr>
                <w:sz w:val="20"/>
                <w:szCs w:val="20"/>
                <w:color w:val="auto"/>
              </w:rPr>
            </w:pPr>
            <w:r>
              <w:rPr>
                <w:rFonts w:ascii="Arial" w:cs="Arial" w:eastAsia="Arial" w:hAnsi="Arial"/>
                <w:sz w:val="11"/>
                <w:szCs w:val="11"/>
                <w:b w:val="1"/>
                <w:bCs w:val="1"/>
                <w:color w:val="2360A6"/>
              </w:rPr>
              <w:t>OUTSTANDING AS</w:t>
            </w:r>
          </w:p>
        </w:tc>
        <w:tc>
          <w:tcPr>
            <w:tcW w:w="460" w:type="dxa"/>
            <w:vAlign w:val="bottom"/>
            <w:tcBorders>
              <w:right w:val="single" w:sz="8" w:color="2360A6"/>
            </w:tcBorders>
            <w:shd w:val="clear" w:color="auto" w:fill="D2DEEC"/>
          </w:tcPr>
          <w:p>
            <w:pPr>
              <w:spacing w:after="0"/>
              <w:rPr>
                <w:sz w:val="10"/>
                <w:szCs w:val="10"/>
                <w:color w:val="auto"/>
              </w:rPr>
            </w:pPr>
          </w:p>
        </w:tc>
        <w:tc>
          <w:tcPr>
            <w:tcW w:w="600" w:type="dxa"/>
            <w:vAlign w:val="bottom"/>
            <w:tcBorders>
              <w:right w:val="single" w:sz="8" w:color="2360A6"/>
            </w:tcBorders>
            <w:shd w:val="clear" w:color="auto" w:fill="D2DEEC"/>
          </w:tcPr>
          <w:p>
            <w:pPr>
              <w:spacing w:after="0"/>
              <w:rPr>
                <w:sz w:val="10"/>
                <w:szCs w:val="10"/>
                <w:color w:val="auto"/>
              </w:rPr>
            </w:pPr>
          </w:p>
        </w:tc>
        <w:tc>
          <w:tcPr>
            <w:tcW w:w="80" w:type="dxa"/>
            <w:vAlign w:val="bottom"/>
            <w:shd w:val="clear" w:color="auto" w:fill="D2DEEC"/>
          </w:tcPr>
          <w:p>
            <w:pPr>
              <w:spacing w:after="0"/>
              <w:rPr>
                <w:sz w:val="10"/>
                <w:szCs w:val="10"/>
                <w:color w:val="auto"/>
              </w:rPr>
            </w:pPr>
          </w:p>
        </w:tc>
        <w:tc>
          <w:tcPr>
            <w:tcW w:w="560" w:type="dxa"/>
            <w:vAlign w:val="bottom"/>
            <w:tcBorders>
              <w:right w:val="single" w:sz="8" w:color="2360A6"/>
            </w:tcBorders>
            <w:shd w:val="clear" w:color="auto" w:fill="D2DEEC"/>
          </w:tcPr>
          <w:p>
            <w:pPr>
              <w:spacing w:after="0"/>
              <w:rPr>
                <w:sz w:val="10"/>
                <w:szCs w:val="10"/>
                <w:color w:val="auto"/>
              </w:rPr>
            </w:pPr>
          </w:p>
        </w:tc>
        <w:tc>
          <w:tcPr>
            <w:tcW w:w="560" w:type="dxa"/>
            <w:vAlign w:val="bottom"/>
            <w:tcBorders>
              <w:right w:val="single" w:sz="8" w:color="2360A6"/>
            </w:tcBorders>
            <w:shd w:val="clear" w:color="auto" w:fill="D2DEEC"/>
          </w:tcPr>
          <w:p>
            <w:pPr>
              <w:spacing w:after="0"/>
              <w:rPr>
                <w:sz w:val="10"/>
                <w:szCs w:val="10"/>
                <w:color w:val="auto"/>
              </w:rPr>
            </w:pPr>
          </w:p>
        </w:tc>
        <w:tc>
          <w:tcPr>
            <w:tcW w:w="580" w:type="dxa"/>
            <w:vAlign w:val="bottom"/>
            <w:tcBorders>
              <w:right w:val="single" w:sz="8" w:color="2360A6"/>
            </w:tcBorders>
            <w:shd w:val="clear" w:color="auto" w:fill="D2DEEC"/>
          </w:tcPr>
          <w:p>
            <w:pPr>
              <w:spacing w:after="0"/>
              <w:rPr>
                <w:sz w:val="10"/>
                <w:szCs w:val="10"/>
                <w:color w:val="auto"/>
              </w:rPr>
            </w:pPr>
          </w:p>
        </w:tc>
        <w:tc>
          <w:tcPr>
            <w:tcW w:w="620" w:type="dxa"/>
            <w:vAlign w:val="bottom"/>
            <w:tcBorders>
              <w:right w:val="single" w:sz="8" w:color="2360A6"/>
            </w:tcBorders>
            <w:shd w:val="clear" w:color="auto" w:fill="D2DEEC"/>
          </w:tcPr>
          <w:p>
            <w:pPr>
              <w:spacing w:after="0"/>
              <w:rPr>
                <w:sz w:val="10"/>
                <w:szCs w:val="10"/>
                <w:color w:val="auto"/>
              </w:rPr>
            </w:pPr>
          </w:p>
        </w:tc>
        <w:tc>
          <w:tcPr>
            <w:tcW w:w="540" w:type="dxa"/>
            <w:vAlign w:val="bottom"/>
            <w:tcBorders>
              <w:right w:val="single" w:sz="8" w:color="2360A6"/>
            </w:tcBorders>
            <w:shd w:val="clear" w:color="auto" w:fill="D2DEEC"/>
          </w:tcPr>
          <w:p>
            <w:pPr>
              <w:spacing w:after="0"/>
              <w:rPr>
                <w:sz w:val="10"/>
                <w:szCs w:val="10"/>
                <w:color w:val="auto"/>
              </w:rPr>
            </w:pPr>
          </w:p>
        </w:tc>
        <w:tc>
          <w:tcPr>
            <w:tcW w:w="540" w:type="dxa"/>
            <w:vAlign w:val="bottom"/>
            <w:tcBorders>
              <w:right w:val="single" w:sz="8" w:color="2360A6"/>
            </w:tcBorders>
            <w:shd w:val="clear" w:color="auto" w:fill="D2DEEC"/>
          </w:tcPr>
          <w:p>
            <w:pPr>
              <w:spacing w:after="0"/>
              <w:rPr>
                <w:sz w:val="10"/>
                <w:szCs w:val="10"/>
                <w:color w:val="auto"/>
              </w:rPr>
            </w:pPr>
          </w:p>
        </w:tc>
        <w:tc>
          <w:tcPr>
            <w:tcW w:w="560" w:type="dxa"/>
            <w:vAlign w:val="bottom"/>
            <w:tcBorders>
              <w:right w:val="single" w:sz="8" w:color="2360A6"/>
            </w:tcBorders>
            <w:shd w:val="clear" w:color="auto" w:fill="D2DEEC"/>
          </w:tcPr>
          <w:p>
            <w:pPr>
              <w:spacing w:after="0"/>
              <w:rPr>
                <w:sz w:val="10"/>
                <w:szCs w:val="10"/>
                <w:color w:val="auto"/>
              </w:rPr>
            </w:pPr>
          </w:p>
        </w:tc>
        <w:tc>
          <w:tcPr>
            <w:tcW w:w="540" w:type="dxa"/>
            <w:vAlign w:val="bottom"/>
            <w:tcBorders>
              <w:right w:val="single" w:sz="8" w:color="2360A6"/>
            </w:tcBorders>
            <w:shd w:val="clear" w:color="auto" w:fill="D2DEEC"/>
          </w:tcPr>
          <w:p>
            <w:pPr>
              <w:spacing w:after="0"/>
              <w:rPr>
                <w:sz w:val="10"/>
                <w:szCs w:val="10"/>
                <w:color w:val="auto"/>
              </w:rPr>
            </w:pPr>
          </w:p>
        </w:tc>
        <w:tc>
          <w:tcPr>
            <w:tcW w:w="540" w:type="dxa"/>
            <w:vAlign w:val="bottom"/>
            <w:tcBorders>
              <w:right w:val="single" w:sz="8" w:color="2360A6"/>
            </w:tcBorders>
            <w:shd w:val="clear" w:color="auto" w:fill="D2DEEC"/>
          </w:tcPr>
          <w:p>
            <w:pPr>
              <w:spacing w:after="0"/>
              <w:rPr>
                <w:sz w:val="10"/>
                <w:szCs w:val="10"/>
                <w:color w:val="auto"/>
              </w:rPr>
            </w:pPr>
          </w:p>
        </w:tc>
        <w:tc>
          <w:tcPr>
            <w:tcW w:w="560" w:type="dxa"/>
            <w:vAlign w:val="bottom"/>
            <w:tcBorders>
              <w:right w:val="single" w:sz="8" w:color="2360A6"/>
            </w:tcBorders>
            <w:shd w:val="clear" w:color="auto" w:fill="D2DEEC"/>
          </w:tcPr>
          <w:p>
            <w:pPr>
              <w:spacing w:after="0"/>
              <w:rPr>
                <w:sz w:val="10"/>
                <w:szCs w:val="10"/>
                <w:color w:val="auto"/>
              </w:rPr>
            </w:pPr>
          </w:p>
        </w:tc>
        <w:tc>
          <w:tcPr>
            <w:tcW w:w="540" w:type="dxa"/>
            <w:vAlign w:val="bottom"/>
            <w:tcBorders>
              <w:right w:val="single" w:sz="8" w:color="2360A6"/>
            </w:tcBorders>
            <w:shd w:val="clear" w:color="auto" w:fill="D2DEEC"/>
          </w:tcPr>
          <w:p>
            <w:pPr>
              <w:spacing w:after="0"/>
              <w:rPr>
                <w:sz w:val="10"/>
                <w:szCs w:val="10"/>
                <w:color w:val="auto"/>
              </w:rPr>
            </w:pPr>
          </w:p>
        </w:tc>
        <w:tc>
          <w:tcPr>
            <w:tcW w:w="560" w:type="dxa"/>
            <w:vAlign w:val="bottom"/>
            <w:tcBorders>
              <w:right w:val="single" w:sz="8" w:color="2360A6"/>
            </w:tcBorders>
            <w:shd w:val="clear" w:color="auto" w:fill="D2DEEC"/>
          </w:tcPr>
          <w:p>
            <w:pPr>
              <w:spacing w:after="0"/>
              <w:rPr>
                <w:sz w:val="10"/>
                <w:szCs w:val="10"/>
                <w:color w:val="auto"/>
              </w:rPr>
            </w:pPr>
          </w:p>
        </w:tc>
        <w:tc>
          <w:tcPr>
            <w:tcW w:w="600" w:type="dxa"/>
            <w:vAlign w:val="bottom"/>
            <w:tcBorders>
              <w:right w:val="single" w:sz="8" w:color="2360A6"/>
            </w:tcBorders>
            <w:shd w:val="clear" w:color="auto" w:fill="D2DEEC"/>
          </w:tcPr>
          <w:p>
            <w:pPr>
              <w:spacing w:after="0"/>
              <w:rPr>
                <w:sz w:val="10"/>
                <w:szCs w:val="10"/>
                <w:color w:val="auto"/>
              </w:rPr>
            </w:pPr>
          </w:p>
        </w:tc>
        <w:tc>
          <w:tcPr>
            <w:tcW w:w="540" w:type="dxa"/>
            <w:vAlign w:val="bottom"/>
            <w:tcBorders>
              <w:right w:val="single" w:sz="8" w:color="2360A6"/>
            </w:tcBorders>
            <w:shd w:val="clear" w:color="auto" w:fill="D2DEEC"/>
          </w:tcPr>
          <w:p>
            <w:pPr>
              <w:spacing w:after="0"/>
              <w:rPr>
                <w:sz w:val="10"/>
                <w:szCs w:val="10"/>
                <w:color w:val="auto"/>
              </w:rPr>
            </w:pPr>
          </w:p>
        </w:tc>
        <w:tc>
          <w:tcPr>
            <w:tcW w:w="420" w:type="dxa"/>
            <w:vAlign w:val="bottom"/>
            <w:shd w:val="clear" w:color="auto" w:fill="D2DEEC"/>
          </w:tcPr>
          <w:p>
            <w:pPr>
              <w:spacing w:after="0"/>
              <w:rPr>
                <w:sz w:val="10"/>
                <w:szCs w:val="10"/>
                <w:color w:val="auto"/>
              </w:rPr>
            </w:pPr>
          </w:p>
        </w:tc>
        <w:tc>
          <w:tcPr>
            <w:tcW w:w="120" w:type="dxa"/>
            <w:vAlign w:val="bottom"/>
            <w:tcBorders>
              <w:right w:val="single" w:sz="8" w:color="2360A6"/>
            </w:tcBorders>
            <w:shd w:val="clear" w:color="auto" w:fill="D2DEEC"/>
          </w:tcPr>
          <w:p>
            <w:pPr>
              <w:spacing w:after="0"/>
              <w:rPr>
                <w:sz w:val="10"/>
                <w:szCs w:val="10"/>
                <w:color w:val="auto"/>
              </w:rPr>
            </w:pPr>
          </w:p>
        </w:tc>
        <w:tc>
          <w:tcPr>
            <w:tcW w:w="620" w:type="dxa"/>
            <w:vAlign w:val="bottom"/>
            <w:shd w:val="clear" w:color="auto" w:fill="D2DEE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20" w:type="dxa"/>
            <w:vAlign w:val="bottom"/>
            <w:tcBorders>
              <w:right w:val="single" w:sz="8" w:color="2360A6"/>
            </w:tcBorders>
            <w:shd w:val="clear" w:color="auto" w:fill="D2DEEC"/>
          </w:tcPr>
          <w:p>
            <w:pPr>
              <w:ind w:left="40"/>
              <w:spacing w:after="0" w:line="122" w:lineRule="exact"/>
              <w:rPr>
                <w:sz w:val="20"/>
                <w:szCs w:val="20"/>
                <w:color w:val="auto"/>
              </w:rPr>
            </w:pPr>
            <w:r>
              <w:rPr>
                <w:rFonts w:ascii="Arial" w:cs="Arial" w:eastAsia="Arial" w:hAnsi="Arial"/>
                <w:sz w:val="11"/>
                <w:szCs w:val="11"/>
                <w:b w:val="1"/>
                <w:bCs w:val="1"/>
                <w:color w:val="2360A6"/>
              </w:rPr>
              <w:t>OF DECEMBER 31,</w:t>
            </w:r>
          </w:p>
        </w:tc>
        <w:tc>
          <w:tcPr>
            <w:tcW w:w="460" w:type="dxa"/>
            <w:vAlign w:val="bottom"/>
            <w:tcBorders>
              <w:right w:val="single" w:sz="8" w:color="2360A6"/>
            </w:tcBorders>
            <w:shd w:val="clear" w:color="auto" w:fill="D2DEEC"/>
          </w:tcPr>
          <w:p>
            <w:pPr>
              <w:spacing w:after="0"/>
              <w:rPr>
                <w:sz w:val="10"/>
                <w:szCs w:val="10"/>
                <w:color w:val="auto"/>
              </w:rPr>
            </w:pPr>
          </w:p>
        </w:tc>
        <w:tc>
          <w:tcPr>
            <w:tcW w:w="600" w:type="dxa"/>
            <w:vAlign w:val="bottom"/>
            <w:tcBorders>
              <w:right w:val="single" w:sz="8" w:color="2360A6"/>
            </w:tcBorders>
            <w:shd w:val="clear" w:color="auto" w:fill="D2DEEC"/>
          </w:tcPr>
          <w:p>
            <w:pPr>
              <w:spacing w:after="0"/>
              <w:rPr>
                <w:sz w:val="10"/>
                <w:szCs w:val="10"/>
                <w:color w:val="auto"/>
              </w:rPr>
            </w:pPr>
          </w:p>
        </w:tc>
        <w:tc>
          <w:tcPr>
            <w:tcW w:w="80" w:type="dxa"/>
            <w:vAlign w:val="bottom"/>
            <w:shd w:val="clear" w:color="auto" w:fill="D2DEEC"/>
          </w:tcPr>
          <w:p>
            <w:pPr>
              <w:spacing w:after="0"/>
              <w:rPr>
                <w:sz w:val="10"/>
                <w:szCs w:val="10"/>
                <w:color w:val="auto"/>
              </w:rPr>
            </w:pPr>
          </w:p>
        </w:tc>
        <w:tc>
          <w:tcPr>
            <w:tcW w:w="560" w:type="dxa"/>
            <w:vAlign w:val="bottom"/>
            <w:tcBorders>
              <w:right w:val="single" w:sz="8" w:color="2360A6"/>
            </w:tcBorders>
            <w:shd w:val="clear" w:color="auto" w:fill="D2DEEC"/>
          </w:tcPr>
          <w:p>
            <w:pPr>
              <w:spacing w:after="0"/>
              <w:rPr>
                <w:sz w:val="10"/>
                <w:szCs w:val="10"/>
                <w:color w:val="auto"/>
              </w:rPr>
            </w:pPr>
          </w:p>
        </w:tc>
        <w:tc>
          <w:tcPr>
            <w:tcW w:w="560" w:type="dxa"/>
            <w:vAlign w:val="bottom"/>
            <w:tcBorders>
              <w:right w:val="single" w:sz="8" w:color="2360A6"/>
            </w:tcBorders>
            <w:shd w:val="clear" w:color="auto" w:fill="D2DEEC"/>
          </w:tcPr>
          <w:p>
            <w:pPr>
              <w:spacing w:after="0"/>
              <w:rPr>
                <w:sz w:val="10"/>
                <w:szCs w:val="10"/>
                <w:color w:val="auto"/>
              </w:rPr>
            </w:pPr>
          </w:p>
        </w:tc>
        <w:tc>
          <w:tcPr>
            <w:tcW w:w="580" w:type="dxa"/>
            <w:vAlign w:val="bottom"/>
            <w:tcBorders>
              <w:right w:val="single" w:sz="8" w:color="2360A6"/>
            </w:tcBorders>
            <w:shd w:val="clear" w:color="auto" w:fill="D2DEEC"/>
          </w:tcPr>
          <w:p>
            <w:pPr>
              <w:spacing w:after="0"/>
              <w:rPr>
                <w:sz w:val="10"/>
                <w:szCs w:val="10"/>
                <w:color w:val="auto"/>
              </w:rPr>
            </w:pPr>
          </w:p>
        </w:tc>
        <w:tc>
          <w:tcPr>
            <w:tcW w:w="620" w:type="dxa"/>
            <w:vAlign w:val="bottom"/>
            <w:tcBorders>
              <w:right w:val="single" w:sz="8" w:color="2360A6"/>
            </w:tcBorders>
            <w:shd w:val="clear" w:color="auto" w:fill="D2DEEC"/>
          </w:tcPr>
          <w:p>
            <w:pPr>
              <w:spacing w:after="0"/>
              <w:rPr>
                <w:sz w:val="10"/>
                <w:szCs w:val="10"/>
                <w:color w:val="auto"/>
              </w:rPr>
            </w:pPr>
          </w:p>
        </w:tc>
        <w:tc>
          <w:tcPr>
            <w:tcW w:w="540" w:type="dxa"/>
            <w:vAlign w:val="bottom"/>
            <w:tcBorders>
              <w:right w:val="single" w:sz="8" w:color="2360A6"/>
            </w:tcBorders>
            <w:shd w:val="clear" w:color="auto" w:fill="D2DEEC"/>
          </w:tcPr>
          <w:p>
            <w:pPr>
              <w:spacing w:after="0"/>
              <w:rPr>
                <w:sz w:val="10"/>
                <w:szCs w:val="10"/>
                <w:color w:val="auto"/>
              </w:rPr>
            </w:pPr>
          </w:p>
        </w:tc>
        <w:tc>
          <w:tcPr>
            <w:tcW w:w="540" w:type="dxa"/>
            <w:vAlign w:val="bottom"/>
            <w:tcBorders>
              <w:right w:val="single" w:sz="8" w:color="2360A6"/>
            </w:tcBorders>
            <w:shd w:val="clear" w:color="auto" w:fill="D2DEEC"/>
          </w:tcPr>
          <w:p>
            <w:pPr>
              <w:spacing w:after="0"/>
              <w:rPr>
                <w:sz w:val="10"/>
                <w:szCs w:val="10"/>
                <w:color w:val="auto"/>
              </w:rPr>
            </w:pPr>
          </w:p>
        </w:tc>
        <w:tc>
          <w:tcPr>
            <w:tcW w:w="560" w:type="dxa"/>
            <w:vAlign w:val="bottom"/>
            <w:tcBorders>
              <w:right w:val="single" w:sz="8" w:color="2360A6"/>
            </w:tcBorders>
            <w:shd w:val="clear" w:color="auto" w:fill="D2DEEC"/>
          </w:tcPr>
          <w:p>
            <w:pPr>
              <w:spacing w:after="0"/>
              <w:rPr>
                <w:sz w:val="10"/>
                <w:szCs w:val="10"/>
                <w:color w:val="auto"/>
              </w:rPr>
            </w:pPr>
          </w:p>
        </w:tc>
        <w:tc>
          <w:tcPr>
            <w:tcW w:w="540" w:type="dxa"/>
            <w:vAlign w:val="bottom"/>
            <w:tcBorders>
              <w:right w:val="single" w:sz="8" w:color="2360A6"/>
            </w:tcBorders>
            <w:shd w:val="clear" w:color="auto" w:fill="D2DEEC"/>
          </w:tcPr>
          <w:p>
            <w:pPr>
              <w:spacing w:after="0"/>
              <w:rPr>
                <w:sz w:val="10"/>
                <w:szCs w:val="10"/>
                <w:color w:val="auto"/>
              </w:rPr>
            </w:pPr>
          </w:p>
        </w:tc>
        <w:tc>
          <w:tcPr>
            <w:tcW w:w="540" w:type="dxa"/>
            <w:vAlign w:val="bottom"/>
            <w:tcBorders>
              <w:right w:val="single" w:sz="8" w:color="2360A6"/>
            </w:tcBorders>
            <w:shd w:val="clear" w:color="auto" w:fill="D2DEEC"/>
          </w:tcPr>
          <w:p>
            <w:pPr>
              <w:spacing w:after="0"/>
              <w:rPr>
                <w:sz w:val="10"/>
                <w:szCs w:val="10"/>
                <w:color w:val="auto"/>
              </w:rPr>
            </w:pPr>
          </w:p>
        </w:tc>
        <w:tc>
          <w:tcPr>
            <w:tcW w:w="560" w:type="dxa"/>
            <w:vAlign w:val="bottom"/>
            <w:tcBorders>
              <w:right w:val="single" w:sz="8" w:color="2360A6"/>
            </w:tcBorders>
            <w:shd w:val="clear" w:color="auto" w:fill="D2DEEC"/>
          </w:tcPr>
          <w:p>
            <w:pPr>
              <w:spacing w:after="0"/>
              <w:rPr>
                <w:sz w:val="10"/>
                <w:szCs w:val="10"/>
                <w:color w:val="auto"/>
              </w:rPr>
            </w:pPr>
          </w:p>
        </w:tc>
        <w:tc>
          <w:tcPr>
            <w:tcW w:w="540" w:type="dxa"/>
            <w:vAlign w:val="bottom"/>
            <w:tcBorders>
              <w:right w:val="single" w:sz="8" w:color="2360A6"/>
            </w:tcBorders>
            <w:shd w:val="clear" w:color="auto" w:fill="D2DEEC"/>
          </w:tcPr>
          <w:p>
            <w:pPr>
              <w:spacing w:after="0"/>
              <w:rPr>
                <w:sz w:val="10"/>
                <w:szCs w:val="10"/>
                <w:color w:val="auto"/>
              </w:rPr>
            </w:pPr>
          </w:p>
        </w:tc>
        <w:tc>
          <w:tcPr>
            <w:tcW w:w="560" w:type="dxa"/>
            <w:vAlign w:val="bottom"/>
            <w:tcBorders>
              <w:right w:val="single" w:sz="8" w:color="2360A6"/>
            </w:tcBorders>
            <w:shd w:val="clear" w:color="auto" w:fill="D2DEEC"/>
          </w:tcPr>
          <w:p>
            <w:pPr>
              <w:spacing w:after="0"/>
              <w:rPr>
                <w:sz w:val="10"/>
                <w:szCs w:val="10"/>
                <w:color w:val="auto"/>
              </w:rPr>
            </w:pPr>
          </w:p>
        </w:tc>
        <w:tc>
          <w:tcPr>
            <w:tcW w:w="600" w:type="dxa"/>
            <w:vAlign w:val="bottom"/>
            <w:tcBorders>
              <w:right w:val="single" w:sz="8" w:color="2360A6"/>
            </w:tcBorders>
            <w:shd w:val="clear" w:color="auto" w:fill="D2DEEC"/>
          </w:tcPr>
          <w:p>
            <w:pPr>
              <w:spacing w:after="0"/>
              <w:rPr>
                <w:sz w:val="10"/>
                <w:szCs w:val="10"/>
                <w:color w:val="auto"/>
              </w:rPr>
            </w:pPr>
          </w:p>
        </w:tc>
        <w:tc>
          <w:tcPr>
            <w:tcW w:w="540" w:type="dxa"/>
            <w:vAlign w:val="bottom"/>
            <w:tcBorders>
              <w:right w:val="single" w:sz="8" w:color="2360A6"/>
            </w:tcBorders>
            <w:shd w:val="clear" w:color="auto" w:fill="D2DEEC"/>
          </w:tcPr>
          <w:p>
            <w:pPr>
              <w:spacing w:after="0"/>
              <w:rPr>
                <w:sz w:val="10"/>
                <w:szCs w:val="10"/>
                <w:color w:val="auto"/>
              </w:rPr>
            </w:pPr>
          </w:p>
        </w:tc>
        <w:tc>
          <w:tcPr>
            <w:tcW w:w="420" w:type="dxa"/>
            <w:vAlign w:val="bottom"/>
            <w:shd w:val="clear" w:color="auto" w:fill="D2DEEC"/>
          </w:tcPr>
          <w:p>
            <w:pPr>
              <w:spacing w:after="0"/>
              <w:rPr>
                <w:sz w:val="10"/>
                <w:szCs w:val="10"/>
                <w:color w:val="auto"/>
              </w:rPr>
            </w:pPr>
          </w:p>
        </w:tc>
        <w:tc>
          <w:tcPr>
            <w:tcW w:w="120" w:type="dxa"/>
            <w:vAlign w:val="bottom"/>
            <w:tcBorders>
              <w:right w:val="single" w:sz="8" w:color="2360A6"/>
            </w:tcBorders>
            <w:shd w:val="clear" w:color="auto" w:fill="D2DEEC"/>
          </w:tcPr>
          <w:p>
            <w:pPr>
              <w:spacing w:after="0"/>
              <w:rPr>
                <w:sz w:val="10"/>
                <w:szCs w:val="10"/>
                <w:color w:val="auto"/>
              </w:rPr>
            </w:pPr>
          </w:p>
        </w:tc>
        <w:tc>
          <w:tcPr>
            <w:tcW w:w="620" w:type="dxa"/>
            <w:vAlign w:val="bottom"/>
            <w:shd w:val="clear" w:color="auto" w:fill="D2DEEC"/>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20" w:type="dxa"/>
            <w:vAlign w:val="bottom"/>
            <w:tcBorders>
              <w:bottom w:val="single" w:sz="8" w:color="D2DEEC"/>
              <w:right w:val="single" w:sz="8" w:color="2360A6"/>
            </w:tcBorders>
            <w:shd w:val="clear" w:color="auto" w:fill="D2DEEC"/>
          </w:tcPr>
          <w:p>
            <w:pPr>
              <w:ind w:left="40"/>
              <w:spacing w:after="0"/>
              <w:rPr>
                <w:sz w:val="20"/>
                <w:szCs w:val="20"/>
                <w:color w:val="auto"/>
              </w:rPr>
            </w:pPr>
            <w:r>
              <w:rPr>
                <w:rFonts w:ascii="Arial" w:cs="Arial" w:eastAsia="Arial" w:hAnsi="Arial"/>
                <w:sz w:val="11"/>
                <w:szCs w:val="11"/>
                <w:b w:val="1"/>
                <w:bCs w:val="1"/>
                <w:color w:val="2360A6"/>
              </w:rPr>
              <w:t>2016</w:t>
            </w:r>
          </w:p>
        </w:tc>
        <w:tc>
          <w:tcPr>
            <w:tcW w:w="460" w:type="dxa"/>
            <w:vAlign w:val="bottom"/>
            <w:tcBorders>
              <w:bottom w:val="single" w:sz="8" w:color="D2DEEC"/>
              <w:right w:val="single" w:sz="8" w:color="2360A6"/>
            </w:tcBorders>
            <w:shd w:val="clear" w:color="auto" w:fill="D2DEEC"/>
          </w:tcPr>
          <w:p>
            <w:pPr>
              <w:jc w:val="right"/>
              <w:ind w:right="26"/>
              <w:spacing w:after="0"/>
              <w:rPr>
                <w:sz w:val="20"/>
                <w:szCs w:val="20"/>
                <w:color w:val="auto"/>
              </w:rPr>
            </w:pPr>
            <w:r>
              <w:rPr>
                <w:rFonts w:ascii="Arial" w:cs="Arial" w:eastAsia="Arial" w:hAnsi="Arial"/>
                <w:sz w:val="11"/>
                <w:szCs w:val="11"/>
                <w:b w:val="1"/>
                <w:bCs w:val="1"/>
                <w:color w:val="2360A6"/>
              </w:rPr>
              <w:t>—</w:t>
            </w:r>
          </w:p>
        </w:tc>
        <w:tc>
          <w:tcPr>
            <w:tcW w:w="600" w:type="dxa"/>
            <w:vAlign w:val="bottom"/>
            <w:tcBorders>
              <w:bottom w:val="single" w:sz="8" w:color="D2DEEC"/>
              <w:right w:val="single" w:sz="8" w:color="2360A6"/>
            </w:tcBorders>
            <w:shd w:val="clear" w:color="auto" w:fill="D2DEEC"/>
          </w:tcPr>
          <w:p>
            <w:pPr>
              <w:jc w:val="right"/>
              <w:ind w:right="46"/>
              <w:spacing w:after="0"/>
              <w:rPr>
                <w:sz w:val="20"/>
                <w:szCs w:val="20"/>
                <w:color w:val="auto"/>
              </w:rPr>
            </w:pPr>
            <w:r>
              <w:rPr>
                <w:rFonts w:ascii="Arial" w:cs="Arial" w:eastAsia="Arial" w:hAnsi="Arial"/>
                <w:sz w:val="11"/>
                <w:szCs w:val="11"/>
                <w:b w:val="1"/>
                <w:bCs w:val="1"/>
                <w:color w:val="2360A6"/>
              </w:rPr>
              <w:t>—</w:t>
            </w:r>
          </w:p>
        </w:tc>
        <w:tc>
          <w:tcPr>
            <w:tcW w:w="80" w:type="dxa"/>
            <w:vAlign w:val="bottom"/>
            <w:tcBorders>
              <w:bottom w:val="single" w:sz="8" w:color="D2DEEC"/>
            </w:tcBorders>
            <w:shd w:val="clear" w:color="auto" w:fill="D2DEEC"/>
          </w:tcPr>
          <w:p>
            <w:pPr>
              <w:spacing w:after="0"/>
              <w:rPr>
                <w:sz w:val="14"/>
                <w:szCs w:val="14"/>
                <w:color w:val="auto"/>
              </w:rPr>
            </w:pPr>
          </w:p>
        </w:tc>
        <w:tc>
          <w:tcPr>
            <w:tcW w:w="560" w:type="dxa"/>
            <w:vAlign w:val="bottom"/>
            <w:tcBorders>
              <w:bottom w:val="single" w:sz="8" w:color="D2DEEC"/>
              <w:right w:val="single" w:sz="8" w:color="2360A6"/>
            </w:tcBorders>
            <w:shd w:val="clear" w:color="auto" w:fill="D2DEEC"/>
          </w:tcPr>
          <w:p>
            <w:pPr>
              <w:jc w:val="right"/>
              <w:ind w:right="66"/>
              <w:spacing w:after="0"/>
              <w:rPr>
                <w:sz w:val="20"/>
                <w:szCs w:val="20"/>
                <w:color w:val="auto"/>
              </w:rPr>
            </w:pPr>
            <w:r>
              <w:rPr>
                <w:rFonts w:ascii="Arial" w:cs="Arial" w:eastAsia="Arial" w:hAnsi="Arial"/>
                <w:sz w:val="11"/>
                <w:szCs w:val="11"/>
                <w:b w:val="1"/>
                <w:bCs w:val="1"/>
                <w:color w:val="2360A6"/>
              </w:rPr>
              <w:t>—</w:t>
            </w:r>
          </w:p>
        </w:tc>
        <w:tc>
          <w:tcPr>
            <w:tcW w:w="560" w:type="dxa"/>
            <w:vAlign w:val="bottom"/>
            <w:tcBorders>
              <w:bottom w:val="single" w:sz="8" w:color="D2DEEC"/>
              <w:right w:val="single" w:sz="8" w:color="2360A6"/>
            </w:tcBorders>
            <w:shd w:val="clear" w:color="auto" w:fill="D2DEEC"/>
          </w:tcPr>
          <w:p>
            <w:pPr>
              <w:jc w:val="right"/>
              <w:ind w:right="46"/>
              <w:spacing w:after="0"/>
              <w:rPr>
                <w:sz w:val="20"/>
                <w:szCs w:val="20"/>
                <w:color w:val="auto"/>
              </w:rPr>
            </w:pPr>
            <w:r>
              <w:rPr>
                <w:rFonts w:ascii="Arial" w:cs="Arial" w:eastAsia="Arial" w:hAnsi="Arial"/>
                <w:sz w:val="11"/>
                <w:szCs w:val="11"/>
                <w:b w:val="1"/>
                <w:bCs w:val="1"/>
                <w:color w:val="2360A6"/>
              </w:rPr>
              <w:t>—</w:t>
            </w:r>
          </w:p>
        </w:tc>
        <w:tc>
          <w:tcPr>
            <w:tcW w:w="580" w:type="dxa"/>
            <w:vAlign w:val="bottom"/>
            <w:tcBorders>
              <w:bottom w:val="single" w:sz="8" w:color="D2DEEC"/>
              <w:right w:val="single" w:sz="8" w:color="2360A6"/>
            </w:tcBorders>
            <w:shd w:val="clear" w:color="auto" w:fill="D2DEEC"/>
          </w:tcPr>
          <w:p>
            <w:pPr>
              <w:jc w:val="right"/>
              <w:ind w:right="66"/>
              <w:spacing w:after="0"/>
              <w:rPr>
                <w:sz w:val="20"/>
                <w:szCs w:val="20"/>
                <w:color w:val="auto"/>
              </w:rPr>
            </w:pPr>
            <w:r>
              <w:rPr>
                <w:rFonts w:ascii="Arial" w:cs="Arial" w:eastAsia="Arial" w:hAnsi="Arial"/>
                <w:sz w:val="11"/>
                <w:szCs w:val="11"/>
                <w:b w:val="1"/>
                <w:bCs w:val="1"/>
                <w:color w:val="2360A6"/>
              </w:rPr>
              <w:t>—</w:t>
            </w:r>
          </w:p>
        </w:tc>
        <w:tc>
          <w:tcPr>
            <w:tcW w:w="620" w:type="dxa"/>
            <w:vAlign w:val="bottom"/>
            <w:tcBorders>
              <w:bottom w:val="single" w:sz="8" w:color="D2DEEC"/>
              <w:right w:val="single" w:sz="8" w:color="2360A6"/>
            </w:tcBorders>
            <w:shd w:val="clear" w:color="auto" w:fill="D2DEEC"/>
          </w:tcPr>
          <w:p>
            <w:pPr>
              <w:jc w:val="right"/>
              <w:ind w:right="66"/>
              <w:spacing w:after="0"/>
              <w:rPr>
                <w:sz w:val="20"/>
                <w:szCs w:val="20"/>
                <w:color w:val="auto"/>
              </w:rPr>
            </w:pPr>
            <w:r>
              <w:rPr>
                <w:rFonts w:ascii="Arial" w:cs="Arial" w:eastAsia="Arial" w:hAnsi="Arial"/>
                <w:sz w:val="11"/>
                <w:szCs w:val="11"/>
                <w:b w:val="1"/>
                <w:bCs w:val="1"/>
                <w:color w:val="2360A6"/>
              </w:rPr>
              <w:t>—</w:t>
            </w:r>
          </w:p>
        </w:tc>
        <w:tc>
          <w:tcPr>
            <w:tcW w:w="540" w:type="dxa"/>
            <w:vAlign w:val="bottom"/>
            <w:tcBorders>
              <w:bottom w:val="single" w:sz="8" w:color="D2DEEC"/>
              <w:right w:val="single" w:sz="8" w:color="2360A6"/>
            </w:tcBorders>
            <w:shd w:val="clear" w:color="auto" w:fill="D2DEEC"/>
          </w:tcPr>
          <w:p>
            <w:pPr>
              <w:jc w:val="right"/>
              <w:ind w:right="66"/>
              <w:spacing w:after="0"/>
              <w:rPr>
                <w:sz w:val="20"/>
                <w:szCs w:val="20"/>
                <w:color w:val="auto"/>
              </w:rPr>
            </w:pPr>
            <w:r>
              <w:rPr>
                <w:rFonts w:ascii="Arial" w:cs="Arial" w:eastAsia="Arial" w:hAnsi="Arial"/>
                <w:sz w:val="11"/>
                <w:szCs w:val="11"/>
                <w:b w:val="1"/>
                <w:bCs w:val="1"/>
                <w:color w:val="2360A6"/>
              </w:rPr>
              <w:t>—</w:t>
            </w:r>
          </w:p>
        </w:tc>
        <w:tc>
          <w:tcPr>
            <w:tcW w:w="540" w:type="dxa"/>
            <w:vAlign w:val="bottom"/>
            <w:tcBorders>
              <w:bottom w:val="single" w:sz="8" w:color="D2DEEC"/>
              <w:right w:val="single" w:sz="8" w:color="2360A6"/>
            </w:tcBorders>
            <w:shd w:val="clear" w:color="auto" w:fill="D2DEEC"/>
          </w:tcPr>
          <w:p>
            <w:pPr>
              <w:jc w:val="right"/>
              <w:ind w:right="66"/>
              <w:spacing w:after="0"/>
              <w:rPr>
                <w:sz w:val="20"/>
                <w:szCs w:val="20"/>
                <w:color w:val="auto"/>
              </w:rPr>
            </w:pPr>
            <w:r>
              <w:rPr>
                <w:rFonts w:ascii="Arial" w:cs="Arial" w:eastAsia="Arial" w:hAnsi="Arial"/>
                <w:sz w:val="11"/>
                <w:szCs w:val="11"/>
                <w:b w:val="1"/>
                <w:bCs w:val="1"/>
                <w:color w:val="2360A6"/>
              </w:rPr>
              <w:t>67,600</w:t>
            </w:r>
          </w:p>
        </w:tc>
        <w:tc>
          <w:tcPr>
            <w:tcW w:w="560" w:type="dxa"/>
            <w:vAlign w:val="bottom"/>
            <w:tcBorders>
              <w:bottom w:val="single" w:sz="8" w:color="D2DEEC"/>
              <w:right w:val="single" w:sz="8" w:color="2360A6"/>
            </w:tcBorders>
            <w:shd w:val="clear" w:color="auto" w:fill="D2DEEC"/>
          </w:tcPr>
          <w:p>
            <w:pPr>
              <w:jc w:val="right"/>
              <w:ind w:right="66"/>
              <w:spacing w:after="0"/>
              <w:rPr>
                <w:sz w:val="20"/>
                <w:szCs w:val="20"/>
                <w:color w:val="auto"/>
              </w:rPr>
            </w:pPr>
            <w:r>
              <w:rPr>
                <w:rFonts w:ascii="Arial" w:cs="Arial" w:eastAsia="Arial" w:hAnsi="Arial"/>
                <w:sz w:val="11"/>
                <w:szCs w:val="11"/>
                <w:b w:val="1"/>
                <w:bCs w:val="1"/>
                <w:color w:val="2360A6"/>
              </w:rPr>
              <w:t>314,182</w:t>
            </w:r>
          </w:p>
        </w:tc>
        <w:tc>
          <w:tcPr>
            <w:tcW w:w="540" w:type="dxa"/>
            <w:vAlign w:val="bottom"/>
            <w:tcBorders>
              <w:bottom w:val="single" w:sz="8" w:color="D2DEEC"/>
              <w:right w:val="single" w:sz="8" w:color="2360A6"/>
            </w:tcBorders>
            <w:shd w:val="clear" w:color="auto" w:fill="D2DEEC"/>
          </w:tcPr>
          <w:p>
            <w:pPr>
              <w:jc w:val="right"/>
              <w:ind w:right="66"/>
              <w:spacing w:after="0"/>
              <w:rPr>
                <w:sz w:val="20"/>
                <w:szCs w:val="20"/>
                <w:color w:val="auto"/>
              </w:rPr>
            </w:pPr>
            <w:r>
              <w:rPr>
                <w:rFonts w:ascii="Arial" w:cs="Arial" w:eastAsia="Arial" w:hAnsi="Arial"/>
                <w:sz w:val="11"/>
                <w:szCs w:val="11"/>
                <w:b w:val="1"/>
                <w:bCs w:val="1"/>
                <w:color w:val="2360A6"/>
              </w:rPr>
              <w:t>39,296</w:t>
            </w:r>
          </w:p>
        </w:tc>
        <w:tc>
          <w:tcPr>
            <w:tcW w:w="540" w:type="dxa"/>
            <w:vAlign w:val="bottom"/>
            <w:tcBorders>
              <w:bottom w:val="single" w:sz="8" w:color="D2DEEC"/>
              <w:right w:val="single" w:sz="8" w:color="2360A6"/>
            </w:tcBorders>
            <w:shd w:val="clear" w:color="auto" w:fill="D2DEEC"/>
          </w:tcPr>
          <w:p>
            <w:pPr>
              <w:jc w:val="right"/>
              <w:ind w:right="66"/>
              <w:spacing w:after="0"/>
              <w:rPr>
                <w:sz w:val="20"/>
                <w:szCs w:val="20"/>
                <w:color w:val="auto"/>
              </w:rPr>
            </w:pPr>
            <w:r>
              <w:rPr>
                <w:rFonts w:ascii="Arial" w:cs="Arial" w:eastAsia="Arial" w:hAnsi="Arial"/>
                <w:sz w:val="11"/>
                <w:szCs w:val="11"/>
                <w:b w:val="1"/>
                <w:bCs w:val="1"/>
                <w:color w:val="2360A6"/>
              </w:rPr>
              <w:t>43,809</w:t>
            </w:r>
          </w:p>
        </w:tc>
        <w:tc>
          <w:tcPr>
            <w:tcW w:w="560" w:type="dxa"/>
            <w:vAlign w:val="bottom"/>
            <w:tcBorders>
              <w:bottom w:val="single" w:sz="8" w:color="D2DEEC"/>
              <w:right w:val="single" w:sz="8" w:color="2360A6"/>
            </w:tcBorders>
            <w:shd w:val="clear" w:color="auto" w:fill="D2DEEC"/>
          </w:tcPr>
          <w:p>
            <w:pPr>
              <w:jc w:val="right"/>
              <w:ind w:right="86"/>
              <w:spacing w:after="0"/>
              <w:rPr>
                <w:sz w:val="20"/>
                <w:szCs w:val="20"/>
                <w:color w:val="auto"/>
              </w:rPr>
            </w:pPr>
            <w:r>
              <w:rPr>
                <w:rFonts w:ascii="Arial" w:cs="Arial" w:eastAsia="Arial" w:hAnsi="Arial"/>
                <w:sz w:val="11"/>
                <w:szCs w:val="11"/>
                <w:b w:val="1"/>
                <w:bCs w:val="1"/>
                <w:color w:val="2360A6"/>
              </w:rPr>
              <w:t>225,279</w:t>
            </w:r>
          </w:p>
        </w:tc>
        <w:tc>
          <w:tcPr>
            <w:tcW w:w="540" w:type="dxa"/>
            <w:vAlign w:val="bottom"/>
            <w:tcBorders>
              <w:bottom w:val="single" w:sz="8" w:color="D2DEEC"/>
              <w:right w:val="single" w:sz="8" w:color="2360A6"/>
            </w:tcBorders>
            <w:shd w:val="clear" w:color="auto" w:fill="D2DEEC"/>
          </w:tcPr>
          <w:p>
            <w:pPr>
              <w:jc w:val="right"/>
              <w:ind w:right="86"/>
              <w:spacing w:after="0"/>
              <w:rPr>
                <w:sz w:val="20"/>
                <w:szCs w:val="20"/>
                <w:color w:val="auto"/>
              </w:rPr>
            </w:pPr>
            <w:r>
              <w:rPr>
                <w:rFonts w:ascii="Arial" w:cs="Arial" w:eastAsia="Arial" w:hAnsi="Arial"/>
                <w:sz w:val="11"/>
                <w:szCs w:val="11"/>
                <w:b w:val="1"/>
                <w:bCs w:val="1"/>
                <w:color w:val="2360A6"/>
              </w:rPr>
              <w:t>32,958</w:t>
            </w:r>
          </w:p>
        </w:tc>
        <w:tc>
          <w:tcPr>
            <w:tcW w:w="560" w:type="dxa"/>
            <w:vAlign w:val="bottom"/>
            <w:tcBorders>
              <w:bottom w:val="single" w:sz="8" w:color="D2DEEC"/>
              <w:right w:val="single" w:sz="8" w:color="2360A6"/>
            </w:tcBorders>
            <w:shd w:val="clear" w:color="auto" w:fill="D2DEEC"/>
          </w:tcPr>
          <w:p>
            <w:pPr>
              <w:jc w:val="right"/>
              <w:ind w:right="86"/>
              <w:spacing w:after="0"/>
              <w:rPr>
                <w:sz w:val="20"/>
                <w:szCs w:val="20"/>
                <w:color w:val="auto"/>
              </w:rPr>
            </w:pPr>
            <w:r>
              <w:rPr>
                <w:rFonts w:ascii="Arial" w:cs="Arial" w:eastAsia="Arial" w:hAnsi="Arial"/>
                <w:sz w:val="11"/>
                <w:szCs w:val="11"/>
                <w:b w:val="1"/>
                <w:bCs w:val="1"/>
                <w:color w:val="2360A6"/>
              </w:rPr>
              <w:t>287,500</w:t>
            </w:r>
          </w:p>
        </w:tc>
        <w:tc>
          <w:tcPr>
            <w:tcW w:w="600" w:type="dxa"/>
            <w:vAlign w:val="bottom"/>
            <w:tcBorders>
              <w:bottom w:val="single" w:sz="8" w:color="D2DEEC"/>
              <w:right w:val="single" w:sz="8" w:color="2360A6"/>
            </w:tcBorders>
            <w:shd w:val="clear" w:color="auto" w:fill="D2DEEC"/>
          </w:tcPr>
          <w:p>
            <w:pPr>
              <w:jc w:val="right"/>
              <w:ind w:right="66"/>
              <w:spacing w:after="0"/>
              <w:rPr>
                <w:sz w:val="20"/>
                <w:szCs w:val="20"/>
                <w:color w:val="auto"/>
              </w:rPr>
            </w:pPr>
            <w:r>
              <w:rPr>
                <w:rFonts w:ascii="Arial" w:cs="Arial" w:eastAsia="Arial" w:hAnsi="Arial"/>
                <w:sz w:val="11"/>
                <w:szCs w:val="11"/>
                <w:b w:val="1"/>
                <w:bCs w:val="1"/>
                <w:color w:val="2360A6"/>
              </w:rPr>
              <w:t>16,520</w:t>
            </w:r>
          </w:p>
        </w:tc>
        <w:tc>
          <w:tcPr>
            <w:tcW w:w="540" w:type="dxa"/>
            <w:vAlign w:val="bottom"/>
            <w:tcBorders>
              <w:bottom w:val="single" w:sz="8" w:color="D2DEEC"/>
              <w:right w:val="single" w:sz="8" w:color="2360A6"/>
            </w:tcBorders>
            <w:shd w:val="clear" w:color="auto" w:fill="D2DEEC"/>
          </w:tcPr>
          <w:p>
            <w:pPr>
              <w:jc w:val="right"/>
              <w:ind w:right="66"/>
              <w:spacing w:after="0"/>
              <w:rPr>
                <w:sz w:val="20"/>
                <w:szCs w:val="20"/>
                <w:color w:val="auto"/>
              </w:rPr>
            </w:pPr>
            <w:r>
              <w:rPr>
                <w:rFonts w:ascii="Arial" w:cs="Arial" w:eastAsia="Arial" w:hAnsi="Arial"/>
                <w:sz w:val="11"/>
                <w:szCs w:val="11"/>
                <w:b w:val="1"/>
                <w:bCs w:val="1"/>
                <w:color w:val="2360A6"/>
              </w:rPr>
              <w:t>566,561</w:t>
            </w:r>
          </w:p>
        </w:tc>
        <w:tc>
          <w:tcPr>
            <w:tcW w:w="540" w:type="dxa"/>
            <w:vAlign w:val="bottom"/>
            <w:tcBorders>
              <w:bottom w:val="single" w:sz="8" w:color="D2DEEC"/>
              <w:right w:val="single" w:sz="8" w:color="2360A6"/>
            </w:tcBorders>
            <w:gridSpan w:val="2"/>
            <w:shd w:val="clear" w:color="auto" w:fill="D2DEEC"/>
          </w:tcPr>
          <w:p>
            <w:pPr>
              <w:jc w:val="right"/>
              <w:ind w:right="120"/>
              <w:spacing w:after="0"/>
              <w:rPr>
                <w:sz w:val="20"/>
                <w:szCs w:val="20"/>
                <w:color w:val="auto"/>
              </w:rPr>
            </w:pPr>
            <w:r>
              <w:rPr>
                <w:rFonts w:ascii="Arial" w:cs="Arial" w:eastAsia="Arial" w:hAnsi="Arial"/>
                <w:sz w:val="11"/>
                <w:szCs w:val="11"/>
                <w:b w:val="1"/>
                <w:bCs w:val="1"/>
                <w:color w:val="2360A6"/>
              </w:rPr>
              <w:t>595,126</w:t>
            </w:r>
          </w:p>
        </w:tc>
        <w:tc>
          <w:tcPr>
            <w:tcW w:w="620" w:type="dxa"/>
            <w:vAlign w:val="bottom"/>
            <w:tcBorders>
              <w:bottom w:val="single" w:sz="8" w:color="D2DEEC"/>
            </w:tcBorders>
            <w:shd w:val="clear" w:color="auto" w:fill="D2DEEC"/>
          </w:tcPr>
          <w:p>
            <w:pPr>
              <w:jc w:val="right"/>
              <w:ind w:right="66"/>
              <w:spacing w:after="0"/>
              <w:rPr>
                <w:sz w:val="20"/>
                <w:szCs w:val="20"/>
                <w:color w:val="auto"/>
              </w:rPr>
            </w:pPr>
            <w:r>
              <w:rPr>
                <w:rFonts w:ascii="Arial" w:cs="Arial" w:eastAsia="Arial" w:hAnsi="Arial"/>
                <w:sz w:val="11"/>
                <w:szCs w:val="11"/>
                <w:b w:val="1"/>
                <w:bCs w:val="1"/>
                <w:color w:val="2360A6"/>
                <w:w w:val="97"/>
              </w:rPr>
              <w:t>2,188,831</w:t>
            </w:r>
          </w:p>
        </w:tc>
        <w:tc>
          <w:tcPr>
            <w:tcW w:w="0" w:type="dxa"/>
            <w:vAlign w:val="bottom"/>
          </w:tcPr>
          <w:p>
            <w:pPr>
              <w:spacing w:after="0"/>
              <w:rPr>
                <w:sz w:val="1"/>
                <w:szCs w:val="1"/>
                <w:color w:val="auto"/>
              </w:rPr>
            </w:pPr>
          </w:p>
        </w:tc>
      </w:tr>
      <w:tr>
        <w:trPr>
          <w:trHeight w:val="264"/>
        </w:trPr>
        <w:tc>
          <w:tcPr>
            <w:tcW w:w="122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Strike price (in Euro)</w:t>
            </w:r>
          </w:p>
        </w:tc>
        <w:tc>
          <w:tcPr>
            <w:tcW w:w="46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49.17</w:t>
            </w:r>
          </w:p>
        </w:tc>
        <w:tc>
          <w:tcPr>
            <w:tcW w:w="6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55.67</w:t>
            </w:r>
          </w:p>
        </w:tc>
        <w:tc>
          <w:tcPr>
            <w:tcW w:w="80" w:type="dxa"/>
            <w:vAlign w:val="bottom"/>
            <w:tcBorders>
              <w:top w:val="single" w:sz="8" w:color="2360A6"/>
            </w:tcBorders>
          </w:tcPr>
          <w:p>
            <w:pPr>
              <w:spacing w:after="0"/>
              <w:rPr>
                <w:sz w:val="22"/>
                <w:szCs w:val="22"/>
                <w:color w:val="auto"/>
              </w:rPr>
            </w:pPr>
          </w:p>
        </w:tc>
        <w:tc>
          <w:tcPr>
            <w:tcW w:w="56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59.96</w:t>
            </w:r>
          </w:p>
        </w:tc>
        <w:tc>
          <w:tcPr>
            <w:tcW w:w="56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58.15</w:t>
            </w:r>
          </w:p>
        </w:tc>
        <w:tc>
          <w:tcPr>
            <w:tcW w:w="58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34.70</w:t>
            </w:r>
          </w:p>
        </w:tc>
        <w:tc>
          <w:tcPr>
            <w:tcW w:w="62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51.45</w:t>
            </w: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63.23</w:t>
            </w: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72.19</w:t>
            </w:r>
          </w:p>
        </w:tc>
        <w:tc>
          <w:tcPr>
            <w:tcW w:w="56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72.69</w:t>
            </w: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66.94</w:t>
            </w: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78.39</w:t>
            </w:r>
          </w:p>
        </w:tc>
        <w:tc>
          <w:tcPr>
            <w:tcW w:w="560" w:type="dxa"/>
            <w:vAlign w:val="bottom"/>
            <w:tcBorders>
              <w:top w:val="single" w:sz="8" w:color="2360A6"/>
              <w:right w:val="single" w:sz="8" w:color="2360A6"/>
            </w:tcBorders>
          </w:tcPr>
          <w:p>
            <w:pPr>
              <w:jc w:val="right"/>
              <w:ind w:right="86"/>
              <w:spacing w:after="0"/>
              <w:rPr>
                <w:sz w:val="20"/>
                <w:szCs w:val="20"/>
                <w:color w:val="auto"/>
              </w:rPr>
            </w:pPr>
            <w:r>
              <w:rPr>
                <w:rFonts w:ascii="Arial" w:cs="Arial" w:eastAsia="Arial" w:hAnsi="Arial"/>
                <w:sz w:val="11"/>
                <w:szCs w:val="11"/>
                <w:color w:val="231F20"/>
              </w:rPr>
              <w:t>74.54</w:t>
            </w:r>
          </w:p>
        </w:tc>
        <w:tc>
          <w:tcPr>
            <w:tcW w:w="540" w:type="dxa"/>
            <w:vAlign w:val="bottom"/>
            <w:tcBorders>
              <w:top w:val="single" w:sz="8" w:color="2360A6"/>
              <w:right w:val="single" w:sz="8" w:color="2360A6"/>
            </w:tcBorders>
          </w:tcPr>
          <w:p>
            <w:pPr>
              <w:jc w:val="right"/>
              <w:ind w:right="86"/>
              <w:spacing w:after="0"/>
              <w:rPr>
                <w:sz w:val="20"/>
                <w:szCs w:val="20"/>
                <w:color w:val="auto"/>
              </w:rPr>
            </w:pPr>
            <w:r>
              <w:rPr>
                <w:rFonts w:ascii="Arial" w:cs="Arial" w:eastAsia="Arial" w:hAnsi="Arial"/>
                <w:sz w:val="11"/>
                <w:szCs w:val="11"/>
                <w:color w:val="231F20"/>
              </w:rPr>
              <w:t>87.13</w:t>
            </w:r>
          </w:p>
        </w:tc>
        <w:tc>
          <w:tcPr>
            <w:tcW w:w="560" w:type="dxa"/>
            <w:vAlign w:val="bottom"/>
            <w:tcBorders>
              <w:top w:val="single" w:sz="8" w:color="2360A6"/>
              <w:right w:val="single" w:sz="8" w:color="2360A6"/>
            </w:tcBorders>
          </w:tcPr>
          <w:p>
            <w:pPr>
              <w:jc w:val="right"/>
              <w:ind w:right="86"/>
              <w:spacing w:after="0"/>
              <w:rPr>
                <w:sz w:val="20"/>
                <w:szCs w:val="20"/>
                <w:color w:val="auto"/>
              </w:rPr>
            </w:pPr>
            <w:r>
              <w:rPr>
                <w:rFonts w:ascii="Arial" w:cs="Arial" w:eastAsia="Arial" w:hAnsi="Arial"/>
                <w:sz w:val="11"/>
                <w:szCs w:val="11"/>
                <w:color w:val="231F20"/>
              </w:rPr>
              <w:t>85.73</w:t>
            </w:r>
          </w:p>
        </w:tc>
        <w:tc>
          <w:tcPr>
            <w:tcW w:w="60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68.47</w:t>
            </w: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47.83</w:t>
            </w:r>
          </w:p>
        </w:tc>
        <w:tc>
          <w:tcPr>
            <w:tcW w:w="42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1"/>
                <w:szCs w:val="11"/>
                <w:color w:val="231F20"/>
              </w:rPr>
              <w:t>48.33</w:t>
            </w:r>
          </w:p>
        </w:tc>
        <w:tc>
          <w:tcPr>
            <w:tcW w:w="120" w:type="dxa"/>
            <w:vAlign w:val="bottom"/>
            <w:tcBorders>
              <w:top w:val="single" w:sz="8" w:color="2360A6"/>
              <w:bottom w:val="single" w:sz="8" w:color="EDEDEE"/>
              <w:right w:val="single" w:sz="8" w:color="2360A6"/>
            </w:tcBorders>
            <w:shd w:val="clear" w:color="auto" w:fill="EDEDEE"/>
          </w:tcPr>
          <w:p>
            <w:pPr>
              <w:spacing w:after="0"/>
              <w:rPr>
                <w:sz w:val="22"/>
                <w:szCs w:val="22"/>
                <w:color w:val="auto"/>
              </w:rPr>
            </w:pPr>
          </w:p>
        </w:tc>
        <w:tc>
          <w:tcPr>
            <w:tcW w:w="620" w:type="dxa"/>
            <w:vAlign w:val="bottom"/>
            <w:tcBorders>
              <w:top w:val="single" w:sz="8" w:color="2360A6"/>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220" w:type="dxa"/>
            <w:vAlign w:val="bottom"/>
            <w:tcBorders>
              <w:top w:val="single" w:sz="8" w:color="2360A6"/>
              <w:right w:val="single" w:sz="8" w:color="2360A6"/>
            </w:tcBorders>
          </w:tcPr>
          <w:p>
            <w:pPr>
              <w:spacing w:after="0"/>
              <w:rPr>
                <w:sz w:val="14"/>
                <w:szCs w:val="14"/>
                <w:color w:val="auto"/>
              </w:rPr>
            </w:pPr>
          </w:p>
        </w:tc>
        <w:tc>
          <w:tcPr>
            <w:tcW w:w="46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March</w:t>
            </w:r>
          </w:p>
        </w:tc>
        <w:tc>
          <w:tcPr>
            <w:tcW w:w="600" w:type="dxa"/>
            <w:vAlign w:val="bottom"/>
            <w:tcBorders>
              <w:top w:val="single" w:sz="8" w:color="2360A6"/>
              <w:right w:val="single" w:sz="8" w:color="2360A6"/>
            </w:tcBorders>
          </w:tcPr>
          <w:p>
            <w:pPr>
              <w:spacing w:after="0"/>
              <w:rPr>
                <w:sz w:val="14"/>
                <w:szCs w:val="14"/>
                <w:color w:val="auto"/>
              </w:rPr>
            </w:pPr>
          </w:p>
        </w:tc>
        <w:tc>
          <w:tcPr>
            <w:tcW w:w="80" w:type="dxa"/>
            <w:vAlign w:val="bottom"/>
            <w:tcBorders>
              <w:top w:val="single" w:sz="8" w:color="2360A6"/>
            </w:tcBorders>
          </w:tcPr>
          <w:p>
            <w:pPr>
              <w:spacing w:after="0"/>
              <w:rPr>
                <w:sz w:val="14"/>
                <w:szCs w:val="14"/>
                <w:color w:val="auto"/>
              </w:rPr>
            </w:pPr>
          </w:p>
        </w:tc>
        <w:tc>
          <w:tcPr>
            <w:tcW w:w="560" w:type="dxa"/>
            <w:vAlign w:val="bottom"/>
            <w:tcBorders>
              <w:top w:val="single" w:sz="8" w:color="2360A6"/>
              <w:right w:val="single" w:sz="8" w:color="2360A6"/>
            </w:tcBorders>
          </w:tcPr>
          <w:p>
            <w:pPr>
              <w:spacing w:after="0"/>
              <w:rPr>
                <w:sz w:val="14"/>
                <w:szCs w:val="14"/>
                <w:color w:val="auto"/>
              </w:rPr>
            </w:pPr>
          </w:p>
        </w:tc>
        <w:tc>
          <w:tcPr>
            <w:tcW w:w="56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July</w:t>
            </w:r>
          </w:p>
        </w:tc>
        <w:tc>
          <w:tcPr>
            <w:tcW w:w="58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June</w:t>
            </w:r>
          </w:p>
        </w:tc>
        <w:tc>
          <w:tcPr>
            <w:tcW w:w="620" w:type="dxa"/>
            <w:vAlign w:val="bottom"/>
            <w:tcBorders>
              <w:top w:val="single" w:sz="8" w:color="2360A6"/>
              <w:right w:val="single" w:sz="8" w:color="2360A6"/>
            </w:tcBorders>
          </w:tcPr>
          <w:p>
            <w:pPr>
              <w:spacing w:after="0"/>
              <w:rPr>
                <w:sz w:val="14"/>
                <w:szCs w:val="14"/>
                <w:color w:val="auto"/>
              </w:rPr>
            </w:pP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Dec.</w:t>
            </w: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March</w:t>
            </w:r>
          </w:p>
        </w:tc>
        <w:tc>
          <w:tcPr>
            <w:tcW w:w="56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June</w:t>
            </w: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Dec.</w:t>
            </w: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March</w:t>
            </w:r>
          </w:p>
        </w:tc>
        <w:tc>
          <w:tcPr>
            <w:tcW w:w="560" w:type="dxa"/>
            <w:vAlign w:val="bottom"/>
            <w:tcBorders>
              <w:top w:val="single" w:sz="8" w:color="2360A6"/>
              <w:right w:val="single" w:sz="8" w:color="2360A6"/>
            </w:tcBorders>
          </w:tcPr>
          <w:p>
            <w:pPr>
              <w:jc w:val="right"/>
              <w:ind w:right="86"/>
              <w:spacing w:after="0"/>
              <w:rPr>
                <w:sz w:val="20"/>
                <w:szCs w:val="20"/>
                <w:color w:val="auto"/>
              </w:rPr>
            </w:pPr>
            <w:r>
              <w:rPr>
                <w:rFonts w:ascii="Arial" w:cs="Arial" w:eastAsia="Arial" w:hAnsi="Arial"/>
                <w:sz w:val="11"/>
                <w:szCs w:val="11"/>
                <w:color w:val="231F20"/>
              </w:rPr>
              <w:t>June</w:t>
            </w:r>
          </w:p>
        </w:tc>
        <w:tc>
          <w:tcPr>
            <w:tcW w:w="540" w:type="dxa"/>
            <w:vAlign w:val="bottom"/>
            <w:tcBorders>
              <w:top w:val="single" w:sz="8" w:color="2360A6"/>
              <w:right w:val="single" w:sz="8" w:color="2360A6"/>
            </w:tcBorders>
          </w:tcPr>
          <w:p>
            <w:pPr>
              <w:jc w:val="right"/>
              <w:ind w:right="86"/>
              <w:spacing w:after="0"/>
              <w:rPr>
                <w:sz w:val="20"/>
                <w:szCs w:val="20"/>
                <w:color w:val="auto"/>
              </w:rPr>
            </w:pPr>
            <w:r>
              <w:rPr>
                <w:rFonts w:ascii="Arial" w:cs="Arial" w:eastAsia="Arial" w:hAnsi="Arial"/>
                <w:sz w:val="11"/>
                <w:szCs w:val="11"/>
                <w:color w:val="231F20"/>
              </w:rPr>
              <w:t>Dec.</w:t>
            </w:r>
          </w:p>
        </w:tc>
        <w:tc>
          <w:tcPr>
            <w:tcW w:w="560" w:type="dxa"/>
            <w:vAlign w:val="bottom"/>
            <w:tcBorders>
              <w:top w:val="single" w:sz="8" w:color="2360A6"/>
              <w:right w:val="single" w:sz="8" w:color="2360A6"/>
            </w:tcBorders>
          </w:tcPr>
          <w:p>
            <w:pPr>
              <w:jc w:val="right"/>
              <w:ind w:right="86"/>
              <w:spacing w:after="0"/>
              <w:rPr>
                <w:sz w:val="20"/>
                <w:szCs w:val="20"/>
                <w:color w:val="auto"/>
              </w:rPr>
            </w:pPr>
            <w:r>
              <w:rPr>
                <w:rFonts w:ascii="Arial" w:cs="Arial" w:eastAsia="Arial" w:hAnsi="Arial"/>
                <w:sz w:val="11"/>
                <w:szCs w:val="11"/>
                <w:color w:val="231F20"/>
              </w:rPr>
              <w:t>June</w:t>
            </w:r>
          </w:p>
        </w:tc>
        <w:tc>
          <w:tcPr>
            <w:tcW w:w="600" w:type="dxa"/>
            <w:vAlign w:val="bottom"/>
            <w:tcBorders>
              <w:top w:val="single" w:sz="8" w:color="2360A6"/>
              <w:right w:val="single" w:sz="8" w:color="2360A6"/>
            </w:tcBorders>
          </w:tcPr>
          <w:p>
            <w:pPr>
              <w:spacing w:after="0"/>
              <w:rPr>
                <w:sz w:val="14"/>
                <w:szCs w:val="14"/>
                <w:color w:val="auto"/>
              </w:rPr>
            </w:pPr>
          </w:p>
        </w:tc>
        <w:tc>
          <w:tcPr>
            <w:tcW w:w="540" w:type="dxa"/>
            <w:vAlign w:val="bottom"/>
            <w:tcBorders>
              <w:top w:val="single" w:sz="8" w:color="2360A6"/>
              <w:right w:val="single" w:sz="8" w:color="2360A6"/>
            </w:tcBorders>
          </w:tcPr>
          <w:p>
            <w:pPr>
              <w:jc w:val="right"/>
              <w:ind w:right="66"/>
              <w:spacing w:after="0"/>
              <w:rPr>
                <w:sz w:val="20"/>
                <w:szCs w:val="20"/>
                <w:color w:val="auto"/>
              </w:rPr>
            </w:pPr>
            <w:r>
              <w:rPr>
                <w:rFonts w:ascii="Arial" w:cs="Arial" w:eastAsia="Arial" w:hAnsi="Arial"/>
                <w:sz w:val="11"/>
                <w:szCs w:val="11"/>
                <w:color w:val="231F20"/>
              </w:rPr>
              <w:t>Sept.</w:t>
            </w:r>
          </w:p>
        </w:tc>
        <w:tc>
          <w:tcPr>
            <w:tcW w:w="420" w:type="dxa"/>
            <w:vAlign w:val="bottom"/>
            <w:tcBorders>
              <w:top w:val="single" w:sz="8" w:color="2360A6"/>
            </w:tcBorders>
            <w:shd w:val="clear" w:color="auto" w:fill="EDEDEE"/>
          </w:tcPr>
          <w:p>
            <w:pPr>
              <w:spacing w:after="0"/>
              <w:rPr>
                <w:sz w:val="14"/>
                <w:szCs w:val="14"/>
                <w:color w:val="auto"/>
              </w:rPr>
            </w:pPr>
          </w:p>
        </w:tc>
        <w:tc>
          <w:tcPr>
            <w:tcW w:w="120" w:type="dxa"/>
            <w:vAlign w:val="bottom"/>
            <w:tcBorders>
              <w:top w:val="single" w:sz="8" w:color="2360A6"/>
              <w:right w:val="single" w:sz="8" w:color="2360A6"/>
            </w:tcBorders>
            <w:shd w:val="clear" w:color="auto" w:fill="EDEDEE"/>
          </w:tcPr>
          <w:p>
            <w:pPr>
              <w:spacing w:after="0"/>
              <w:rPr>
                <w:sz w:val="14"/>
                <w:szCs w:val="14"/>
                <w:color w:val="auto"/>
              </w:rPr>
            </w:pPr>
          </w:p>
        </w:tc>
        <w:tc>
          <w:tcPr>
            <w:tcW w:w="620" w:type="dxa"/>
            <w:vAlign w:val="bottom"/>
            <w:tcBorders>
              <w:top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220" w:type="dxa"/>
            <w:vAlign w:val="bottom"/>
            <w:tcBorders>
              <w:right w:val="single" w:sz="8" w:color="2360A6"/>
            </w:tcBorders>
          </w:tcPr>
          <w:p>
            <w:pPr>
              <w:spacing w:after="0"/>
              <w:rPr>
                <w:sz w:val="12"/>
                <w:szCs w:val="12"/>
                <w:color w:val="auto"/>
              </w:rPr>
            </w:pP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12,</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Dec. 12,</w:t>
            </w:r>
          </w:p>
        </w:tc>
        <w:tc>
          <w:tcPr>
            <w:tcW w:w="80" w:type="dxa"/>
            <w:vAlign w:val="bottom"/>
          </w:tcPr>
          <w:p>
            <w:pPr>
              <w:spacing w:after="0"/>
              <w:rPr>
                <w:sz w:val="12"/>
                <w:szCs w:val="12"/>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June</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01,</w:t>
            </w:r>
          </w:p>
        </w:tc>
        <w:tc>
          <w:tcPr>
            <w:tcW w:w="58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15,</w:t>
            </w:r>
          </w:p>
        </w:tc>
        <w:tc>
          <w:tcPr>
            <w:tcW w:w="6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June 23,</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15,</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04,</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17,</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14,</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02,</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15,</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12,</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14,</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Jan. 10,</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07,</w:t>
            </w:r>
          </w:p>
        </w:tc>
        <w:tc>
          <w:tcPr>
            <w:tcW w:w="420" w:type="dxa"/>
            <w:vAlign w:val="bottom"/>
            <w:shd w:val="clear" w:color="auto" w:fill="EDEDEE"/>
          </w:tcPr>
          <w:p>
            <w:pPr>
              <w:jc w:val="right"/>
              <w:spacing w:after="0"/>
              <w:rPr>
                <w:sz w:val="20"/>
                <w:szCs w:val="20"/>
                <w:color w:val="auto"/>
              </w:rPr>
            </w:pPr>
            <w:r>
              <w:rPr>
                <w:rFonts w:ascii="Arial" w:cs="Arial" w:eastAsia="Arial" w:hAnsi="Arial"/>
                <w:sz w:val="11"/>
                <w:szCs w:val="11"/>
                <w:color w:val="231F20"/>
              </w:rPr>
              <w:t>July 01,</w:t>
            </w:r>
          </w:p>
        </w:tc>
        <w:tc>
          <w:tcPr>
            <w:tcW w:w="120" w:type="dxa"/>
            <w:vAlign w:val="bottom"/>
            <w:tcBorders>
              <w:right w:val="single" w:sz="8" w:color="2360A6"/>
            </w:tcBorders>
            <w:shd w:val="clear" w:color="auto" w:fill="EDEDEE"/>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220" w:type="dxa"/>
            <w:vAlign w:val="bottom"/>
            <w:tcBorders>
              <w:right w:val="single" w:sz="8" w:color="2360A6"/>
            </w:tcBorders>
          </w:tcPr>
          <w:p>
            <w:pPr>
              <w:ind w:left="40"/>
              <w:spacing w:after="0"/>
              <w:rPr>
                <w:sz w:val="20"/>
                <w:szCs w:val="20"/>
                <w:color w:val="auto"/>
              </w:rPr>
            </w:pPr>
            <w:r>
              <w:rPr>
                <w:rFonts w:ascii="Arial" w:cs="Arial" w:eastAsia="Arial" w:hAnsi="Arial"/>
                <w:sz w:val="11"/>
                <w:szCs w:val="11"/>
                <w:color w:val="231F20"/>
              </w:rPr>
              <w:t>Maturity Date</w:t>
            </w:r>
          </w:p>
        </w:tc>
        <w:tc>
          <w:tcPr>
            <w:tcW w:w="46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2013</w:t>
            </w:r>
          </w:p>
        </w:tc>
        <w:tc>
          <w:tcPr>
            <w:tcW w:w="6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2013</w:t>
            </w:r>
          </w:p>
        </w:tc>
        <w:tc>
          <w:tcPr>
            <w:tcW w:w="80" w:type="dxa"/>
            <w:vAlign w:val="bottom"/>
          </w:tcPr>
          <w:p>
            <w:pPr>
              <w:spacing w:after="0"/>
              <w:rPr>
                <w:sz w:val="11"/>
                <w:szCs w:val="11"/>
                <w:color w:val="auto"/>
              </w:rPr>
            </w:pP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12,2014</w:t>
            </w:r>
          </w:p>
        </w:tc>
        <w:tc>
          <w:tcPr>
            <w:tcW w:w="56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2014</w:t>
            </w:r>
          </w:p>
        </w:tc>
        <w:tc>
          <w:tcPr>
            <w:tcW w:w="58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2015</w:t>
            </w:r>
          </w:p>
        </w:tc>
        <w:tc>
          <w:tcPr>
            <w:tcW w:w="6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2016</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2016</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2017</w:t>
            </w:r>
          </w:p>
        </w:tc>
        <w:tc>
          <w:tcPr>
            <w:tcW w:w="56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2018</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2018</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2019</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2019</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2019</w:t>
            </w:r>
          </w:p>
        </w:tc>
        <w:tc>
          <w:tcPr>
            <w:tcW w:w="56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color w:val="231F20"/>
              </w:rPr>
              <w:t>2021</w:t>
            </w:r>
          </w:p>
        </w:tc>
        <w:tc>
          <w:tcPr>
            <w:tcW w:w="6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2022</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color w:val="231F20"/>
              </w:rPr>
              <w:t>2023</w:t>
            </w:r>
          </w:p>
        </w:tc>
        <w:tc>
          <w:tcPr>
            <w:tcW w:w="42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1"/>
                <w:szCs w:val="11"/>
                <w:color w:val="231F20"/>
              </w:rPr>
              <w:t>2024</w:t>
            </w:r>
          </w:p>
        </w:tc>
        <w:tc>
          <w:tcPr>
            <w:tcW w:w="120" w:type="dxa"/>
            <w:vAlign w:val="bottom"/>
            <w:tcBorders>
              <w:bottom w:val="single" w:sz="8" w:color="EDEDEE"/>
              <w:right w:val="single" w:sz="8" w:color="2360A6"/>
            </w:tcBorders>
            <w:shd w:val="clear" w:color="auto" w:fill="EDEDEE"/>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tcBorders>
              <w:right w:val="single" w:sz="8" w:color="2360A6"/>
            </w:tcBorders>
            <w:shd w:val="clear" w:color="auto" w:fill="2360A6"/>
          </w:tcPr>
          <w:p>
            <w:pPr>
              <w:spacing w:after="0" w:line="20" w:lineRule="exact"/>
              <w:rPr>
                <w:sz w:val="1"/>
                <w:szCs w:val="1"/>
                <w:color w:val="auto"/>
              </w:rPr>
            </w:pPr>
          </w:p>
        </w:tc>
        <w:tc>
          <w:tcPr>
            <w:tcW w:w="460" w:type="dxa"/>
            <w:vAlign w:val="bottom"/>
            <w:tcBorders>
              <w:right w:val="single" w:sz="8" w:color="2360A6"/>
            </w:tcBorders>
            <w:shd w:val="clear" w:color="auto" w:fill="2360A6"/>
          </w:tcPr>
          <w:p>
            <w:pPr>
              <w:spacing w:after="0" w:line="20" w:lineRule="exact"/>
              <w:rPr>
                <w:sz w:val="1"/>
                <w:szCs w:val="1"/>
                <w:color w:val="auto"/>
              </w:rPr>
            </w:pPr>
          </w:p>
        </w:tc>
        <w:tc>
          <w:tcPr>
            <w:tcW w:w="600" w:type="dxa"/>
            <w:vAlign w:val="bottom"/>
            <w:tcBorders>
              <w:right w:val="single" w:sz="8" w:color="2360A6"/>
            </w:tcBorders>
            <w:shd w:val="clear" w:color="auto" w:fill="2360A6"/>
          </w:tcPr>
          <w:p>
            <w:pPr>
              <w:spacing w:after="0" w:line="20" w:lineRule="exact"/>
              <w:rPr>
                <w:sz w:val="1"/>
                <w:szCs w:val="1"/>
                <w:color w:val="auto"/>
              </w:rPr>
            </w:pPr>
          </w:p>
        </w:tc>
        <w:tc>
          <w:tcPr>
            <w:tcW w:w="80" w:type="dxa"/>
            <w:vAlign w:val="bottom"/>
            <w:shd w:val="clear" w:color="auto" w:fill="2360A6"/>
          </w:tcPr>
          <w:p>
            <w:pPr>
              <w:spacing w:after="0" w:line="20" w:lineRule="exact"/>
              <w:rPr>
                <w:sz w:val="1"/>
                <w:szCs w:val="1"/>
                <w:color w:val="auto"/>
              </w:rPr>
            </w:pPr>
          </w:p>
        </w:tc>
        <w:tc>
          <w:tcPr>
            <w:tcW w:w="560" w:type="dxa"/>
            <w:vAlign w:val="bottom"/>
            <w:tcBorders>
              <w:right w:val="single" w:sz="8" w:color="2360A6"/>
            </w:tcBorders>
            <w:shd w:val="clear" w:color="auto" w:fill="2360A6"/>
          </w:tcPr>
          <w:p>
            <w:pPr>
              <w:spacing w:after="0" w:line="20" w:lineRule="exact"/>
              <w:rPr>
                <w:sz w:val="1"/>
                <w:szCs w:val="1"/>
                <w:color w:val="auto"/>
              </w:rPr>
            </w:pPr>
          </w:p>
        </w:tc>
        <w:tc>
          <w:tcPr>
            <w:tcW w:w="560" w:type="dxa"/>
            <w:vAlign w:val="bottom"/>
            <w:tcBorders>
              <w:right w:val="single" w:sz="8" w:color="2360A6"/>
            </w:tcBorders>
            <w:shd w:val="clear" w:color="auto" w:fill="2360A6"/>
          </w:tcPr>
          <w:p>
            <w:pPr>
              <w:spacing w:after="0" w:line="20" w:lineRule="exact"/>
              <w:rPr>
                <w:sz w:val="1"/>
                <w:szCs w:val="1"/>
                <w:color w:val="auto"/>
              </w:rPr>
            </w:pPr>
          </w:p>
        </w:tc>
        <w:tc>
          <w:tcPr>
            <w:tcW w:w="580" w:type="dxa"/>
            <w:vAlign w:val="bottom"/>
            <w:tcBorders>
              <w:right w:val="single" w:sz="8" w:color="2360A6"/>
            </w:tcBorders>
            <w:shd w:val="clear" w:color="auto" w:fill="2360A6"/>
          </w:tcPr>
          <w:p>
            <w:pPr>
              <w:spacing w:after="0" w:line="20" w:lineRule="exact"/>
              <w:rPr>
                <w:sz w:val="1"/>
                <w:szCs w:val="1"/>
                <w:color w:val="auto"/>
              </w:rPr>
            </w:pPr>
          </w:p>
        </w:tc>
        <w:tc>
          <w:tcPr>
            <w:tcW w:w="620" w:type="dxa"/>
            <w:vAlign w:val="bottom"/>
            <w:tcBorders>
              <w:right w:val="single" w:sz="8" w:color="2360A6"/>
            </w:tcBorders>
            <w:shd w:val="clear" w:color="auto" w:fill="2360A6"/>
          </w:tcPr>
          <w:p>
            <w:pPr>
              <w:spacing w:after="0" w:line="20" w:lineRule="exact"/>
              <w:rPr>
                <w:sz w:val="1"/>
                <w:szCs w:val="1"/>
                <w:color w:val="auto"/>
              </w:rPr>
            </w:pPr>
          </w:p>
        </w:tc>
        <w:tc>
          <w:tcPr>
            <w:tcW w:w="540" w:type="dxa"/>
            <w:vAlign w:val="bottom"/>
            <w:tcBorders>
              <w:right w:val="single" w:sz="8" w:color="2360A6"/>
            </w:tcBorders>
            <w:shd w:val="clear" w:color="auto" w:fill="2360A6"/>
          </w:tcPr>
          <w:p>
            <w:pPr>
              <w:spacing w:after="0" w:line="20" w:lineRule="exact"/>
              <w:rPr>
                <w:sz w:val="1"/>
                <w:szCs w:val="1"/>
                <w:color w:val="auto"/>
              </w:rPr>
            </w:pPr>
          </w:p>
        </w:tc>
        <w:tc>
          <w:tcPr>
            <w:tcW w:w="540" w:type="dxa"/>
            <w:vAlign w:val="bottom"/>
            <w:tcBorders>
              <w:right w:val="single" w:sz="8" w:color="2360A6"/>
            </w:tcBorders>
            <w:shd w:val="clear" w:color="auto" w:fill="2360A6"/>
          </w:tcPr>
          <w:p>
            <w:pPr>
              <w:spacing w:after="0" w:line="20" w:lineRule="exact"/>
              <w:rPr>
                <w:sz w:val="1"/>
                <w:szCs w:val="1"/>
                <w:color w:val="auto"/>
              </w:rPr>
            </w:pPr>
          </w:p>
        </w:tc>
        <w:tc>
          <w:tcPr>
            <w:tcW w:w="560" w:type="dxa"/>
            <w:vAlign w:val="bottom"/>
            <w:tcBorders>
              <w:right w:val="single" w:sz="8" w:color="2360A6"/>
            </w:tcBorders>
            <w:shd w:val="clear" w:color="auto" w:fill="2360A6"/>
          </w:tcPr>
          <w:p>
            <w:pPr>
              <w:spacing w:after="0" w:line="20" w:lineRule="exact"/>
              <w:rPr>
                <w:sz w:val="1"/>
                <w:szCs w:val="1"/>
                <w:color w:val="auto"/>
              </w:rPr>
            </w:pPr>
          </w:p>
        </w:tc>
        <w:tc>
          <w:tcPr>
            <w:tcW w:w="540" w:type="dxa"/>
            <w:vAlign w:val="bottom"/>
            <w:tcBorders>
              <w:right w:val="single" w:sz="8" w:color="2360A6"/>
            </w:tcBorders>
            <w:shd w:val="clear" w:color="auto" w:fill="2360A6"/>
          </w:tcPr>
          <w:p>
            <w:pPr>
              <w:spacing w:after="0" w:line="20" w:lineRule="exact"/>
              <w:rPr>
                <w:sz w:val="1"/>
                <w:szCs w:val="1"/>
                <w:color w:val="auto"/>
              </w:rPr>
            </w:pPr>
          </w:p>
        </w:tc>
        <w:tc>
          <w:tcPr>
            <w:tcW w:w="540" w:type="dxa"/>
            <w:vAlign w:val="bottom"/>
            <w:tcBorders>
              <w:right w:val="single" w:sz="8" w:color="2360A6"/>
            </w:tcBorders>
            <w:shd w:val="clear" w:color="auto" w:fill="2360A6"/>
          </w:tcPr>
          <w:p>
            <w:pPr>
              <w:spacing w:after="0" w:line="20" w:lineRule="exact"/>
              <w:rPr>
                <w:sz w:val="1"/>
                <w:szCs w:val="1"/>
                <w:color w:val="auto"/>
              </w:rPr>
            </w:pPr>
          </w:p>
        </w:tc>
        <w:tc>
          <w:tcPr>
            <w:tcW w:w="560" w:type="dxa"/>
            <w:vAlign w:val="bottom"/>
            <w:tcBorders>
              <w:right w:val="single" w:sz="8" w:color="2360A6"/>
            </w:tcBorders>
            <w:shd w:val="clear" w:color="auto" w:fill="2360A6"/>
          </w:tcPr>
          <w:p>
            <w:pPr>
              <w:spacing w:after="0" w:line="20" w:lineRule="exact"/>
              <w:rPr>
                <w:sz w:val="1"/>
                <w:szCs w:val="1"/>
                <w:color w:val="auto"/>
              </w:rPr>
            </w:pPr>
          </w:p>
        </w:tc>
        <w:tc>
          <w:tcPr>
            <w:tcW w:w="540" w:type="dxa"/>
            <w:vAlign w:val="bottom"/>
            <w:tcBorders>
              <w:right w:val="single" w:sz="8" w:color="2360A6"/>
            </w:tcBorders>
            <w:shd w:val="clear" w:color="auto" w:fill="2360A6"/>
          </w:tcPr>
          <w:p>
            <w:pPr>
              <w:spacing w:after="0" w:line="20" w:lineRule="exact"/>
              <w:rPr>
                <w:sz w:val="1"/>
                <w:szCs w:val="1"/>
                <w:color w:val="auto"/>
              </w:rPr>
            </w:pPr>
          </w:p>
        </w:tc>
        <w:tc>
          <w:tcPr>
            <w:tcW w:w="560" w:type="dxa"/>
            <w:vAlign w:val="bottom"/>
            <w:tcBorders>
              <w:right w:val="single" w:sz="8" w:color="2360A6"/>
            </w:tcBorders>
            <w:shd w:val="clear" w:color="auto" w:fill="2360A6"/>
          </w:tcPr>
          <w:p>
            <w:pPr>
              <w:spacing w:after="0" w:line="20" w:lineRule="exact"/>
              <w:rPr>
                <w:sz w:val="1"/>
                <w:szCs w:val="1"/>
                <w:color w:val="auto"/>
              </w:rPr>
            </w:pPr>
          </w:p>
        </w:tc>
        <w:tc>
          <w:tcPr>
            <w:tcW w:w="600" w:type="dxa"/>
            <w:vAlign w:val="bottom"/>
            <w:tcBorders>
              <w:right w:val="single" w:sz="8" w:color="2360A6"/>
            </w:tcBorders>
            <w:shd w:val="clear" w:color="auto" w:fill="2360A6"/>
          </w:tcPr>
          <w:p>
            <w:pPr>
              <w:spacing w:after="0" w:line="20" w:lineRule="exact"/>
              <w:rPr>
                <w:sz w:val="1"/>
                <w:szCs w:val="1"/>
                <w:color w:val="auto"/>
              </w:rPr>
            </w:pPr>
          </w:p>
        </w:tc>
        <w:tc>
          <w:tcPr>
            <w:tcW w:w="540" w:type="dxa"/>
            <w:vAlign w:val="bottom"/>
            <w:tcBorders>
              <w:right w:val="single" w:sz="8" w:color="2360A6"/>
            </w:tcBorders>
            <w:shd w:val="clear" w:color="auto" w:fill="2360A6"/>
          </w:tcPr>
          <w:p>
            <w:pPr>
              <w:spacing w:after="0" w:line="20" w:lineRule="exact"/>
              <w:rPr>
                <w:sz w:val="1"/>
                <w:szCs w:val="1"/>
                <w:color w:val="auto"/>
              </w:rPr>
            </w:pPr>
          </w:p>
        </w:tc>
        <w:tc>
          <w:tcPr>
            <w:tcW w:w="420" w:type="dxa"/>
            <w:vAlign w:val="bottom"/>
            <w:shd w:val="clear" w:color="auto" w:fill="2360A6"/>
          </w:tcPr>
          <w:p>
            <w:pPr>
              <w:spacing w:after="0" w:line="20" w:lineRule="exact"/>
              <w:rPr>
                <w:sz w:val="1"/>
                <w:szCs w:val="1"/>
                <w:color w:val="auto"/>
              </w:rPr>
            </w:pPr>
          </w:p>
        </w:tc>
        <w:tc>
          <w:tcPr>
            <w:tcW w:w="120" w:type="dxa"/>
            <w:vAlign w:val="bottom"/>
            <w:tcBorders>
              <w:right w:val="single" w:sz="8" w:color="2360A6"/>
            </w:tcBorders>
            <w:shd w:val="clear" w:color="auto" w:fill="2360A6"/>
          </w:tcPr>
          <w:p>
            <w:pPr>
              <w:spacing w:after="0" w:line="20" w:lineRule="exact"/>
              <w:rPr>
                <w:sz w:val="1"/>
                <w:szCs w:val="1"/>
                <w:color w:val="auto"/>
              </w:rPr>
            </w:pPr>
          </w:p>
        </w:tc>
        <w:tc>
          <w:tcPr>
            <w:tcW w:w="620" w:type="dxa"/>
            <w:vAlign w:val="bottom"/>
            <w:shd w:val="clear" w:color="auto" w:fill="2360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466090</wp:posOffset>
            </wp:positionV>
            <wp:extent cx="7220585" cy="51714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0585" cy="5171440"/>
                    </a:xfrm>
                    <a:prstGeom prst="rect">
                      <a:avLst/>
                    </a:prstGeom>
                    <a:noFill/>
                  </pic:spPr>
                </pic:pic>
              </a:graphicData>
            </a:graphic>
          </wp:anchor>
        </w:drawing>
      </w:r>
    </w:p>
    <w:p>
      <w:pPr>
        <w:ind w:left="40"/>
        <w:spacing w:after="0"/>
        <w:rPr>
          <w:sz w:val="20"/>
          <w:szCs w:val="20"/>
          <w:color w:val="auto"/>
        </w:rPr>
      </w:pPr>
      <w:r>
        <w:rPr>
          <w:rFonts w:ascii="Arial" w:cs="Arial" w:eastAsia="Arial" w:hAnsi="Arial"/>
          <w:sz w:val="9"/>
          <w:szCs w:val="9"/>
          <w:color w:val="auto"/>
        </w:rPr>
        <w:t>(1) Share Subscription option plans exercisable four years from the date of grant and provided certain targets are met.</w:t>
      </w:r>
    </w:p>
    <w:p>
      <w:pPr>
        <w:ind w:left="40"/>
        <w:spacing w:after="0"/>
        <w:rPr>
          <w:sz w:val="20"/>
          <w:szCs w:val="20"/>
          <w:color w:val="auto"/>
        </w:rPr>
      </w:pPr>
      <w:r>
        <w:rPr>
          <w:rFonts w:ascii="Arial" w:cs="Arial" w:eastAsia="Arial" w:hAnsi="Arial"/>
          <w:sz w:val="9"/>
          <w:szCs w:val="9"/>
          <w:color w:val="auto"/>
        </w:rPr>
        <w:t>(2) Share Purchase option plans exercisable four years from the date of grant and provided certain targets are met.</w:t>
      </w:r>
    </w:p>
    <w:p>
      <w:pPr>
        <w:sectPr>
          <w:pgSz w:w="11900" w:h="16838" w:orient="portrait"/>
          <w:cols w:equalWidth="0" w:num="1">
            <w:col w:w="11360"/>
          </w:cols>
          <w:pgMar w:left="280" w:top="714" w:right="259" w:bottom="1440" w:gutter="0" w:footer="0" w:header="0"/>
        </w:sectPr>
      </w:pPr>
    </w:p>
    <w:bookmarkStart w:id="130" w:name="page131"/>
    <w:bookmarkEnd w:id="130"/>
    <w:p>
      <w:pPr>
        <w:ind w:left="80"/>
        <w:spacing w:after="0"/>
        <w:rPr>
          <w:sz w:val="20"/>
          <w:szCs w:val="20"/>
          <w:color w:val="auto"/>
        </w:rPr>
      </w:pPr>
      <w:r>
        <w:rPr>
          <w:rFonts w:ascii="Arial" w:cs="Arial" w:eastAsia="Arial" w:hAnsi="Arial"/>
          <w:sz w:val="16"/>
          <w:szCs w:val="16"/>
          <w:color w:val="231F20"/>
        </w:rPr>
        <w:t>The main features described in the table above take into consideration the following adjustments to the rights of option beneficiaries:</w:t>
      </w:r>
    </w:p>
    <w:p>
      <w:pPr>
        <w:spacing w:after="0" w:line="73" w:lineRule="exact"/>
        <w:rPr>
          <w:sz w:val="20"/>
          <w:szCs w:val="20"/>
          <w:color w:val="auto"/>
        </w:rPr>
      </w:pPr>
    </w:p>
    <w:p>
      <w:pPr>
        <w:jc w:val="both"/>
        <w:ind w:left="220" w:right="20" w:hanging="131"/>
        <w:spacing w:after="0" w:line="253" w:lineRule="auto"/>
        <w:tabs>
          <w:tab w:leader="none" w:pos="220" w:val="left"/>
        </w:tabs>
        <w:numPr>
          <w:ilvl w:val="0"/>
          <w:numId w:val="50"/>
        </w:numPr>
        <w:rPr>
          <w:rFonts w:ascii="Arial" w:cs="Arial" w:eastAsia="Arial" w:hAnsi="Arial"/>
          <w:sz w:val="16"/>
          <w:szCs w:val="16"/>
          <w:color w:val="2360A6"/>
        </w:rPr>
      </w:pPr>
      <w:r>
        <w:rPr>
          <w:rFonts w:ascii="Arial" w:cs="Arial" w:eastAsia="Arial" w:hAnsi="Arial"/>
          <w:sz w:val="16"/>
          <w:szCs w:val="16"/>
          <w:color w:val="231F20"/>
        </w:rPr>
        <w:t>The Board of Directors resolved to adjust the rights of option beneficiaries as of May 14, 2007, in order to take into account the extraordinary dividend deducted from retained earnings and approved by the Combined Shareholders’ Meeting held on April 27, 2007. Consequently, exercise prices and option numbers were recalculated for all plans.</w:t>
      </w:r>
    </w:p>
    <w:p>
      <w:pPr>
        <w:spacing w:after="0" w:line="52" w:lineRule="exact"/>
        <w:rPr>
          <w:rFonts w:ascii="Arial" w:cs="Arial" w:eastAsia="Arial" w:hAnsi="Arial"/>
          <w:sz w:val="16"/>
          <w:szCs w:val="16"/>
          <w:color w:val="2360A6"/>
        </w:rPr>
      </w:pPr>
    </w:p>
    <w:p>
      <w:pPr>
        <w:jc w:val="both"/>
        <w:ind w:left="220" w:right="20" w:hanging="131"/>
        <w:spacing w:after="0" w:line="253" w:lineRule="auto"/>
        <w:tabs>
          <w:tab w:leader="none" w:pos="220" w:val="left"/>
        </w:tabs>
        <w:numPr>
          <w:ilvl w:val="0"/>
          <w:numId w:val="50"/>
        </w:numPr>
        <w:rPr>
          <w:rFonts w:ascii="Arial" w:cs="Arial" w:eastAsia="Arial" w:hAnsi="Arial"/>
          <w:sz w:val="16"/>
          <w:szCs w:val="16"/>
          <w:color w:val="2360A6"/>
        </w:rPr>
      </w:pPr>
      <w:r>
        <w:rPr>
          <w:rFonts w:ascii="Arial" w:cs="Arial" w:eastAsia="Arial" w:hAnsi="Arial"/>
          <w:sz w:val="16"/>
          <w:szCs w:val="16"/>
          <w:color w:val="231F20"/>
        </w:rPr>
        <w:t>The Board of Directors resolved to adjust the rights of option beneficiaries as of May 14, 2008, in order to take into account the extraordinary dividend deducted from retained earnings and approved by the Combined Shareholders’ Meeting held on May 6, 2008. Consequently, exercise prices and option numbers were recalculated for all plans.</w:t>
      </w:r>
    </w:p>
    <w:p>
      <w:pPr>
        <w:spacing w:after="0" w:line="53" w:lineRule="exact"/>
        <w:rPr>
          <w:sz w:val="20"/>
          <w:szCs w:val="20"/>
          <w:color w:val="auto"/>
        </w:rPr>
      </w:pPr>
    </w:p>
    <w:p>
      <w:pPr>
        <w:jc w:val="both"/>
        <w:ind w:left="80" w:right="20"/>
        <w:spacing w:after="0" w:line="260" w:lineRule="auto"/>
        <w:rPr>
          <w:sz w:val="20"/>
          <w:szCs w:val="20"/>
          <w:color w:val="auto"/>
        </w:rPr>
      </w:pPr>
      <w:r>
        <w:rPr>
          <w:rFonts w:ascii="Arial" w:cs="Arial" w:eastAsia="Arial" w:hAnsi="Arial"/>
          <w:sz w:val="16"/>
          <w:szCs w:val="16"/>
          <w:color w:val="231F20"/>
        </w:rPr>
        <w:t>These options were granted subject to certain targets. This means that the final number of options granted to employees is contingent upon Technip achieving satisfactory performance for its shareholders.</w:t>
      </w:r>
    </w:p>
    <w:p>
      <w:pPr>
        <w:spacing w:after="0" w:line="263" w:lineRule="exact"/>
        <w:rPr>
          <w:sz w:val="20"/>
          <w:szCs w:val="20"/>
          <w:color w:val="auto"/>
        </w:rPr>
      </w:pPr>
    </w:p>
    <w:p>
      <w:pPr>
        <w:jc w:val="both"/>
        <w:ind w:left="80" w:right="20"/>
        <w:spacing w:after="0" w:line="253" w:lineRule="auto"/>
        <w:rPr>
          <w:sz w:val="20"/>
          <w:szCs w:val="20"/>
          <w:color w:val="auto"/>
        </w:rPr>
      </w:pPr>
      <w:r>
        <w:rPr>
          <w:rFonts w:ascii="Arial" w:cs="Arial" w:eastAsia="Arial" w:hAnsi="Arial"/>
          <w:sz w:val="16"/>
          <w:szCs w:val="16"/>
          <w:color w:val="231F20"/>
        </w:rPr>
        <w:t>For the 2012 and 2013 plans, 2013 re-granting and 2015 plans, the performance will be respectively measured over the 2012-2014, 2013-2015, 2014-2016 and 2015-2017 periods on the basis of several criteria: Group results in terms of Total Shareholder Return, operating income from recurring activities and return on capital employed.</w:t>
      </w:r>
    </w:p>
    <w:p>
      <w:pPr>
        <w:spacing w:after="0" w:line="269" w:lineRule="exact"/>
        <w:rPr>
          <w:sz w:val="20"/>
          <w:szCs w:val="20"/>
          <w:color w:val="auto"/>
        </w:rPr>
      </w:pPr>
    </w:p>
    <w:p>
      <w:pPr>
        <w:jc w:val="both"/>
        <w:ind w:left="80" w:right="20"/>
        <w:spacing w:after="0" w:line="260" w:lineRule="auto"/>
        <w:rPr>
          <w:sz w:val="20"/>
          <w:szCs w:val="20"/>
          <w:color w:val="auto"/>
        </w:rPr>
      </w:pPr>
      <w:r>
        <w:rPr>
          <w:rFonts w:ascii="Arial" w:cs="Arial" w:eastAsia="Arial" w:hAnsi="Arial"/>
          <w:sz w:val="16"/>
          <w:szCs w:val="16"/>
          <w:color w:val="231F20"/>
        </w:rPr>
        <w:t>For the 2016 plans, the performance will be measured on the basis of two criteria: Group results in terms of Total Shareholder Return and return on capital employed.</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2360A6"/>
        </w:rPr>
        <w:t>IFRS 2 accounting charge</w:t>
      </w:r>
    </w:p>
    <w:p>
      <w:pPr>
        <w:spacing w:after="0" w:line="241" w:lineRule="exact"/>
        <w:rPr>
          <w:sz w:val="20"/>
          <w:szCs w:val="20"/>
          <w:color w:val="auto"/>
        </w:rPr>
      </w:pPr>
    </w:p>
    <w:p>
      <w:pPr>
        <w:jc w:val="both"/>
        <w:ind w:left="80" w:right="40"/>
        <w:spacing w:after="0" w:line="260" w:lineRule="auto"/>
        <w:rPr>
          <w:sz w:val="20"/>
          <w:szCs w:val="20"/>
          <w:color w:val="auto"/>
        </w:rPr>
      </w:pPr>
      <w:r>
        <w:rPr>
          <w:rFonts w:ascii="Arial" w:cs="Arial" w:eastAsia="Arial" w:hAnsi="Arial"/>
          <w:sz w:val="16"/>
          <w:szCs w:val="16"/>
          <w:color w:val="231F20"/>
        </w:rPr>
        <w:t xml:space="preserve">In accordance with IFRS 2, the Group recorded a charge of </w:t>
      </w:r>
      <w:r>
        <w:rPr>
          <w:rFonts w:ascii="Arial" w:cs="Arial" w:eastAsia="Arial" w:hAnsi="Arial"/>
          <w:sz w:val="16"/>
          <w:szCs w:val="16"/>
          <w:color w:val="000000"/>
        </w:rPr>
        <w:t>€4.2</w:t>
      </w:r>
      <w:r>
        <w:rPr>
          <w:rFonts w:ascii="Arial" w:cs="Arial" w:eastAsia="Arial" w:hAnsi="Arial"/>
          <w:sz w:val="16"/>
          <w:szCs w:val="16"/>
          <w:color w:val="231F20"/>
        </w:rPr>
        <w:t xml:space="preserve"> million in 2016 related to share subscription and share purchase option plans compared to €3.8 million in 2015 and €6.7 million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3567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56743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 w:type="dxa"/>
            <w:vAlign w:val="bottom"/>
            <w:tcBorders>
              <w:top w:val="single" w:sz="8" w:color="2360A6"/>
            </w:tcBorders>
          </w:tcPr>
          <w:p>
            <w:pPr>
              <w:spacing w:after="0"/>
              <w:rPr>
                <w:sz w:val="15"/>
                <w:szCs w:val="15"/>
                <w:color w:val="auto"/>
              </w:rPr>
            </w:pPr>
          </w:p>
        </w:tc>
        <w:tc>
          <w:tcPr>
            <w:tcW w:w="220" w:type="dxa"/>
            <w:vAlign w:val="bottom"/>
            <w:tcBorders>
              <w:top w:val="single" w:sz="8" w:color="2360A6"/>
              <w:right w:val="single" w:sz="8" w:color="2360A6"/>
            </w:tcBorders>
          </w:tcPr>
          <w:p>
            <w:pPr>
              <w:spacing w:after="0"/>
              <w:rPr>
                <w:sz w:val="15"/>
                <w:szCs w:val="15"/>
                <w:color w:val="auto"/>
              </w:rPr>
            </w:pPr>
          </w:p>
        </w:tc>
        <w:tc>
          <w:tcPr>
            <w:tcW w:w="580" w:type="dxa"/>
            <w:vAlign w:val="bottom"/>
            <w:tcBorders>
              <w:top w:val="single" w:sz="8" w:color="2360A6"/>
            </w:tcBorders>
          </w:tcPr>
          <w:p>
            <w:pPr>
              <w:spacing w:after="0"/>
              <w:rPr>
                <w:sz w:val="15"/>
                <w:szCs w:val="15"/>
                <w:color w:val="auto"/>
              </w:rPr>
            </w:pPr>
          </w:p>
        </w:tc>
        <w:tc>
          <w:tcPr>
            <w:tcW w:w="680" w:type="dxa"/>
            <w:vAlign w:val="bottom"/>
            <w:tcBorders>
              <w:top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Plan</w:t>
            </w:r>
          </w:p>
        </w:tc>
        <w:tc>
          <w:tcPr>
            <w:tcW w:w="820" w:type="dxa"/>
            <w:vAlign w:val="bottom"/>
            <w:tcBorders>
              <w:top w:val="single" w:sz="8" w:color="2360A6"/>
              <w:right w:val="single" w:sz="8" w:color="2360A6"/>
            </w:tcBorders>
          </w:tcPr>
          <w:p>
            <w:pPr>
              <w:spacing w:after="0"/>
              <w:rPr>
                <w:sz w:val="15"/>
                <w:szCs w:val="15"/>
                <w:color w:val="auto"/>
              </w:rPr>
            </w:pPr>
          </w:p>
        </w:tc>
        <w:tc>
          <w:tcPr>
            <w:tcW w:w="580" w:type="dxa"/>
            <w:vAlign w:val="bottom"/>
            <w:tcBorders>
              <w:top w:val="single" w:sz="8" w:color="2360A6"/>
              <w:right w:val="single" w:sz="8" w:color="2360A6"/>
            </w:tcBorders>
          </w:tcPr>
          <w:p>
            <w:pPr>
              <w:jc w:val="right"/>
              <w:ind w:right="106"/>
              <w:spacing w:after="0"/>
              <w:rPr>
                <w:sz w:val="20"/>
                <w:szCs w:val="20"/>
                <w:color w:val="auto"/>
              </w:rPr>
            </w:pPr>
            <w:r>
              <w:rPr>
                <w:rFonts w:ascii="Arial" w:cs="Arial" w:eastAsia="Arial" w:hAnsi="Arial"/>
                <w:sz w:val="11"/>
                <w:szCs w:val="11"/>
                <w:b w:val="1"/>
                <w:bCs w:val="1"/>
                <w:color w:val="2360A6"/>
              </w:rPr>
              <w:t>Plan</w:t>
            </w:r>
          </w:p>
        </w:tc>
        <w:tc>
          <w:tcPr>
            <w:tcW w:w="580" w:type="dxa"/>
            <w:vAlign w:val="bottom"/>
            <w:tcBorders>
              <w:top w:val="single" w:sz="8" w:color="2360A6"/>
              <w:right w:val="single" w:sz="8" w:color="2360A6"/>
            </w:tcBorders>
          </w:tcPr>
          <w:p>
            <w:pPr>
              <w:jc w:val="right"/>
              <w:ind w:right="106"/>
              <w:spacing w:after="0"/>
              <w:rPr>
                <w:sz w:val="20"/>
                <w:szCs w:val="20"/>
                <w:color w:val="auto"/>
              </w:rPr>
            </w:pPr>
            <w:r>
              <w:rPr>
                <w:rFonts w:ascii="Arial" w:cs="Arial" w:eastAsia="Arial" w:hAnsi="Arial"/>
                <w:sz w:val="11"/>
                <w:szCs w:val="11"/>
                <w:b w:val="1"/>
                <w:bCs w:val="1"/>
                <w:color w:val="2360A6"/>
              </w:rPr>
              <w:t>Plan</w:t>
            </w:r>
          </w:p>
        </w:tc>
        <w:tc>
          <w:tcPr>
            <w:tcW w:w="580" w:type="dxa"/>
            <w:vAlign w:val="bottom"/>
            <w:tcBorders>
              <w:top w:val="single" w:sz="8" w:color="2360A6"/>
            </w:tcBorders>
          </w:tcPr>
          <w:p>
            <w:pPr>
              <w:spacing w:after="0"/>
              <w:rPr>
                <w:sz w:val="15"/>
                <w:szCs w:val="15"/>
                <w:color w:val="auto"/>
              </w:rPr>
            </w:pPr>
          </w:p>
        </w:tc>
        <w:tc>
          <w:tcPr>
            <w:tcW w:w="580" w:type="dxa"/>
            <w:vAlign w:val="bottom"/>
            <w:tcBorders>
              <w:top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Plan</w:t>
            </w:r>
          </w:p>
        </w:tc>
        <w:tc>
          <w:tcPr>
            <w:tcW w:w="680" w:type="dxa"/>
            <w:vAlign w:val="bottom"/>
            <w:tcBorders>
              <w:top w:val="single" w:sz="8" w:color="2360A6"/>
              <w:right w:val="single" w:sz="8" w:color="2360A6"/>
            </w:tcBorders>
          </w:tcPr>
          <w:p>
            <w:pPr>
              <w:spacing w:after="0"/>
              <w:rPr>
                <w:sz w:val="15"/>
                <w:szCs w:val="15"/>
                <w:color w:val="auto"/>
              </w:rPr>
            </w:pPr>
          </w:p>
        </w:tc>
        <w:tc>
          <w:tcPr>
            <w:tcW w:w="680" w:type="dxa"/>
            <w:vAlign w:val="bottom"/>
            <w:tcBorders>
              <w:top w:val="single" w:sz="8" w:color="2360A6"/>
            </w:tcBorders>
          </w:tcPr>
          <w:p>
            <w:pPr>
              <w:spacing w:after="0"/>
              <w:rPr>
                <w:sz w:val="15"/>
                <w:szCs w:val="15"/>
                <w:color w:val="auto"/>
              </w:rPr>
            </w:pPr>
          </w:p>
        </w:tc>
        <w:tc>
          <w:tcPr>
            <w:tcW w:w="560" w:type="dxa"/>
            <w:vAlign w:val="bottom"/>
            <w:tcBorders>
              <w:top w:val="single" w:sz="8" w:color="2360A6"/>
            </w:tcBorders>
          </w:tcPr>
          <w:p>
            <w:pPr>
              <w:jc w:val="right"/>
              <w:ind w:right="106"/>
              <w:spacing w:after="0"/>
              <w:rPr>
                <w:sz w:val="20"/>
                <w:szCs w:val="20"/>
                <w:color w:val="auto"/>
              </w:rPr>
            </w:pPr>
            <w:r>
              <w:rPr>
                <w:rFonts w:ascii="Arial" w:cs="Arial" w:eastAsia="Arial" w:hAnsi="Arial"/>
                <w:sz w:val="11"/>
                <w:szCs w:val="11"/>
                <w:b w:val="1"/>
                <w:bCs w:val="1"/>
                <w:color w:val="2360A6"/>
              </w:rPr>
              <w:t>Plan</w:t>
            </w:r>
          </w:p>
        </w:tc>
        <w:tc>
          <w:tcPr>
            <w:tcW w:w="680" w:type="dxa"/>
            <w:vAlign w:val="bottom"/>
            <w:tcBorders>
              <w:top w:val="single" w:sz="8" w:color="2360A6"/>
              <w:right w:val="single" w:sz="8" w:color="2360A6"/>
            </w:tcBorders>
          </w:tcPr>
          <w:p>
            <w:pPr>
              <w:spacing w:after="0"/>
              <w:rPr>
                <w:sz w:val="15"/>
                <w:szCs w:val="15"/>
                <w:color w:val="auto"/>
              </w:rPr>
            </w:pPr>
          </w:p>
        </w:tc>
        <w:tc>
          <w:tcPr>
            <w:tcW w:w="820" w:type="dxa"/>
            <w:vAlign w:val="bottom"/>
            <w:tcBorders>
              <w:top w:val="single" w:sz="8" w:color="2360A6"/>
            </w:tcBorders>
            <w:gridSpan w:val="2"/>
          </w:tcPr>
          <w:p>
            <w:pPr>
              <w:jc w:val="right"/>
              <w:ind w:right="80"/>
              <w:spacing w:after="0"/>
              <w:rPr>
                <w:sz w:val="20"/>
                <w:szCs w:val="20"/>
                <w:color w:val="auto"/>
              </w:rPr>
            </w:pPr>
            <w:r>
              <w:rPr>
                <w:rFonts w:ascii="Arial" w:cs="Arial" w:eastAsia="Arial" w:hAnsi="Arial"/>
                <w:sz w:val="11"/>
                <w:szCs w:val="11"/>
                <w:b w:val="1"/>
                <w:bCs w:val="1"/>
                <w:color w:val="2360A6"/>
              </w:rPr>
              <w:t>Plan</w:t>
            </w:r>
          </w:p>
        </w:tc>
        <w:tc>
          <w:tcPr>
            <w:tcW w:w="420" w:type="dxa"/>
            <w:vAlign w:val="bottom"/>
            <w:tcBorders>
              <w:top w:val="single" w:sz="8" w:color="2360A6"/>
              <w:right w:val="single" w:sz="8" w:color="2360A6"/>
            </w:tcBorders>
          </w:tcPr>
          <w:p>
            <w:pPr>
              <w:spacing w:after="0"/>
              <w:rPr>
                <w:sz w:val="15"/>
                <w:szCs w:val="15"/>
                <w:color w:val="auto"/>
              </w:rPr>
            </w:pPr>
          </w:p>
        </w:tc>
        <w:tc>
          <w:tcPr>
            <w:tcW w:w="520" w:type="dxa"/>
            <w:vAlign w:val="bottom"/>
            <w:tcBorders>
              <w:top w:val="single" w:sz="8" w:color="2360A6"/>
            </w:tcBorders>
          </w:tcPr>
          <w:p>
            <w:pPr>
              <w:spacing w:after="0"/>
              <w:rPr>
                <w:sz w:val="15"/>
                <w:szCs w:val="15"/>
                <w:color w:val="auto"/>
              </w:rPr>
            </w:pPr>
          </w:p>
        </w:tc>
        <w:tc>
          <w:tcPr>
            <w:tcW w:w="720" w:type="dxa"/>
            <w:vAlign w:val="bottom"/>
            <w:tcBorders>
              <w:top w:val="single" w:sz="8" w:color="2360A6"/>
              <w:right w:val="single" w:sz="8" w:color="2360A6"/>
            </w:tcBorders>
            <w:gridSpan w:val="2"/>
          </w:tcPr>
          <w:p>
            <w:pPr>
              <w:jc w:val="right"/>
              <w:ind w:right="426"/>
              <w:spacing w:after="0"/>
              <w:rPr>
                <w:sz w:val="20"/>
                <w:szCs w:val="20"/>
                <w:color w:val="auto"/>
              </w:rPr>
            </w:pPr>
            <w:r>
              <w:rPr>
                <w:rFonts w:ascii="Arial" w:cs="Arial" w:eastAsia="Arial" w:hAnsi="Arial"/>
                <w:sz w:val="11"/>
                <w:szCs w:val="11"/>
                <w:b w:val="1"/>
                <w:bCs w:val="1"/>
                <w:color w:val="2360A6"/>
                <w:w w:val="94"/>
              </w:rPr>
              <w:t>Plan</w:t>
            </w:r>
          </w:p>
        </w:tc>
        <w:tc>
          <w:tcPr>
            <w:tcW w:w="560" w:type="dxa"/>
            <w:vAlign w:val="bottom"/>
            <w:tcBorders>
              <w:top w:val="single" w:sz="8" w:color="2360A6"/>
              <w:right w:val="single" w:sz="8" w:color="2360A6"/>
            </w:tcBorders>
          </w:tcPr>
          <w:p>
            <w:pPr>
              <w:spacing w:after="0"/>
              <w:rPr>
                <w:sz w:val="15"/>
                <w:szCs w:val="15"/>
                <w:color w:val="auto"/>
              </w:rPr>
            </w:pPr>
          </w:p>
        </w:tc>
        <w:tc>
          <w:tcPr>
            <w:tcW w:w="680" w:type="dxa"/>
            <w:vAlign w:val="bottom"/>
            <w:tcBorders>
              <w:top w:val="single" w:sz="8" w:color="2360A6"/>
              <w:right w:val="single" w:sz="8" w:color="2360A6"/>
            </w:tcBorders>
            <w:shd w:val="clear" w:color="auto" w:fill="2360A6"/>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220" w:type="dxa"/>
            <w:vAlign w:val="bottom"/>
            <w:tcBorders>
              <w:right w:val="single" w:sz="8" w:color="2360A6"/>
            </w:tcBorders>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ind w:right="26"/>
              <w:spacing w:after="0"/>
              <w:rPr>
                <w:sz w:val="20"/>
                <w:szCs w:val="20"/>
                <w:color w:val="auto"/>
              </w:rPr>
            </w:pPr>
            <w:r>
              <w:rPr>
                <w:rFonts w:ascii="Arial" w:cs="Arial" w:eastAsia="Arial" w:hAnsi="Arial"/>
                <w:sz w:val="11"/>
                <w:szCs w:val="11"/>
                <w:b w:val="1"/>
                <w:bCs w:val="1"/>
                <w:color w:val="2360A6"/>
              </w:rPr>
              <w:t>2005</w:t>
            </w:r>
          </w:p>
        </w:tc>
        <w:tc>
          <w:tcPr>
            <w:tcW w:w="820" w:type="dxa"/>
            <w:vAlign w:val="bottom"/>
            <w:tcBorders>
              <w:right w:val="single" w:sz="8" w:color="2360A6"/>
            </w:tcBorders>
          </w:tcPr>
          <w:p>
            <w:pPr>
              <w:spacing w:after="0"/>
              <w:rPr>
                <w:sz w:val="12"/>
                <w:szCs w:val="12"/>
                <w:color w:val="auto"/>
              </w:rPr>
            </w:pPr>
          </w:p>
        </w:tc>
        <w:tc>
          <w:tcPr>
            <w:tcW w:w="580" w:type="dxa"/>
            <w:vAlign w:val="bottom"/>
            <w:tcBorders>
              <w:right w:val="single" w:sz="8" w:color="2360A6"/>
            </w:tcBorders>
          </w:tcPr>
          <w:p>
            <w:pPr>
              <w:jc w:val="right"/>
              <w:ind w:right="106"/>
              <w:spacing w:after="0"/>
              <w:rPr>
                <w:sz w:val="20"/>
                <w:szCs w:val="20"/>
                <w:color w:val="auto"/>
              </w:rPr>
            </w:pPr>
            <w:r>
              <w:rPr>
                <w:rFonts w:ascii="Arial" w:cs="Arial" w:eastAsia="Arial" w:hAnsi="Arial"/>
                <w:sz w:val="11"/>
                <w:szCs w:val="11"/>
                <w:b w:val="1"/>
                <w:bCs w:val="1"/>
                <w:color w:val="2360A6"/>
              </w:rPr>
              <w:t>2008</w:t>
            </w:r>
          </w:p>
        </w:tc>
        <w:tc>
          <w:tcPr>
            <w:tcW w:w="580" w:type="dxa"/>
            <w:vAlign w:val="bottom"/>
            <w:tcBorders>
              <w:right w:val="single" w:sz="8" w:color="2360A6"/>
            </w:tcBorders>
          </w:tcPr>
          <w:p>
            <w:pPr>
              <w:jc w:val="right"/>
              <w:ind w:right="106"/>
              <w:spacing w:after="0"/>
              <w:rPr>
                <w:sz w:val="20"/>
                <w:szCs w:val="20"/>
                <w:color w:val="auto"/>
              </w:rPr>
            </w:pPr>
            <w:r>
              <w:rPr>
                <w:rFonts w:ascii="Arial" w:cs="Arial" w:eastAsia="Arial" w:hAnsi="Arial"/>
                <w:sz w:val="11"/>
                <w:szCs w:val="11"/>
                <w:b w:val="1"/>
                <w:bCs w:val="1"/>
                <w:color w:val="2360A6"/>
              </w:rPr>
              <w:t>2009</w:t>
            </w:r>
          </w:p>
        </w:tc>
        <w:tc>
          <w:tcPr>
            <w:tcW w:w="580" w:type="dxa"/>
            <w:vAlign w:val="bottom"/>
          </w:tcPr>
          <w:p>
            <w:pPr>
              <w:spacing w:after="0"/>
              <w:rPr>
                <w:sz w:val="12"/>
                <w:szCs w:val="12"/>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b w:val="1"/>
                <w:bCs w:val="1"/>
                <w:color w:val="2360A6"/>
              </w:rPr>
              <w:t>2010</w:t>
            </w:r>
          </w:p>
        </w:tc>
        <w:tc>
          <w:tcPr>
            <w:tcW w:w="680" w:type="dxa"/>
            <w:vAlign w:val="bottom"/>
            <w:tcBorders>
              <w:right w:val="single" w:sz="8" w:color="2360A6"/>
            </w:tcBorders>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b w:val="1"/>
                <w:bCs w:val="1"/>
                <w:color w:val="2360A6"/>
              </w:rPr>
              <w:t>2011</w:t>
            </w:r>
          </w:p>
        </w:tc>
        <w:tc>
          <w:tcPr>
            <w:tcW w:w="680" w:type="dxa"/>
            <w:vAlign w:val="bottom"/>
            <w:tcBorders>
              <w:right w:val="single" w:sz="8" w:color="2360A6"/>
            </w:tcBorders>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2360A6"/>
              </w:rPr>
              <w:t>2012</w:t>
            </w:r>
          </w:p>
        </w:tc>
        <w:tc>
          <w:tcPr>
            <w:tcW w:w="420" w:type="dxa"/>
            <w:vAlign w:val="bottom"/>
            <w:tcBorders>
              <w:right w:val="single" w:sz="8" w:color="2360A6"/>
            </w:tcBorders>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Borders>
              <w:right w:val="single" w:sz="8" w:color="2360A6"/>
            </w:tcBorders>
            <w:gridSpan w:val="2"/>
          </w:tcPr>
          <w:p>
            <w:pPr>
              <w:jc w:val="right"/>
              <w:ind w:right="426"/>
              <w:spacing w:after="0"/>
              <w:rPr>
                <w:sz w:val="20"/>
                <w:szCs w:val="20"/>
                <w:color w:val="auto"/>
              </w:rPr>
            </w:pPr>
            <w:r>
              <w:rPr>
                <w:rFonts w:ascii="Arial" w:cs="Arial" w:eastAsia="Arial" w:hAnsi="Arial"/>
                <w:sz w:val="11"/>
                <w:szCs w:val="11"/>
                <w:b w:val="1"/>
                <w:bCs w:val="1"/>
                <w:color w:val="2360A6"/>
                <w:w w:val="89"/>
              </w:rPr>
              <w:t>2013</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w w:val="98"/>
              </w:rPr>
              <w:t>Plan 2015</w:t>
            </w:r>
          </w:p>
        </w:tc>
        <w:tc>
          <w:tcPr>
            <w:tcW w:w="680" w:type="dxa"/>
            <w:vAlign w:val="bottom"/>
            <w:tcBorders>
              <w:right w:val="single" w:sz="8" w:color="2360A6"/>
            </w:tcBorders>
            <w:shd w:val="clear" w:color="auto" w:fill="2360A6"/>
          </w:tcPr>
          <w:p>
            <w:pPr>
              <w:jc w:val="right"/>
              <w:ind w:right="46"/>
              <w:spacing w:after="0"/>
              <w:rPr>
                <w:sz w:val="20"/>
                <w:szCs w:val="20"/>
                <w:color w:val="auto"/>
              </w:rPr>
            </w:pPr>
            <w:r>
              <w:rPr>
                <w:rFonts w:ascii="Arial" w:cs="Arial" w:eastAsia="Arial" w:hAnsi="Arial"/>
                <w:sz w:val="11"/>
                <w:szCs w:val="11"/>
                <w:b w:val="1"/>
                <w:bCs w:val="1"/>
                <w:color w:val="FFFFFF"/>
              </w:rPr>
              <w:t>Plan 2016</w:t>
            </w:r>
          </w:p>
        </w:tc>
        <w:tc>
          <w:tcPr>
            <w:tcW w:w="0" w:type="dxa"/>
            <w:vAlign w:val="bottom"/>
          </w:tcPr>
          <w:p>
            <w:pPr>
              <w:spacing w:after="0"/>
              <w:rPr>
                <w:sz w:val="1"/>
                <w:szCs w:val="1"/>
                <w:color w:val="auto"/>
              </w:rPr>
            </w:pPr>
          </w:p>
        </w:tc>
      </w:tr>
      <w:tr>
        <w:trPr>
          <w:trHeight w:val="22"/>
        </w:trPr>
        <w:tc>
          <w:tcPr>
            <w:tcW w:w="500" w:type="dxa"/>
            <w:vAlign w:val="bottom"/>
          </w:tcPr>
          <w:p>
            <w:pPr>
              <w:spacing w:after="0" w:line="20" w:lineRule="exact"/>
              <w:rPr>
                <w:sz w:val="1"/>
                <w:szCs w:val="1"/>
                <w:color w:val="auto"/>
              </w:rPr>
            </w:pPr>
          </w:p>
        </w:tc>
        <w:tc>
          <w:tcPr>
            <w:tcW w:w="220" w:type="dxa"/>
            <w:vAlign w:val="bottom"/>
            <w:tcBorders>
              <w:right w:val="single" w:sz="8" w:color="2360A6"/>
            </w:tcBorders>
          </w:tcPr>
          <w:p>
            <w:pPr>
              <w:spacing w:after="0" w:line="20" w:lineRule="exact"/>
              <w:rPr>
                <w:sz w:val="1"/>
                <w:szCs w:val="1"/>
                <w:color w:val="auto"/>
              </w:rPr>
            </w:pPr>
          </w:p>
        </w:tc>
        <w:tc>
          <w:tcPr>
            <w:tcW w:w="580" w:type="dxa"/>
            <w:vAlign w:val="bottom"/>
            <w:tcBorders>
              <w:bottom w:val="single" w:sz="8" w:color="2360A6"/>
            </w:tcBorders>
          </w:tcPr>
          <w:p>
            <w:pPr>
              <w:spacing w:after="0" w:line="20" w:lineRule="exact"/>
              <w:rPr>
                <w:sz w:val="1"/>
                <w:szCs w:val="1"/>
                <w:color w:val="auto"/>
              </w:rPr>
            </w:pPr>
          </w:p>
        </w:tc>
        <w:tc>
          <w:tcPr>
            <w:tcW w:w="680" w:type="dxa"/>
            <w:vAlign w:val="bottom"/>
            <w:tcBorders>
              <w:bottom w:val="single" w:sz="8" w:color="2360A6"/>
            </w:tcBorders>
          </w:tcPr>
          <w:p>
            <w:pPr>
              <w:spacing w:after="0" w:line="20" w:lineRule="exact"/>
              <w:rPr>
                <w:sz w:val="1"/>
                <w:szCs w:val="1"/>
                <w:color w:val="auto"/>
              </w:rPr>
            </w:pPr>
          </w:p>
        </w:tc>
        <w:tc>
          <w:tcPr>
            <w:tcW w:w="820" w:type="dxa"/>
            <w:vAlign w:val="bottom"/>
            <w:tcBorders>
              <w:bottom w:val="single" w:sz="8" w:color="2360A6"/>
              <w:right w:val="single" w:sz="8" w:color="2360A6"/>
            </w:tcBorders>
          </w:tcPr>
          <w:p>
            <w:pPr>
              <w:spacing w:after="0" w:line="20" w:lineRule="exact"/>
              <w:rPr>
                <w:sz w:val="1"/>
                <w:szCs w:val="1"/>
                <w:color w:val="auto"/>
              </w:rPr>
            </w:pPr>
          </w:p>
        </w:tc>
        <w:tc>
          <w:tcPr>
            <w:tcW w:w="580" w:type="dxa"/>
            <w:vAlign w:val="bottom"/>
            <w:tcBorders>
              <w:bottom w:val="single" w:sz="8" w:color="2360A6"/>
              <w:right w:val="single" w:sz="8" w:color="2360A6"/>
            </w:tcBorders>
          </w:tcPr>
          <w:p>
            <w:pPr>
              <w:spacing w:after="0" w:line="20" w:lineRule="exact"/>
              <w:rPr>
                <w:sz w:val="1"/>
                <w:szCs w:val="1"/>
                <w:color w:val="auto"/>
              </w:rPr>
            </w:pPr>
          </w:p>
        </w:tc>
        <w:tc>
          <w:tcPr>
            <w:tcW w:w="580" w:type="dxa"/>
            <w:vAlign w:val="bottom"/>
            <w:tcBorders>
              <w:bottom w:val="single" w:sz="8" w:color="2360A6"/>
              <w:right w:val="single" w:sz="8" w:color="2360A6"/>
            </w:tcBorders>
          </w:tcPr>
          <w:p>
            <w:pPr>
              <w:spacing w:after="0" w:line="20" w:lineRule="exact"/>
              <w:rPr>
                <w:sz w:val="1"/>
                <w:szCs w:val="1"/>
                <w:color w:val="auto"/>
              </w:rPr>
            </w:pPr>
          </w:p>
        </w:tc>
        <w:tc>
          <w:tcPr>
            <w:tcW w:w="580" w:type="dxa"/>
            <w:vAlign w:val="bottom"/>
            <w:tcBorders>
              <w:bottom w:val="single" w:sz="8" w:color="2360A6"/>
            </w:tcBorders>
          </w:tcPr>
          <w:p>
            <w:pPr>
              <w:spacing w:after="0" w:line="20" w:lineRule="exact"/>
              <w:rPr>
                <w:sz w:val="1"/>
                <w:szCs w:val="1"/>
                <w:color w:val="auto"/>
              </w:rPr>
            </w:pPr>
          </w:p>
        </w:tc>
        <w:tc>
          <w:tcPr>
            <w:tcW w:w="580" w:type="dxa"/>
            <w:vAlign w:val="bottom"/>
            <w:tcBorders>
              <w:bottom w:val="single" w:sz="8" w:color="2360A6"/>
            </w:tcBorders>
          </w:tcPr>
          <w:p>
            <w:pPr>
              <w:spacing w:after="0" w:line="20" w:lineRule="exact"/>
              <w:rPr>
                <w:sz w:val="1"/>
                <w:szCs w:val="1"/>
                <w:color w:val="auto"/>
              </w:rPr>
            </w:pPr>
          </w:p>
        </w:tc>
        <w:tc>
          <w:tcPr>
            <w:tcW w:w="680" w:type="dxa"/>
            <w:vAlign w:val="bottom"/>
            <w:tcBorders>
              <w:bottom w:val="single" w:sz="8" w:color="2360A6"/>
              <w:right w:val="single" w:sz="8" w:color="2360A6"/>
            </w:tcBorders>
          </w:tcPr>
          <w:p>
            <w:pPr>
              <w:spacing w:after="0" w:line="20" w:lineRule="exact"/>
              <w:rPr>
                <w:sz w:val="1"/>
                <w:szCs w:val="1"/>
                <w:color w:val="auto"/>
              </w:rPr>
            </w:pPr>
          </w:p>
        </w:tc>
        <w:tc>
          <w:tcPr>
            <w:tcW w:w="680" w:type="dxa"/>
            <w:vAlign w:val="bottom"/>
            <w:tcBorders>
              <w:bottom w:val="single" w:sz="8" w:color="2360A6"/>
            </w:tcBorders>
          </w:tcPr>
          <w:p>
            <w:pPr>
              <w:spacing w:after="0" w:line="20" w:lineRule="exact"/>
              <w:rPr>
                <w:sz w:val="1"/>
                <w:szCs w:val="1"/>
                <w:color w:val="auto"/>
              </w:rPr>
            </w:pPr>
          </w:p>
        </w:tc>
        <w:tc>
          <w:tcPr>
            <w:tcW w:w="560" w:type="dxa"/>
            <w:vAlign w:val="bottom"/>
            <w:tcBorders>
              <w:bottom w:val="single" w:sz="8" w:color="2360A6"/>
            </w:tcBorders>
          </w:tcPr>
          <w:p>
            <w:pPr>
              <w:spacing w:after="0" w:line="20" w:lineRule="exact"/>
              <w:rPr>
                <w:sz w:val="1"/>
                <w:szCs w:val="1"/>
                <w:color w:val="auto"/>
              </w:rPr>
            </w:pPr>
          </w:p>
        </w:tc>
        <w:tc>
          <w:tcPr>
            <w:tcW w:w="680" w:type="dxa"/>
            <w:vAlign w:val="bottom"/>
            <w:tcBorders>
              <w:bottom w:val="single" w:sz="8" w:color="2360A6"/>
              <w:right w:val="single" w:sz="8" w:color="2360A6"/>
            </w:tcBorders>
          </w:tcPr>
          <w:p>
            <w:pPr>
              <w:spacing w:after="0" w:line="20" w:lineRule="exact"/>
              <w:rPr>
                <w:sz w:val="1"/>
                <w:szCs w:val="1"/>
                <w:color w:val="auto"/>
              </w:rPr>
            </w:pPr>
          </w:p>
        </w:tc>
        <w:tc>
          <w:tcPr>
            <w:tcW w:w="660" w:type="dxa"/>
            <w:vAlign w:val="bottom"/>
            <w:tcBorders>
              <w:bottom w:val="single" w:sz="8" w:color="2360A6"/>
            </w:tcBorders>
          </w:tcPr>
          <w:p>
            <w:pPr>
              <w:spacing w:after="0" w:line="20" w:lineRule="exact"/>
              <w:rPr>
                <w:sz w:val="1"/>
                <w:szCs w:val="1"/>
                <w:color w:val="auto"/>
              </w:rPr>
            </w:pPr>
          </w:p>
        </w:tc>
        <w:tc>
          <w:tcPr>
            <w:tcW w:w="160" w:type="dxa"/>
            <w:vAlign w:val="bottom"/>
            <w:tcBorders>
              <w:bottom w:val="single" w:sz="8" w:color="2360A6"/>
            </w:tcBorders>
          </w:tcPr>
          <w:p>
            <w:pPr>
              <w:spacing w:after="0" w:line="20" w:lineRule="exact"/>
              <w:rPr>
                <w:sz w:val="1"/>
                <w:szCs w:val="1"/>
                <w:color w:val="auto"/>
              </w:rPr>
            </w:pPr>
          </w:p>
        </w:tc>
        <w:tc>
          <w:tcPr>
            <w:tcW w:w="420" w:type="dxa"/>
            <w:vAlign w:val="bottom"/>
            <w:tcBorders>
              <w:bottom w:val="single" w:sz="8" w:color="2360A6"/>
              <w:right w:val="single" w:sz="8" w:color="2360A6"/>
            </w:tcBorders>
          </w:tcPr>
          <w:p>
            <w:pPr>
              <w:spacing w:after="0" w:line="20" w:lineRule="exact"/>
              <w:rPr>
                <w:sz w:val="1"/>
                <w:szCs w:val="1"/>
                <w:color w:val="auto"/>
              </w:rPr>
            </w:pPr>
          </w:p>
        </w:tc>
        <w:tc>
          <w:tcPr>
            <w:tcW w:w="520" w:type="dxa"/>
            <w:vAlign w:val="bottom"/>
            <w:tcBorders>
              <w:bottom w:val="single" w:sz="8" w:color="2360A6"/>
            </w:tcBorders>
          </w:tcPr>
          <w:p>
            <w:pPr>
              <w:spacing w:after="0" w:line="20" w:lineRule="exact"/>
              <w:rPr>
                <w:sz w:val="1"/>
                <w:szCs w:val="1"/>
                <w:color w:val="auto"/>
              </w:rPr>
            </w:pPr>
          </w:p>
        </w:tc>
        <w:tc>
          <w:tcPr>
            <w:tcW w:w="40" w:type="dxa"/>
            <w:vAlign w:val="bottom"/>
            <w:tcBorders>
              <w:bottom w:val="single" w:sz="8" w:color="2360A6"/>
            </w:tcBorders>
          </w:tcPr>
          <w:p>
            <w:pPr>
              <w:spacing w:after="0" w:line="20" w:lineRule="exact"/>
              <w:rPr>
                <w:sz w:val="1"/>
                <w:szCs w:val="1"/>
                <w:color w:val="auto"/>
              </w:rPr>
            </w:pPr>
          </w:p>
        </w:tc>
        <w:tc>
          <w:tcPr>
            <w:tcW w:w="680" w:type="dxa"/>
            <w:vAlign w:val="bottom"/>
            <w:tcBorders>
              <w:bottom w:val="single" w:sz="8" w:color="2360A6"/>
              <w:right w:val="single" w:sz="8" w:color="2360A6"/>
            </w:tcBorders>
          </w:tcPr>
          <w:p>
            <w:pPr>
              <w:spacing w:after="0" w:line="20" w:lineRule="exact"/>
              <w:rPr>
                <w:sz w:val="1"/>
                <w:szCs w:val="1"/>
                <w:color w:val="auto"/>
              </w:rPr>
            </w:pPr>
          </w:p>
        </w:tc>
        <w:tc>
          <w:tcPr>
            <w:tcW w:w="560" w:type="dxa"/>
            <w:vAlign w:val="bottom"/>
            <w:tcBorders>
              <w:bottom w:val="single" w:sz="8" w:color="2360A6"/>
              <w:right w:val="single" w:sz="8" w:color="2360A6"/>
            </w:tcBorders>
          </w:tcPr>
          <w:p>
            <w:pPr>
              <w:spacing w:after="0" w:line="20" w:lineRule="exact"/>
              <w:rPr>
                <w:sz w:val="1"/>
                <w:szCs w:val="1"/>
                <w:color w:val="auto"/>
              </w:rPr>
            </w:pPr>
          </w:p>
        </w:tc>
        <w:tc>
          <w:tcPr>
            <w:tcW w:w="680" w:type="dxa"/>
            <w:vAlign w:val="bottom"/>
            <w:tcBorders>
              <w:bottom w:val="single" w:sz="8" w:color="2360A6"/>
              <w:right w:val="single" w:sz="8" w:color="2360A6"/>
            </w:tcBorders>
            <w:shd w:val="clear" w:color="auto" w:fill="2360A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00" w:type="dxa"/>
            <w:vAlign w:val="bottom"/>
          </w:tcPr>
          <w:p>
            <w:pPr>
              <w:spacing w:after="0"/>
              <w:rPr>
                <w:sz w:val="18"/>
                <w:szCs w:val="18"/>
                <w:color w:val="auto"/>
              </w:rPr>
            </w:pPr>
          </w:p>
        </w:tc>
        <w:tc>
          <w:tcPr>
            <w:tcW w:w="220" w:type="dxa"/>
            <w:vAlign w:val="bottom"/>
            <w:tcBorders>
              <w:right w:val="single" w:sz="8" w:color="2360A6"/>
            </w:tcBorders>
          </w:tcPr>
          <w:p>
            <w:pPr>
              <w:spacing w:after="0"/>
              <w:rPr>
                <w:sz w:val="18"/>
                <w:szCs w:val="18"/>
                <w:color w:val="auto"/>
              </w:rPr>
            </w:pPr>
          </w:p>
        </w:tc>
        <w:tc>
          <w:tcPr>
            <w:tcW w:w="580" w:type="dxa"/>
            <w:vAlign w:val="bottom"/>
            <w:tcBorders>
              <w:right w:val="single" w:sz="8" w:color="2360A6"/>
            </w:tcBorders>
          </w:tcPr>
          <w:p>
            <w:pPr>
              <w:spacing w:after="0"/>
              <w:rPr>
                <w:sz w:val="18"/>
                <w:szCs w:val="18"/>
                <w:color w:val="auto"/>
              </w:rPr>
            </w:pP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Parts 1 and</w:t>
            </w:r>
          </w:p>
        </w:tc>
        <w:tc>
          <w:tcPr>
            <w:tcW w:w="8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b w:val="1"/>
                <w:bCs w:val="1"/>
                <w:color w:val="2360A6"/>
              </w:rPr>
              <w:t>Parts</w:t>
            </w:r>
          </w:p>
        </w:tc>
        <w:tc>
          <w:tcPr>
            <w:tcW w:w="580" w:type="dxa"/>
            <w:vAlign w:val="bottom"/>
            <w:tcBorders>
              <w:right w:val="single" w:sz="8" w:color="2360A6"/>
            </w:tcBorders>
          </w:tcPr>
          <w:p>
            <w:pPr>
              <w:spacing w:after="0"/>
              <w:rPr>
                <w:sz w:val="18"/>
                <w:szCs w:val="18"/>
                <w:color w:val="auto"/>
              </w:rPr>
            </w:pPr>
          </w:p>
        </w:tc>
        <w:tc>
          <w:tcPr>
            <w:tcW w:w="580" w:type="dxa"/>
            <w:vAlign w:val="bottom"/>
            <w:tcBorders>
              <w:right w:val="single" w:sz="8" w:color="2360A6"/>
            </w:tcBorders>
          </w:tcPr>
          <w:p>
            <w:pPr>
              <w:spacing w:after="0"/>
              <w:rPr>
                <w:sz w:val="18"/>
                <w:szCs w:val="18"/>
                <w:color w:val="auto"/>
              </w:rPr>
            </w:pPr>
          </w:p>
        </w:tc>
        <w:tc>
          <w:tcPr>
            <w:tcW w:w="580" w:type="dxa"/>
            <w:vAlign w:val="bottom"/>
            <w:tcBorders>
              <w:right w:val="single" w:sz="8" w:color="2360A6"/>
            </w:tcBorders>
          </w:tcPr>
          <w:p>
            <w:pPr>
              <w:spacing w:after="0"/>
              <w:rPr>
                <w:sz w:val="18"/>
                <w:szCs w:val="18"/>
                <w:color w:val="auto"/>
              </w:rPr>
            </w:pPr>
          </w:p>
        </w:tc>
        <w:tc>
          <w:tcPr>
            <w:tcW w:w="580" w:type="dxa"/>
            <w:vAlign w:val="bottom"/>
            <w:tcBorders>
              <w:right w:val="single" w:sz="8" w:color="2360A6"/>
            </w:tcBorders>
          </w:tcPr>
          <w:p>
            <w:pPr>
              <w:spacing w:after="0"/>
              <w:rPr>
                <w:sz w:val="18"/>
                <w:szCs w:val="18"/>
                <w:color w:val="auto"/>
              </w:rPr>
            </w:pPr>
          </w:p>
        </w:tc>
        <w:tc>
          <w:tcPr>
            <w:tcW w:w="680" w:type="dxa"/>
            <w:vAlign w:val="bottom"/>
            <w:tcBorders>
              <w:right w:val="single" w:sz="8" w:color="2360A6"/>
            </w:tcBorders>
          </w:tcPr>
          <w:p>
            <w:pPr>
              <w:spacing w:after="0"/>
              <w:rPr>
                <w:sz w:val="18"/>
                <w:szCs w:val="18"/>
                <w:color w:val="auto"/>
              </w:rPr>
            </w:pPr>
          </w:p>
        </w:tc>
        <w:tc>
          <w:tcPr>
            <w:tcW w:w="680" w:type="dxa"/>
            <w:vAlign w:val="bottom"/>
            <w:tcBorders>
              <w:right w:val="single" w:sz="8" w:color="2360A6"/>
            </w:tcBorders>
          </w:tcPr>
          <w:p>
            <w:pPr>
              <w:spacing w:after="0"/>
              <w:rPr>
                <w:sz w:val="18"/>
                <w:szCs w:val="18"/>
                <w:color w:val="auto"/>
              </w:rPr>
            </w:pPr>
          </w:p>
        </w:tc>
        <w:tc>
          <w:tcPr>
            <w:tcW w:w="560" w:type="dxa"/>
            <w:vAlign w:val="bottom"/>
            <w:tcBorders>
              <w:right w:val="single" w:sz="8" w:color="2360A6"/>
            </w:tcBorders>
          </w:tcPr>
          <w:p>
            <w:pPr>
              <w:spacing w:after="0"/>
              <w:rPr>
                <w:sz w:val="18"/>
                <w:szCs w:val="18"/>
                <w:color w:val="auto"/>
              </w:rPr>
            </w:pPr>
          </w:p>
        </w:tc>
        <w:tc>
          <w:tcPr>
            <w:tcW w:w="680" w:type="dxa"/>
            <w:vAlign w:val="bottom"/>
            <w:tcBorders>
              <w:right w:val="single" w:sz="8" w:color="2360A6"/>
            </w:tcBorders>
          </w:tcPr>
          <w:p>
            <w:pPr>
              <w:spacing w:after="0"/>
              <w:rPr>
                <w:sz w:val="18"/>
                <w:szCs w:val="18"/>
                <w:color w:val="auto"/>
              </w:rPr>
            </w:pPr>
          </w:p>
        </w:tc>
        <w:tc>
          <w:tcPr>
            <w:tcW w:w="660" w:type="dxa"/>
            <w:vAlign w:val="bottom"/>
            <w:tcBorders>
              <w:right w:val="single" w:sz="8" w:color="2360A6"/>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right w:val="single" w:sz="8" w:color="2360A6"/>
            </w:tcBorders>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Borders>
              <w:right w:val="single" w:sz="8" w:color="2360A6"/>
            </w:tcBorders>
          </w:tcPr>
          <w:p>
            <w:pPr>
              <w:spacing w:after="0"/>
              <w:rPr>
                <w:sz w:val="18"/>
                <w:szCs w:val="18"/>
                <w:color w:val="auto"/>
              </w:rPr>
            </w:pPr>
          </w:p>
        </w:tc>
        <w:tc>
          <w:tcPr>
            <w:tcW w:w="680" w:type="dxa"/>
            <w:vAlign w:val="bottom"/>
            <w:tcBorders>
              <w:right w:val="single" w:sz="8" w:color="2360A6"/>
            </w:tcBorders>
          </w:tcPr>
          <w:p>
            <w:pPr>
              <w:spacing w:after="0"/>
              <w:rPr>
                <w:sz w:val="18"/>
                <w:szCs w:val="18"/>
                <w:color w:val="auto"/>
              </w:rPr>
            </w:pPr>
          </w:p>
        </w:tc>
        <w:tc>
          <w:tcPr>
            <w:tcW w:w="560" w:type="dxa"/>
            <w:vAlign w:val="bottom"/>
            <w:tcBorders>
              <w:right w:val="single" w:sz="8" w:color="2360A6"/>
            </w:tcBorders>
          </w:tcPr>
          <w:p>
            <w:pPr>
              <w:spacing w:after="0"/>
              <w:rPr>
                <w:sz w:val="18"/>
                <w:szCs w:val="18"/>
                <w:color w:val="auto"/>
              </w:rPr>
            </w:pPr>
          </w:p>
        </w:tc>
        <w:tc>
          <w:tcPr>
            <w:tcW w:w="680" w:type="dxa"/>
            <w:vAlign w:val="bottom"/>
            <w:tcBorders>
              <w:right w:val="single" w:sz="8" w:color="2360A6"/>
            </w:tcBorders>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00" w:type="dxa"/>
            <w:vAlign w:val="bottom"/>
          </w:tcPr>
          <w:p>
            <w:pPr>
              <w:spacing w:after="0"/>
              <w:rPr>
                <w:sz w:val="10"/>
                <w:szCs w:val="10"/>
                <w:color w:val="auto"/>
              </w:rPr>
            </w:pPr>
          </w:p>
        </w:tc>
        <w:tc>
          <w:tcPr>
            <w:tcW w:w="22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jc w:val="right"/>
              <w:spacing w:after="0" w:line="122" w:lineRule="exact"/>
              <w:rPr>
                <w:sz w:val="20"/>
                <w:szCs w:val="20"/>
                <w:color w:val="auto"/>
              </w:rPr>
            </w:pPr>
            <w:r>
              <w:rPr>
                <w:rFonts w:ascii="Arial" w:cs="Arial" w:eastAsia="Arial" w:hAnsi="Arial"/>
                <w:sz w:val="11"/>
                <w:szCs w:val="11"/>
                <w:b w:val="1"/>
                <w:bCs w:val="1"/>
                <w:color w:val="2360A6"/>
              </w:rPr>
              <w:t>2</w:t>
            </w:r>
          </w:p>
        </w:tc>
        <w:tc>
          <w:tcPr>
            <w:tcW w:w="820" w:type="dxa"/>
            <w:vAlign w:val="bottom"/>
            <w:tcBorders>
              <w:right w:val="single" w:sz="8" w:color="2360A6"/>
            </w:tcBorders>
          </w:tcPr>
          <w:p>
            <w:pPr>
              <w:jc w:val="right"/>
              <w:ind w:right="6"/>
              <w:spacing w:after="0" w:line="122" w:lineRule="exact"/>
              <w:rPr>
                <w:sz w:val="20"/>
                <w:szCs w:val="20"/>
                <w:color w:val="auto"/>
              </w:rPr>
            </w:pPr>
            <w:r>
              <w:rPr>
                <w:rFonts w:ascii="Arial" w:cs="Arial" w:eastAsia="Arial" w:hAnsi="Arial"/>
                <w:sz w:val="11"/>
                <w:szCs w:val="11"/>
                <w:b w:val="1"/>
                <w:bCs w:val="1"/>
                <w:color w:val="2360A6"/>
              </w:rPr>
              <w:t>1, 2 and 3</w:t>
            </w: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660" w:type="dxa"/>
            <w:vAlign w:val="bottom"/>
            <w:tcBorders>
              <w:right w:val="single" w:sz="8" w:color="2360A6"/>
            </w:tcBorders>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right w:val="single" w:sz="8" w:color="2360A6"/>
            </w:tcBorders>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jc w:val="right"/>
              <w:spacing w:after="0" w:line="122" w:lineRule="exact"/>
              <w:rPr>
                <w:sz w:val="20"/>
                <w:szCs w:val="20"/>
                <w:color w:val="auto"/>
              </w:rPr>
            </w:pPr>
            <w:r>
              <w:rPr>
                <w:rFonts w:ascii="Arial" w:cs="Arial" w:eastAsia="Arial" w:hAnsi="Arial"/>
                <w:sz w:val="11"/>
                <w:szCs w:val="11"/>
                <w:b w:val="1"/>
                <w:bCs w:val="1"/>
                <w:color w:val="2360A6"/>
              </w:rPr>
              <w:t>Part 1</w:t>
            </w:r>
          </w:p>
        </w:tc>
        <w:tc>
          <w:tcPr>
            <w:tcW w:w="56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500" w:type="dxa"/>
            <w:vAlign w:val="bottom"/>
          </w:tcPr>
          <w:p>
            <w:pPr>
              <w:spacing w:after="0"/>
              <w:rPr>
                <w:sz w:val="14"/>
                <w:szCs w:val="14"/>
                <w:color w:val="auto"/>
              </w:rPr>
            </w:pPr>
          </w:p>
        </w:tc>
        <w:tc>
          <w:tcPr>
            <w:tcW w:w="220" w:type="dxa"/>
            <w:vAlign w:val="bottom"/>
            <w:tcBorders>
              <w:right w:val="single" w:sz="8" w:color="2360A6"/>
            </w:tcBorders>
          </w:tcPr>
          <w:p>
            <w:pPr>
              <w:spacing w:after="0"/>
              <w:rPr>
                <w:sz w:val="14"/>
                <w:szCs w:val="14"/>
                <w:color w:val="auto"/>
              </w:rPr>
            </w:pP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Part 3</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Re- granted</w:t>
            </w:r>
          </w:p>
        </w:tc>
        <w:tc>
          <w:tcPr>
            <w:tcW w:w="8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b w:val="1"/>
                <w:bCs w:val="1"/>
                <w:color w:val="2360A6"/>
              </w:rPr>
              <w:t>Re- granted</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Part 1</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Part 1</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Part 1</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Part 2</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b w:val="1"/>
                <w:bCs w:val="1"/>
                <w:color w:val="2360A6"/>
              </w:rPr>
              <w:t>Part 3</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b w:val="1"/>
                <w:bCs w:val="1"/>
                <w:color w:val="2360A6"/>
              </w:rPr>
              <w:t>Part 1</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Part 2</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b w:val="1"/>
                <w:bCs w:val="1"/>
                <w:color w:val="2360A6"/>
              </w:rPr>
              <w:t>Part 3</w:t>
            </w:r>
          </w:p>
        </w:tc>
        <w:tc>
          <w:tcPr>
            <w:tcW w:w="66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Part 1</w:t>
            </w:r>
          </w:p>
        </w:tc>
        <w:tc>
          <w:tcPr>
            <w:tcW w:w="160" w:type="dxa"/>
            <w:vAlign w:val="bottom"/>
          </w:tcPr>
          <w:p>
            <w:pPr>
              <w:spacing w:after="0"/>
              <w:rPr>
                <w:sz w:val="14"/>
                <w:szCs w:val="14"/>
                <w:color w:val="auto"/>
              </w:rPr>
            </w:pPr>
          </w:p>
        </w:tc>
        <w:tc>
          <w:tcPr>
            <w:tcW w:w="4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b w:val="1"/>
                <w:bCs w:val="1"/>
                <w:color w:val="2360A6"/>
              </w:rPr>
              <w:t>Part 2</w:t>
            </w:r>
          </w:p>
        </w:tc>
        <w:tc>
          <w:tcPr>
            <w:tcW w:w="520" w:type="dxa"/>
            <w:vAlign w:val="bottom"/>
          </w:tcPr>
          <w:p>
            <w:pPr>
              <w:jc w:val="right"/>
              <w:spacing w:after="0"/>
              <w:rPr>
                <w:sz w:val="20"/>
                <w:szCs w:val="20"/>
                <w:color w:val="auto"/>
              </w:rPr>
            </w:pPr>
            <w:r>
              <w:rPr>
                <w:rFonts w:ascii="Arial" w:cs="Arial" w:eastAsia="Arial" w:hAnsi="Arial"/>
                <w:sz w:val="11"/>
                <w:szCs w:val="11"/>
                <w:b w:val="1"/>
                <w:bCs w:val="1"/>
                <w:color w:val="2360A6"/>
              </w:rPr>
              <w:t>Part 1</w:t>
            </w:r>
          </w:p>
        </w:tc>
        <w:tc>
          <w:tcPr>
            <w:tcW w:w="40" w:type="dxa"/>
            <w:vAlign w:val="bottom"/>
            <w:tcBorders>
              <w:right w:val="single" w:sz="8" w:color="2360A6"/>
            </w:tcBorders>
          </w:tcPr>
          <w:p>
            <w:pPr>
              <w:spacing w:after="0"/>
              <w:rPr>
                <w:sz w:val="14"/>
                <w:szCs w:val="14"/>
                <w:color w:val="auto"/>
              </w:rPr>
            </w:pP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Re- granted</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Part 1</w:t>
            </w:r>
          </w:p>
        </w:tc>
        <w:tc>
          <w:tcPr>
            <w:tcW w:w="680" w:type="dxa"/>
            <w:vAlign w:val="bottom"/>
            <w:tcBorders>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1"/>
                <w:szCs w:val="11"/>
                <w:b w:val="1"/>
                <w:bCs w:val="1"/>
                <w:color w:val="2360A6"/>
              </w:rPr>
              <w:t>Part 1</w:t>
            </w:r>
          </w:p>
        </w:tc>
        <w:tc>
          <w:tcPr>
            <w:tcW w:w="0" w:type="dxa"/>
            <w:vAlign w:val="bottom"/>
          </w:tcPr>
          <w:p>
            <w:pPr>
              <w:spacing w:after="0"/>
              <w:rPr>
                <w:sz w:val="1"/>
                <w:szCs w:val="1"/>
                <w:color w:val="auto"/>
              </w:rPr>
            </w:pPr>
          </w:p>
        </w:tc>
      </w:tr>
      <w:tr>
        <w:trPr>
          <w:trHeight w:val="193"/>
        </w:trPr>
        <w:tc>
          <w:tcPr>
            <w:tcW w:w="720" w:type="dxa"/>
            <w:vAlign w:val="bottom"/>
            <w:tcBorders>
              <w:top w:val="single" w:sz="8" w:color="2360A6"/>
              <w:right w:val="single" w:sz="8" w:color="2360A6"/>
            </w:tcBorders>
            <w:gridSpan w:val="2"/>
          </w:tcPr>
          <w:p>
            <w:pPr>
              <w:ind w:left="40"/>
              <w:spacing w:after="0"/>
              <w:rPr>
                <w:sz w:val="20"/>
                <w:szCs w:val="20"/>
                <w:color w:val="auto"/>
              </w:rPr>
            </w:pPr>
            <w:r>
              <w:rPr>
                <w:rFonts w:ascii="Arial" w:cs="Arial" w:eastAsia="Arial" w:hAnsi="Arial"/>
                <w:sz w:val="11"/>
                <w:szCs w:val="11"/>
                <w:color w:val="231F20"/>
              </w:rPr>
              <w:t>Share Price</w:t>
            </w:r>
          </w:p>
        </w:tc>
        <w:tc>
          <w:tcPr>
            <w:tcW w:w="580" w:type="dxa"/>
            <w:vAlign w:val="bottom"/>
            <w:tcBorders>
              <w:top w:val="single" w:sz="8" w:color="2360A6"/>
              <w:right w:val="single" w:sz="8" w:color="2360A6"/>
            </w:tcBorders>
          </w:tcPr>
          <w:p>
            <w:pPr>
              <w:spacing w:after="0"/>
              <w:rPr>
                <w:sz w:val="16"/>
                <w:szCs w:val="16"/>
                <w:color w:val="auto"/>
              </w:rPr>
            </w:pPr>
          </w:p>
        </w:tc>
        <w:tc>
          <w:tcPr>
            <w:tcW w:w="680" w:type="dxa"/>
            <w:vAlign w:val="bottom"/>
            <w:tcBorders>
              <w:top w:val="single" w:sz="8" w:color="2360A6"/>
              <w:right w:val="single" w:sz="8" w:color="2360A6"/>
            </w:tcBorders>
          </w:tcPr>
          <w:p>
            <w:pPr>
              <w:spacing w:after="0"/>
              <w:rPr>
                <w:sz w:val="16"/>
                <w:szCs w:val="16"/>
                <w:color w:val="auto"/>
              </w:rPr>
            </w:pPr>
          </w:p>
        </w:tc>
        <w:tc>
          <w:tcPr>
            <w:tcW w:w="820" w:type="dxa"/>
            <w:vAlign w:val="bottom"/>
            <w:tcBorders>
              <w:top w:val="single" w:sz="8" w:color="2360A6"/>
              <w:right w:val="single" w:sz="8" w:color="2360A6"/>
            </w:tcBorders>
          </w:tcPr>
          <w:p>
            <w:pPr>
              <w:spacing w:after="0"/>
              <w:rPr>
                <w:sz w:val="16"/>
                <w:szCs w:val="16"/>
                <w:color w:val="auto"/>
              </w:rPr>
            </w:pPr>
          </w:p>
        </w:tc>
        <w:tc>
          <w:tcPr>
            <w:tcW w:w="580" w:type="dxa"/>
            <w:vAlign w:val="bottom"/>
            <w:tcBorders>
              <w:top w:val="single" w:sz="8" w:color="2360A6"/>
              <w:right w:val="single" w:sz="8" w:color="2360A6"/>
            </w:tcBorders>
          </w:tcPr>
          <w:p>
            <w:pPr>
              <w:spacing w:after="0"/>
              <w:rPr>
                <w:sz w:val="16"/>
                <w:szCs w:val="16"/>
                <w:color w:val="auto"/>
              </w:rPr>
            </w:pPr>
          </w:p>
        </w:tc>
        <w:tc>
          <w:tcPr>
            <w:tcW w:w="580" w:type="dxa"/>
            <w:vAlign w:val="bottom"/>
            <w:tcBorders>
              <w:top w:val="single" w:sz="8" w:color="2360A6"/>
              <w:right w:val="single" w:sz="8" w:color="2360A6"/>
            </w:tcBorders>
          </w:tcPr>
          <w:p>
            <w:pPr>
              <w:spacing w:after="0"/>
              <w:rPr>
                <w:sz w:val="16"/>
                <w:szCs w:val="16"/>
                <w:color w:val="auto"/>
              </w:rPr>
            </w:pPr>
          </w:p>
        </w:tc>
        <w:tc>
          <w:tcPr>
            <w:tcW w:w="580" w:type="dxa"/>
            <w:vAlign w:val="bottom"/>
            <w:tcBorders>
              <w:top w:val="single" w:sz="8" w:color="2360A6"/>
              <w:right w:val="single" w:sz="8" w:color="2360A6"/>
            </w:tcBorders>
          </w:tcPr>
          <w:p>
            <w:pPr>
              <w:spacing w:after="0"/>
              <w:rPr>
                <w:sz w:val="16"/>
                <w:szCs w:val="16"/>
                <w:color w:val="auto"/>
              </w:rPr>
            </w:pPr>
          </w:p>
        </w:tc>
        <w:tc>
          <w:tcPr>
            <w:tcW w:w="580" w:type="dxa"/>
            <w:vAlign w:val="bottom"/>
            <w:tcBorders>
              <w:top w:val="single" w:sz="8" w:color="2360A6"/>
              <w:right w:val="single" w:sz="8" w:color="2360A6"/>
            </w:tcBorders>
          </w:tcPr>
          <w:p>
            <w:pPr>
              <w:spacing w:after="0"/>
              <w:rPr>
                <w:sz w:val="16"/>
                <w:szCs w:val="16"/>
                <w:color w:val="auto"/>
              </w:rPr>
            </w:pPr>
          </w:p>
        </w:tc>
        <w:tc>
          <w:tcPr>
            <w:tcW w:w="680" w:type="dxa"/>
            <w:vAlign w:val="bottom"/>
            <w:tcBorders>
              <w:top w:val="single" w:sz="8" w:color="2360A6"/>
              <w:right w:val="single" w:sz="8" w:color="2360A6"/>
            </w:tcBorders>
          </w:tcPr>
          <w:p>
            <w:pPr>
              <w:spacing w:after="0"/>
              <w:rPr>
                <w:sz w:val="16"/>
                <w:szCs w:val="16"/>
                <w:color w:val="auto"/>
              </w:rPr>
            </w:pPr>
          </w:p>
        </w:tc>
        <w:tc>
          <w:tcPr>
            <w:tcW w:w="680" w:type="dxa"/>
            <w:vAlign w:val="bottom"/>
            <w:tcBorders>
              <w:top w:val="single" w:sz="8" w:color="2360A6"/>
              <w:right w:val="single" w:sz="8" w:color="2360A6"/>
            </w:tcBorders>
          </w:tcPr>
          <w:p>
            <w:pPr>
              <w:spacing w:after="0"/>
              <w:rPr>
                <w:sz w:val="16"/>
                <w:szCs w:val="16"/>
                <w:color w:val="auto"/>
              </w:rPr>
            </w:pPr>
          </w:p>
        </w:tc>
        <w:tc>
          <w:tcPr>
            <w:tcW w:w="560" w:type="dxa"/>
            <w:vAlign w:val="bottom"/>
            <w:tcBorders>
              <w:top w:val="single" w:sz="8" w:color="2360A6"/>
              <w:right w:val="single" w:sz="8" w:color="2360A6"/>
            </w:tcBorders>
          </w:tcPr>
          <w:p>
            <w:pPr>
              <w:spacing w:after="0"/>
              <w:rPr>
                <w:sz w:val="16"/>
                <w:szCs w:val="16"/>
                <w:color w:val="auto"/>
              </w:rPr>
            </w:pPr>
          </w:p>
        </w:tc>
        <w:tc>
          <w:tcPr>
            <w:tcW w:w="680" w:type="dxa"/>
            <w:vAlign w:val="bottom"/>
            <w:tcBorders>
              <w:top w:val="single" w:sz="8" w:color="2360A6"/>
              <w:right w:val="single" w:sz="8" w:color="2360A6"/>
            </w:tcBorders>
          </w:tcPr>
          <w:p>
            <w:pPr>
              <w:spacing w:after="0"/>
              <w:rPr>
                <w:sz w:val="16"/>
                <w:szCs w:val="16"/>
                <w:color w:val="auto"/>
              </w:rPr>
            </w:pPr>
          </w:p>
        </w:tc>
        <w:tc>
          <w:tcPr>
            <w:tcW w:w="660" w:type="dxa"/>
            <w:vAlign w:val="bottom"/>
            <w:tcBorders>
              <w:top w:val="single" w:sz="8" w:color="2360A6"/>
              <w:right w:val="single" w:sz="8" w:color="2360A6"/>
            </w:tcBorders>
          </w:tcPr>
          <w:p>
            <w:pPr>
              <w:spacing w:after="0"/>
              <w:rPr>
                <w:sz w:val="16"/>
                <w:szCs w:val="16"/>
                <w:color w:val="auto"/>
              </w:rPr>
            </w:pPr>
          </w:p>
        </w:tc>
        <w:tc>
          <w:tcPr>
            <w:tcW w:w="160" w:type="dxa"/>
            <w:vAlign w:val="bottom"/>
            <w:tcBorders>
              <w:top w:val="single" w:sz="8" w:color="2360A6"/>
            </w:tcBorders>
          </w:tcPr>
          <w:p>
            <w:pPr>
              <w:spacing w:after="0"/>
              <w:rPr>
                <w:sz w:val="16"/>
                <w:szCs w:val="16"/>
                <w:color w:val="auto"/>
              </w:rPr>
            </w:pPr>
          </w:p>
        </w:tc>
        <w:tc>
          <w:tcPr>
            <w:tcW w:w="420" w:type="dxa"/>
            <w:vAlign w:val="bottom"/>
            <w:tcBorders>
              <w:top w:val="single" w:sz="8" w:color="2360A6"/>
              <w:right w:val="single" w:sz="8" w:color="2360A6"/>
            </w:tcBorders>
          </w:tcPr>
          <w:p>
            <w:pPr>
              <w:spacing w:after="0"/>
              <w:rPr>
                <w:sz w:val="16"/>
                <w:szCs w:val="16"/>
                <w:color w:val="auto"/>
              </w:rPr>
            </w:pPr>
          </w:p>
        </w:tc>
        <w:tc>
          <w:tcPr>
            <w:tcW w:w="520" w:type="dxa"/>
            <w:vAlign w:val="bottom"/>
            <w:tcBorders>
              <w:top w:val="single" w:sz="8" w:color="2360A6"/>
            </w:tcBorders>
          </w:tcPr>
          <w:p>
            <w:pPr>
              <w:spacing w:after="0"/>
              <w:rPr>
                <w:sz w:val="16"/>
                <w:szCs w:val="16"/>
                <w:color w:val="auto"/>
              </w:rPr>
            </w:pPr>
          </w:p>
        </w:tc>
        <w:tc>
          <w:tcPr>
            <w:tcW w:w="40" w:type="dxa"/>
            <w:vAlign w:val="bottom"/>
            <w:tcBorders>
              <w:top w:val="single" w:sz="8" w:color="2360A6"/>
              <w:right w:val="single" w:sz="8" w:color="2360A6"/>
            </w:tcBorders>
          </w:tcPr>
          <w:p>
            <w:pPr>
              <w:spacing w:after="0"/>
              <w:rPr>
                <w:sz w:val="16"/>
                <w:szCs w:val="16"/>
                <w:color w:val="auto"/>
              </w:rPr>
            </w:pPr>
          </w:p>
        </w:tc>
        <w:tc>
          <w:tcPr>
            <w:tcW w:w="680" w:type="dxa"/>
            <w:vAlign w:val="bottom"/>
            <w:tcBorders>
              <w:top w:val="single" w:sz="8" w:color="2360A6"/>
              <w:right w:val="single" w:sz="8" w:color="2360A6"/>
            </w:tcBorders>
          </w:tcPr>
          <w:p>
            <w:pPr>
              <w:spacing w:after="0"/>
              <w:rPr>
                <w:sz w:val="16"/>
                <w:szCs w:val="16"/>
                <w:color w:val="auto"/>
              </w:rPr>
            </w:pPr>
          </w:p>
        </w:tc>
        <w:tc>
          <w:tcPr>
            <w:tcW w:w="560" w:type="dxa"/>
            <w:vAlign w:val="bottom"/>
            <w:tcBorders>
              <w:top w:val="single" w:sz="8" w:color="2360A6"/>
              <w:right w:val="single" w:sz="8" w:color="2360A6"/>
            </w:tcBorders>
          </w:tcPr>
          <w:p>
            <w:pPr>
              <w:spacing w:after="0"/>
              <w:rPr>
                <w:sz w:val="16"/>
                <w:szCs w:val="16"/>
                <w:color w:val="auto"/>
              </w:rPr>
            </w:pPr>
          </w:p>
        </w:tc>
        <w:tc>
          <w:tcPr>
            <w:tcW w:w="680" w:type="dxa"/>
            <w:vAlign w:val="bottom"/>
            <w:tcBorders>
              <w:top w:val="single" w:sz="8" w:color="2360A6"/>
              <w:right w:val="single" w:sz="8" w:color="2360A6"/>
            </w:tcBorders>
            <w:shd w:val="clear" w:color="auto" w:fill="EDEDEE"/>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500" w:type="dxa"/>
            <w:vAlign w:val="bottom"/>
          </w:tcPr>
          <w:p>
            <w:pPr>
              <w:ind w:left="40"/>
              <w:spacing w:after="0" w:line="112" w:lineRule="exact"/>
              <w:rPr>
                <w:sz w:val="20"/>
                <w:szCs w:val="20"/>
                <w:color w:val="auto"/>
              </w:rPr>
            </w:pPr>
            <w:r>
              <w:rPr>
                <w:rFonts w:ascii="Arial" w:cs="Arial" w:eastAsia="Arial" w:hAnsi="Arial"/>
                <w:sz w:val="11"/>
                <w:szCs w:val="11"/>
                <w:color w:val="231F20"/>
              </w:rPr>
              <w:t>at Grant</w:t>
            </w:r>
          </w:p>
        </w:tc>
        <w:tc>
          <w:tcPr>
            <w:tcW w:w="220" w:type="dxa"/>
            <w:vAlign w:val="bottom"/>
            <w:tcBorders>
              <w:right w:val="single" w:sz="8" w:color="2360A6"/>
            </w:tcBorders>
          </w:tcPr>
          <w:p>
            <w:pPr>
              <w:spacing w:after="0"/>
              <w:rPr>
                <w:sz w:val="9"/>
                <w:szCs w:val="9"/>
                <w:color w:val="auto"/>
              </w:rPr>
            </w:pPr>
          </w:p>
        </w:tc>
        <w:tc>
          <w:tcPr>
            <w:tcW w:w="58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tcPr>
          <w:p>
            <w:pPr>
              <w:spacing w:after="0"/>
              <w:rPr>
                <w:sz w:val="9"/>
                <w:szCs w:val="9"/>
                <w:color w:val="auto"/>
              </w:rPr>
            </w:pPr>
          </w:p>
        </w:tc>
        <w:tc>
          <w:tcPr>
            <w:tcW w:w="820" w:type="dxa"/>
            <w:vAlign w:val="bottom"/>
            <w:tcBorders>
              <w:right w:val="single" w:sz="8" w:color="2360A6"/>
            </w:tcBorders>
          </w:tcPr>
          <w:p>
            <w:pPr>
              <w:spacing w:after="0"/>
              <w:rPr>
                <w:sz w:val="9"/>
                <w:szCs w:val="9"/>
                <w:color w:val="auto"/>
              </w:rPr>
            </w:pPr>
          </w:p>
        </w:tc>
        <w:tc>
          <w:tcPr>
            <w:tcW w:w="580" w:type="dxa"/>
            <w:vAlign w:val="bottom"/>
            <w:tcBorders>
              <w:right w:val="single" w:sz="8" w:color="2360A6"/>
            </w:tcBorders>
          </w:tcPr>
          <w:p>
            <w:pPr>
              <w:spacing w:after="0"/>
              <w:rPr>
                <w:sz w:val="9"/>
                <w:szCs w:val="9"/>
                <w:color w:val="auto"/>
              </w:rPr>
            </w:pPr>
          </w:p>
        </w:tc>
        <w:tc>
          <w:tcPr>
            <w:tcW w:w="580" w:type="dxa"/>
            <w:vAlign w:val="bottom"/>
            <w:tcBorders>
              <w:right w:val="single" w:sz="8" w:color="2360A6"/>
            </w:tcBorders>
          </w:tcPr>
          <w:p>
            <w:pPr>
              <w:spacing w:after="0"/>
              <w:rPr>
                <w:sz w:val="9"/>
                <w:szCs w:val="9"/>
                <w:color w:val="auto"/>
              </w:rPr>
            </w:pPr>
          </w:p>
        </w:tc>
        <w:tc>
          <w:tcPr>
            <w:tcW w:w="580" w:type="dxa"/>
            <w:vAlign w:val="bottom"/>
            <w:tcBorders>
              <w:right w:val="single" w:sz="8" w:color="2360A6"/>
            </w:tcBorders>
          </w:tcPr>
          <w:p>
            <w:pPr>
              <w:spacing w:after="0"/>
              <w:rPr>
                <w:sz w:val="9"/>
                <w:szCs w:val="9"/>
                <w:color w:val="auto"/>
              </w:rPr>
            </w:pPr>
          </w:p>
        </w:tc>
        <w:tc>
          <w:tcPr>
            <w:tcW w:w="58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tcPr>
          <w:p>
            <w:pPr>
              <w:spacing w:after="0"/>
              <w:rPr>
                <w:sz w:val="9"/>
                <w:szCs w:val="9"/>
                <w:color w:val="auto"/>
              </w:rPr>
            </w:pPr>
          </w:p>
        </w:tc>
        <w:tc>
          <w:tcPr>
            <w:tcW w:w="56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tcPr>
          <w:p>
            <w:pPr>
              <w:spacing w:after="0"/>
              <w:rPr>
                <w:sz w:val="9"/>
                <w:szCs w:val="9"/>
                <w:color w:val="auto"/>
              </w:rPr>
            </w:pPr>
          </w:p>
        </w:tc>
        <w:tc>
          <w:tcPr>
            <w:tcW w:w="660" w:type="dxa"/>
            <w:vAlign w:val="bottom"/>
            <w:tcBorders>
              <w:right w:val="single" w:sz="8" w:color="2360A6"/>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right w:val="single" w:sz="8" w:color="2360A6"/>
            </w:tcBorders>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tcPr>
          <w:p>
            <w:pPr>
              <w:spacing w:after="0"/>
              <w:rPr>
                <w:sz w:val="9"/>
                <w:szCs w:val="9"/>
                <w:color w:val="auto"/>
              </w:rPr>
            </w:pPr>
          </w:p>
        </w:tc>
        <w:tc>
          <w:tcPr>
            <w:tcW w:w="56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shd w:val="clear" w:color="auto" w:fill="EDEDE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500" w:type="dxa"/>
            <w:vAlign w:val="bottom"/>
          </w:tcPr>
          <w:p>
            <w:pPr>
              <w:ind w:left="40"/>
              <w:spacing w:after="0" w:line="122" w:lineRule="exact"/>
              <w:rPr>
                <w:sz w:val="20"/>
                <w:szCs w:val="20"/>
                <w:color w:val="auto"/>
              </w:rPr>
            </w:pPr>
            <w:r>
              <w:rPr>
                <w:rFonts w:ascii="Arial" w:cs="Arial" w:eastAsia="Arial" w:hAnsi="Arial"/>
                <w:sz w:val="11"/>
                <w:szCs w:val="11"/>
                <w:color w:val="231F20"/>
              </w:rPr>
              <w:t xml:space="preserve">Date </w:t>
            </w:r>
            <w:r>
              <w:rPr>
                <w:rFonts w:ascii="Arial" w:cs="Arial" w:eastAsia="Arial" w:hAnsi="Arial"/>
                <w:sz w:val="11"/>
                <w:szCs w:val="11"/>
                <w:i w:val="1"/>
                <w:iCs w:val="1"/>
                <w:color w:val="231F20"/>
              </w:rPr>
              <w:t>(in</w:t>
            </w:r>
          </w:p>
        </w:tc>
        <w:tc>
          <w:tcPr>
            <w:tcW w:w="22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82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660" w:type="dxa"/>
            <w:vAlign w:val="bottom"/>
            <w:tcBorders>
              <w:right w:val="single" w:sz="8" w:color="2360A6"/>
            </w:tcBorders>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right w:val="single" w:sz="8" w:color="2360A6"/>
            </w:tcBorders>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00" w:type="dxa"/>
            <w:vAlign w:val="bottom"/>
          </w:tcPr>
          <w:p>
            <w:pPr>
              <w:ind w:left="40"/>
              <w:spacing w:after="0"/>
              <w:rPr>
                <w:sz w:val="20"/>
                <w:szCs w:val="20"/>
                <w:color w:val="auto"/>
              </w:rPr>
            </w:pPr>
            <w:r>
              <w:rPr>
                <w:rFonts w:ascii="Arial" w:cs="Arial" w:eastAsia="Arial" w:hAnsi="Arial"/>
                <w:sz w:val="11"/>
                <w:szCs w:val="11"/>
                <w:i w:val="1"/>
                <w:iCs w:val="1"/>
                <w:color w:val="231F20"/>
              </w:rPr>
              <w:t>Euro)</w:t>
            </w:r>
          </w:p>
        </w:tc>
        <w:tc>
          <w:tcPr>
            <w:tcW w:w="220" w:type="dxa"/>
            <w:vAlign w:val="bottom"/>
            <w:tcBorders>
              <w:right w:val="single" w:sz="8" w:color="2360A6"/>
            </w:tcBorders>
          </w:tcPr>
          <w:p>
            <w:pPr>
              <w:spacing w:after="0"/>
              <w:rPr>
                <w:sz w:val="14"/>
                <w:szCs w:val="14"/>
                <w:color w:val="auto"/>
              </w:rPr>
            </w:pP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50.19</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54.21</w:t>
            </w:r>
          </w:p>
        </w:tc>
        <w:tc>
          <w:tcPr>
            <w:tcW w:w="8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55.81</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58.50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36.41</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52.00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67.18</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71.64</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71.39</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65.50</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83.83</w:t>
            </w:r>
          </w:p>
        </w:tc>
        <w:tc>
          <w:tcPr>
            <w:tcW w:w="6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78.80</w:t>
            </w:r>
          </w:p>
        </w:tc>
        <w:tc>
          <w:tcPr>
            <w:tcW w:w="160" w:type="dxa"/>
            <w:vAlign w:val="bottom"/>
          </w:tcPr>
          <w:p>
            <w:pPr>
              <w:spacing w:after="0"/>
              <w:rPr>
                <w:sz w:val="14"/>
                <w:szCs w:val="14"/>
                <w:color w:val="auto"/>
              </w:rPr>
            </w:pPr>
          </w:p>
        </w:tc>
        <w:tc>
          <w:tcPr>
            <w:tcW w:w="4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87.05</w:t>
            </w:r>
          </w:p>
        </w:tc>
        <w:tc>
          <w:tcPr>
            <w:tcW w:w="520" w:type="dxa"/>
            <w:vAlign w:val="bottom"/>
          </w:tcPr>
          <w:p>
            <w:pPr>
              <w:jc w:val="right"/>
              <w:spacing w:after="0"/>
              <w:rPr>
                <w:sz w:val="20"/>
                <w:szCs w:val="20"/>
                <w:color w:val="auto"/>
              </w:rPr>
            </w:pPr>
            <w:r>
              <w:rPr>
                <w:rFonts w:ascii="Arial" w:cs="Arial" w:eastAsia="Arial" w:hAnsi="Arial"/>
                <w:sz w:val="11"/>
                <w:szCs w:val="11"/>
                <w:color w:val="231F20"/>
              </w:rPr>
              <w:t>85.12</w:t>
            </w:r>
          </w:p>
        </w:tc>
        <w:tc>
          <w:tcPr>
            <w:tcW w:w="40" w:type="dxa"/>
            <w:vAlign w:val="bottom"/>
            <w:tcBorders>
              <w:right w:val="single" w:sz="8" w:color="2360A6"/>
            </w:tcBorders>
          </w:tcPr>
          <w:p>
            <w:pPr>
              <w:spacing w:after="0"/>
              <w:rPr>
                <w:sz w:val="14"/>
                <w:szCs w:val="14"/>
                <w:color w:val="auto"/>
              </w:rPr>
            </w:pP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68.71</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46.56</w:t>
            </w:r>
          </w:p>
        </w:tc>
        <w:tc>
          <w:tcPr>
            <w:tcW w:w="680" w:type="dxa"/>
            <w:vAlign w:val="bottom"/>
            <w:tcBorders>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231F20"/>
              </w:rPr>
              <w:t>50.00</w:t>
            </w:r>
          </w:p>
        </w:tc>
        <w:tc>
          <w:tcPr>
            <w:tcW w:w="0" w:type="dxa"/>
            <w:vAlign w:val="bottom"/>
          </w:tcPr>
          <w:p>
            <w:pPr>
              <w:spacing w:after="0"/>
              <w:rPr>
                <w:sz w:val="1"/>
                <w:szCs w:val="1"/>
                <w:color w:val="auto"/>
              </w:rPr>
            </w:pPr>
          </w:p>
        </w:tc>
      </w:tr>
      <w:tr>
        <w:trPr>
          <w:trHeight w:val="139"/>
        </w:trPr>
        <w:tc>
          <w:tcPr>
            <w:tcW w:w="500" w:type="dxa"/>
            <w:vAlign w:val="bottom"/>
            <w:tcBorders>
              <w:top w:val="single" w:sz="8" w:color="2360A6"/>
            </w:tcBorders>
          </w:tcPr>
          <w:p>
            <w:pPr>
              <w:ind w:left="40"/>
              <w:spacing w:after="0"/>
              <w:rPr>
                <w:sz w:val="20"/>
                <w:szCs w:val="20"/>
                <w:color w:val="auto"/>
              </w:rPr>
            </w:pPr>
            <w:r>
              <w:rPr>
                <w:rFonts w:ascii="Arial" w:cs="Arial" w:eastAsia="Arial" w:hAnsi="Arial"/>
                <w:sz w:val="11"/>
                <w:szCs w:val="11"/>
                <w:color w:val="231F20"/>
              </w:rPr>
              <w:t>Exercise</w:t>
            </w:r>
          </w:p>
        </w:tc>
        <w:tc>
          <w:tcPr>
            <w:tcW w:w="22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80" w:type="dxa"/>
            <w:vAlign w:val="bottom"/>
            <w:tcBorders>
              <w:top w:val="single" w:sz="8" w:color="2360A6"/>
              <w:right w:val="single" w:sz="8" w:color="2360A6"/>
            </w:tcBorders>
          </w:tcPr>
          <w:p>
            <w:pPr>
              <w:spacing w:after="0"/>
              <w:rPr>
                <w:sz w:val="12"/>
                <w:szCs w:val="12"/>
                <w:color w:val="auto"/>
              </w:rPr>
            </w:pPr>
          </w:p>
        </w:tc>
        <w:tc>
          <w:tcPr>
            <w:tcW w:w="82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80" w:type="dxa"/>
            <w:vAlign w:val="bottom"/>
            <w:tcBorders>
              <w:top w:val="single" w:sz="8" w:color="2360A6"/>
              <w:right w:val="single" w:sz="8" w:color="2360A6"/>
            </w:tcBorders>
          </w:tcPr>
          <w:p>
            <w:pPr>
              <w:spacing w:after="0"/>
              <w:rPr>
                <w:sz w:val="12"/>
                <w:szCs w:val="12"/>
                <w:color w:val="auto"/>
              </w:rPr>
            </w:pPr>
          </w:p>
        </w:tc>
        <w:tc>
          <w:tcPr>
            <w:tcW w:w="68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80" w:type="dxa"/>
            <w:vAlign w:val="bottom"/>
            <w:tcBorders>
              <w:top w:val="single" w:sz="8" w:color="2360A6"/>
              <w:right w:val="single" w:sz="8" w:color="2360A6"/>
            </w:tcBorders>
          </w:tcPr>
          <w:p>
            <w:pPr>
              <w:spacing w:after="0"/>
              <w:rPr>
                <w:sz w:val="12"/>
                <w:szCs w:val="12"/>
                <w:color w:val="auto"/>
              </w:rPr>
            </w:pPr>
          </w:p>
        </w:tc>
        <w:tc>
          <w:tcPr>
            <w:tcW w:w="660" w:type="dxa"/>
            <w:vAlign w:val="bottom"/>
            <w:tcBorders>
              <w:top w:val="single" w:sz="8" w:color="2360A6"/>
              <w:right w:val="single" w:sz="8" w:color="2360A6"/>
            </w:tcBorders>
          </w:tcPr>
          <w:p>
            <w:pPr>
              <w:spacing w:after="0"/>
              <w:rPr>
                <w:sz w:val="12"/>
                <w:szCs w:val="12"/>
                <w:color w:val="auto"/>
              </w:rPr>
            </w:pPr>
          </w:p>
        </w:tc>
        <w:tc>
          <w:tcPr>
            <w:tcW w:w="160" w:type="dxa"/>
            <w:vAlign w:val="bottom"/>
            <w:tcBorders>
              <w:top w:val="single" w:sz="8" w:color="2360A6"/>
            </w:tcBorders>
          </w:tcPr>
          <w:p>
            <w:pPr>
              <w:spacing w:after="0"/>
              <w:rPr>
                <w:sz w:val="12"/>
                <w:szCs w:val="12"/>
                <w:color w:val="auto"/>
              </w:rPr>
            </w:pPr>
          </w:p>
        </w:tc>
        <w:tc>
          <w:tcPr>
            <w:tcW w:w="420" w:type="dxa"/>
            <w:vAlign w:val="bottom"/>
            <w:tcBorders>
              <w:top w:val="single" w:sz="8" w:color="2360A6"/>
              <w:right w:val="single" w:sz="8" w:color="2360A6"/>
            </w:tcBorders>
          </w:tcPr>
          <w:p>
            <w:pPr>
              <w:spacing w:after="0"/>
              <w:rPr>
                <w:sz w:val="12"/>
                <w:szCs w:val="12"/>
                <w:color w:val="auto"/>
              </w:rPr>
            </w:pPr>
          </w:p>
        </w:tc>
        <w:tc>
          <w:tcPr>
            <w:tcW w:w="520" w:type="dxa"/>
            <w:vAlign w:val="bottom"/>
            <w:tcBorders>
              <w:top w:val="single" w:sz="8" w:color="2360A6"/>
            </w:tcBorders>
          </w:tcPr>
          <w:p>
            <w:pPr>
              <w:spacing w:after="0"/>
              <w:rPr>
                <w:sz w:val="12"/>
                <w:szCs w:val="12"/>
                <w:color w:val="auto"/>
              </w:rPr>
            </w:pPr>
          </w:p>
        </w:tc>
        <w:tc>
          <w:tcPr>
            <w:tcW w:w="40" w:type="dxa"/>
            <w:vAlign w:val="bottom"/>
            <w:tcBorders>
              <w:top w:val="single" w:sz="8" w:color="2360A6"/>
              <w:right w:val="single" w:sz="8" w:color="2360A6"/>
            </w:tcBorders>
          </w:tcPr>
          <w:p>
            <w:pPr>
              <w:spacing w:after="0"/>
              <w:rPr>
                <w:sz w:val="12"/>
                <w:szCs w:val="12"/>
                <w:color w:val="auto"/>
              </w:rPr>
            </w:pPr>
          </w:p>
        </w:tc>
        <w:tc>
          <w:tcPr>
            <w:tcW w:w="68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80" w:type="dxa"/>
            <w:vAlign w:val="bottom"/>
            <w:tcBorders>
              <w:top w:val="single" w:sz="8" w:color="2360A6"/>
              <w:right w:val="single" w:sz="8" w:color="2360A6"/>
            </w:tcBorders>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00" w:type="dxa"/>
            <w:vAlign w:val="bottom"/>
          </w:tcPr>
          <w:p>
            <w:pPr>
              <w:ind w:left="40"/>
              <w:spacing w:after="0" w:line="122" w:lineRule="exact"/>
              <w:rPr>
                <w:sz w:val="20"/>
                <w:szCs w:val="20"/>
                <w:color w:val="auto"/>
              </w:rPr>
            </w:pPr>
            <w:r>
              <w:rPr>
                <w:rFonts w:ascii="Arial" w:cs="Arial" w:eastAsia="Arial" w:hAnsi="Arial"/>
                <w:sz w:val="11"/>
                <w:szCs w:val="11"/>
                <w:color w:val="231F20"/>
              </w:rPr>
              <w:t>Price</w:t>
            </w:r>
          </w:p>
        </w:tc>
        <w:tc>
          <w:tcPr>
            <w:tcW w:w="220" w:type="dxa"/>
            <w:vAlign w:val="bottom"/>
            <w:tcBorders>
              <w:right w:val="single" w:sz="8" w:color="2360A6"/>
            </w:tcBorders>
          </w:tcPr>
          <w:p>
            <w:pPr>
              <w:jc w:val="right"/>
              <w:ind w:right="18"/>
              <w:spacing w:after="0" w:line="122" w:lineRule="exact"/>
              <w:rPr>
                <w:sz w:val="20"/>
                <w:szCs w:val="20"/>
                <w:color w:val="auto"/>
              </w:rPr>
            </w:pPr>
            <w:r>
              <w:rPr>
                <w:rFonts w:ascii="Arial" w:cs="Arial" w:eastAsia="Arial" w:hAnsi="Arial"/>
                <w:sz w:val="11"/>
                <w:szCs w:val="11"/>
                <w:color w:val="231F20"/>
              </w:rPr>
              <w:t>(in</w:t>
            </w:r>
          </w:p>
        </w:tc>
        <w:tc>
          <w:tcPr>
            <w:tcW w:w="5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82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660" w:type="dxa"/>
            <w:vAlign w:val="bottom"/>
            <w:tcBorders>
              <w:right w:val="single" w:sz="8" w:color="2360A6"/>
            </w:tcBorders>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right w:val="single" w:sz="8" w:color="2360A6"/>
            </w:tcBorders>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500" w:type="dxa"/>
            <w:vAlign w:val="bottom"/>
          </w:tcPr>
          <w:p>
            <w:pPr>
              <w:ind w:left="40"/>
              <w:spacing w:after="0"/>
              <w:rPr>
                <w:sz w:val="20"/>
                <w:szCs w:val="20"/>
                <w:color w:val="auto"/>
              </w:rPr>
            </w:pPr>
            <w:r>
              <w:rPr>
                <w:rFonts w:ascii="Arial" w:cs="Arial" w:eastAsia="Arial" w:hAnsi="Arial"/>
                <w:sz w:val="11"/>
                <w:szCs w:val="11"/>
                <w:color w:val="231F20"/>
              </w:rPr>
              <w:t>Euro)</w:t>
            </w:r>
          </w:p>
        </w:tc>
        <w:tc>
          <w:tcPr>
            <w:tcW w:w="220" w:type="dxa"/>
            <w:vAlign w:val="bottom"/>
            <w:tcBorders>
              <w:right w:val="single" w:sz="8" w:color="2360A6"/>
            </w:tcBorders>
          </w:tcPr>
          <w:p>
            <w:pPr>
              <w:spacing w:after="0"/>
              <w:rPr>
                <w:sz w:val="13"/>
                <w:szCs w:val="13"/>
                <w:color w:val="auto"/>
              </w:rPr>
            </w:pP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49.17</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55.67</w:t>
            </w:r>
          </w:p>
        </w:tc>
        <w:tc>
          <w:tcPr>
            <w:tcW w:w="8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59.96</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58.15</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34.70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51.45</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63.23</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72.19</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72.69</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66.94</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78.39</w:t>
            </w:r>
          </w:p>
        </w:tc>
        <w:tc>
          <w:tcPr>
            <w:tcW w:w="6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74.54</w:t>
            </w:r>
          </w:p>
        </w:tc>
        <w:tc>
          <w:tcPr>
            <w:tcW w:w="160" w:type="dxa"/>
            <w:vAlign w:val="bottom"/>
          </w:tcPr>
          <w:p>
            <w:pPr>
              <w:spacing w:after="0"/>
              <w:rPr>
                <w:sz w:val="13"/>
                <w:szCs w:val="13"/>
                <w:color w:val="auto"/>
              </w:rPr>
            </w:pPr>
          </w:p>
        </w:tc>
        <w:tc>
          <w:tcPr>
            <w:tcW w:w="4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87.13</w:t>
            </w:r>
          </w:p>
        </w:tc>
        <w:tc>
          <w:tcPr>
            <w:tcW w:w="520" w:type="dxa"/>
            <w:vAlign w:val="bottom"/>
          </w:tcPr>
          <w:p>
            <w:pPr>
              <w:jc w:val="right"/>
              <w:spacing w:after="0"/>
              <w:rPr>
                <w:sz w:val="20"/>
                <w:szCs w:val="20"/>
                <w:color w:val="auto"/>
              </w:rPr>
            </w:pPr>
            <w:r>
              <w:rPr>
                <w:rFonts w:ascii="Arial" w:cs="Arial" w:eastAsia="Arial" w:hAnsi="Arial"/>
                <w:sz w:val="11"/>
                <w:szCs w:val="11"/>
                <w:color w:val="231F20"/>
              </w:rPr>
              <w:t>85.73</w:t>
            </w:r>
          </w:p>
        </w:tc>
        <w:tc>
          <w:tcPr>
            <w:tcW w:w="40" w:type="dxa"/>
            <w:vAlign w:val="bottom"/>
            <w:tcBorders>
              <w:right w:val="single" w:sz="8" w:color="2360A6"/>
            </w:tcBorders>
          </w:tcPr>
          <w:p>
            <w:pPr>
              <w:spacing w:after="0"/>
              <w:rPr>
                <w:sz w:val="13"/>
                <w:szCs w:val="13"/>
                <w:color w:val="auto"/>
              </w:rPr>
            </w:pP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68.47</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47.83</w:t>
            </w:r>
          </w:p>
        </w:tc>
        <w:tc>
          <w:tcPr>
            <w:tcW w:w="680" w:type="dxa"/>
            <w:vAlign w:val="bottom"/>
            <w:tcBorders>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auto"/>
              </w:rPr>
              <w:t>48.33</w:t>
            </w:r>
          </w:p>
        </w:tc>
        <w:tc>
          <w:tcPr>
            <w:tcW w:w="0" w:type="dxa"/>
            <w:vAlign w:val="bottom"/>
          </w:tcPr>
          <w:p>
            <w:pPr>
              <w:spacing w:after="0"/>
              <w:rPr>
                <w:sz w:val="1"/>
                <w:szCs w:val="1"/>
                <w:color w:val="auto"/>
              </w:rPr>
            </w:pPr>
          </w:p>
        </w:tc>
      </w:tr>
      <w:tr>
        <w:trPr>
          <w:trHeight w:val="179"/>
        </w:trPr>
        <w:tc>
          <w:tcPr>
            <w:tcW w:w="500" w:type="dxa"/>
            <w:vAlign w:val="bottom"/>
            <w:tcBorders>
              <w:top w:val="single" w:sz="8" w:color="2360A6"/>
            </w:tcBorders>
          </w:tcPr>
          <w:p>
            <w:pPr>
              <w:ind w:left="40"/>
              <w:spacing w:after="0"/>
              <w:rPr>
                <w:sz w:val="20"/>
                <w:szCs w:val="20"/>
                <w:color w:val="auto"/>
              </w:rPr>
            </w:pPr>
            <w:r>
              <w:rPr>
                <w:rFonts w:ascii="Arial" w:cs="Arial" w:eastAsia="Arial" w:hAnsi="Arial"/>
                <w:sz w:val="11"/>
                <w:szCs w:val="11"/>
                <w:color w:val="231F20"/>
              </w:rPr>
              <w:t>Dividend</w:t>
            </w:r>
          </w:p>
        </w:tc>
        <w:tc>
          <w:tcPr>
            <w:tcW w:w="220" w:type="dxa"/>
            <w:vAlign w:val="bottom"/>
            <w:tcBorders>
              <w:top w:val="single" w:sz="8" w:color="2360A6"/>
              <w:right w:val="single" w:sz="8" w:color="2360A6"/>
            </w:tcBorders>
          </w:tcPr>
          <w:p>
            <w:pPr>
              <w:spacing w:after="0"/>
              <w:rPr>
                <w:sz w:val="15"/>
                <w:szCs w:val="15"/>
                <w:color w:val="auto"/>
              </w:rPr>
            </w:pPr>
          </w:p>
        </w:tc>
        <w:tc>
          <w:tcPr>
            <w:tcW w:w="580" w:type="dxa"/>
            <w:vAlign w:val="bottom"/>
            <w:tcBorders>
              <w:top w:val="single" w:sz="8" w:color="2360A6"/>
              <w:right w:val="single" w:sz="8" w:color="2360A6"/>
            </w:tcBorders>
          </w:tcPr>
          <w:p>
            <w:pPr>
              <w:spacing w:after="0"/>
              <w:rPr>
                <w:sz w:val="15"/>
                <w:szCs w:val="15"/>
                <w:color w:val="auto"/>
              </w:rPr>
            </w:pPr>
          </w:p>
        </w:tc>
        <w:tc>
          <w:tcPr>
            <w:tcW w:w="680" w:type="dxa"/>
            <w:vAlign w:val="bottom"/>
            <w:tcBorders>
              <w:top w:val="single" w:sz="8" w:color="2360A6"/>
              <w:right w:val="single" w:sz="8" w:color="2360A6"/>
            </w:tcBorders>
          </w:tcPr>
          <w:p>
            <w:pPr>
              <w:spacing w:after="0"/>
              <w:rPr>
                <w:sz w:val="15"/>
                <w:szCs w:val="15"/>
                <w:color w:val="auto"/>
              </w:rPr>
            </w:pPr>
          </w:p>
        </w:tc>
        <w:tc>
          <w:tcPr>
            <w:tcW w:w="820" w:type="dxa"/>
            <w:vAlign w:val="bottom"/>
            <w:tcBorders>
              <w:top w:val="single" w:sz="8" w:color="2360A6"/>
              <w:right w:val="single" w:sz="8" w:color="2360A6"/>
            </w:tcBorders>
          </w:tcPr>
          <w:p>
            <w:pPr>
              <w:spacing w:after="0"/>
              <w:rPr>
                <w:sz w:val="15"/>
                <w:szCs w:val="15"/>
                <w:color w:val="auto"/>
              </w:rPr>
            </w:pPr>
          </w:p>
        </w:tc>
        <w:tc>
          <w:tcPr>
            <w:tcW w:w="580" w:type="dxa"/>
            <w:vAlign w:val="bottom"/>
            <w:tcBorders>
              <w:top w:val="single" w:sz="8" w:color="2360A6"/>
              <w:right w:val="single" w:sz="8" w:color="2360A6"/>
            </w:tcBorders>
          </w:tcPr>
          <w:p>
            <w:pPr>
              <w:spacing w:after="0"/>
              <w:rPr>
                <w:sz w:val="15"/>
                <w:szCs w:val="15"/>
                <w:color w:val="auto"/>
              </w:rPr>
            </w:pPr>
          </w:p>
        </w:tc>
        <w:tc>
          <w:tcPr>
            <w:tcW w:w="580" w:type="dxa"/>
            <w:vAlign w:val="bottom"/>
            <w:tcBorders>
              <w:top w:val="single" w:sz="8" w:color="2360A6"/>
              <w:right w:val="single" w:sz="8" w:color="2360A6"/>
            </w:tcBorders>
          </w:tcPr>
          <w:p>
            <w:pPr>
              <w:spacing w:after="0"/>
              <w:rPr>
                <w:sz w:val="15"/>
                <w:szCs w:val="15"/>
                <w:color w:val="auto"/>
              </w:rPr>
            </w:pPr>
          </w:p>
        </w:tc>
        <w:tc>
          <w:tcPr>
            <w:tcW w:w="580" w:type="dxa"/>
            <w:vAlign w:val="bottom"/>
            <w:tcBorders>
              <w:top w:val="single" w:sz="8" w:color="2360A6"/>
              <w:right w:val="single" w:sz="8" w:color="2360A6"/>
            </w:tcBorders>
          </w:tcPr>
          <w:p>
            <w:pPr>
              <w:spacing w:after="0"/>
              <w:rPr>
                <w:sz w:val="15"/>
                <w:szCs w:val="15"/>
                <w:color w:val="auto"/>
              </w:rPr>
            </w:pPr>
          </w:p>
        </w:tc>
        <w:tc>
          <w:tcPr>
            <w:tcW w:w="580" w:type="dxa"/>
            <w:vAlign w:val="bottom"/>
            <w:tcBorders>
              <w:top w:val="single" w:sz="8" w:color="2360A6"/>
              <w:right w:val="single" w:sz="8" w:color="2360A6"/>
            </w:tcBorders>
          </w:tcPr>
          <w:p>
            <w:pPr>
              <w:spacing w:after="0"/>
              <w:rPr>
                <w:sz w:val="15"/>
                <w:szCs w:val="15"/>
                <w:color w:val="auto"/>
              </w:rPr>
            </w:pPr>
          </w:p>
        </w:tc>
        <w:tc>
          <w:tcPr>
            <w:tcW w:w="680" w:type="dxa"/>
            <w:vAlign w:val="bottom"/>
            <w:tcBorders>
              <w:top w:val="single" w:sz="8" w:color="2360A6"/>
              <w:right w:val="single" w:sz="8" w:color="2360A6"/>
            </w:tcBorders>
          </w:tcPr>
          <w:p>
            <w:pPr>
              <w:spacing w:after="0"/>
              <w:rPr>
                <w:sz w:val="15"/>
                <w:szCs w:val="15"/>
                <w:color w:val="auto"/>
              </w:rPr>
            </w:pPr>
          </w:p>
        </w:tc>
        <w:tc>
          <w:tcPr>
            <w:tcW w:w="680" w:type="dxa"/>
            <w:vAlign w:val="bottom"/>
            <w:tcBorders>
              <w:top w:val="single" w:sz="8" w:color="2360A6"/>
              <w:right w:val="single" w:sz="8" w:color="2360A6"/>
            </w:tcBorders>
          </w:tcPr>
          <w:p>
            <w:pPr>
              <w:spacing w:after="0"/>
              <w:rPr>
                <w:sz w:val="15"/>
                <w:szCs w:val="15"/>
                <w:color w:val="auto"/>
              </w:rPr>
            </w:pPr>
          </w:p>
        </w:tc>
        <w:tc>
          <w:tcPr>
            <w:tcW w:w="560" w:type="dxa"/>
            <w:vAlign w:val="bottom"/>
            <w:tcBorders>
              <w:top w:val="single" w:sz="8" w:color="2360A6"/>
              <w:right w:val="single" w:sz="8" w:color="2360A6"/>
            </w:tcBorders>
          </w:tcPr>
          <w:p>
            <w:pPr>
              <w:spacing w:after="0"/>
              <w:rPr>
                <w:sz w:val="15"/>
                <w:szCs w:val="15"/>
                <w:color w:val="auto"/>
              </w:rPr>
            </w:pPr>
          </w:p>
        </w:tc>
        <w:tc>
          <w:tcPr>
            <w:tcW w:w="680" w:type="dxa"/>
            <w:vAlign w:val="bottom"/>
            <w:tcBorders>
              <w:top w:val="single" w:sz="8" w:color="2360A6"/>
              <w:right w:val="single" w:sz="8" w:color="2360A6"/>
            </w:tcBorders>
          </w:tcPr>
          <w:p>
            <w:pPr>
              <w:spacing w:after="0"/>
              <w:rPr>
                <w:sz w:val="15"/>
                <w:szCs w:val="15"/>
                <w:color w:val="auto"/>
              </w:rPr>
            </w:pPr>
          </w:p>
        </w:tc>
        <w:tc>
          <w:tcPr>
            <w:tcW w:w="660" w:type="dxa"/>
            <w:vAlign w:val="bottom"/>
            <w:tcBorders>
              <w:top w:val="single" w:sz="8" w:color="2360A6"/>
              <w:right w:val="single" w:sz="8" w:color="2360A6"/>
            </w:tcBorders>
          </w:tcPr>
          <w:p>
            <w:pPr>
              <w:spacing w:after="0"/>
              <w:rPr>
                <w:sz w:val="15"/>
                <w:szCs w:val="15"/>
                <w:color w:val="auto"/>
              </w:rPr>
            </w:pPr>
          </w:p>
        </w:tc>
        <w:tc>
          <w:tcPr>
            <w:tcW w:w="160" w:type="dxa"/>
            <w:vAlign w:val="bottom"/>
            <w:tcBorders>
              <w:top w:val="single" w:sz="8" w:color="2360A6"/>
            </w:tcBorders>
          </w:tcPr>
          <w:p>
            <w:pPr>
              <w:spacing w:after="0"/>
              <w:rPr>
                <w:sz w:val="15"/>
                <w:szCs w:val="15"/>
                <w:color w:val="auto"/>
              </w:rPr>
            </w:pPr>
          </w:p>
        </w:tc>
        <w:tc>
          <w:tcPr>
            <w:tcW w:w="420" w:type="dxa"/>
            <w:vAlign w:val="bottom"/>
            <w:tcBorders>
              <w:top w:val="single" w:sz="8" w:color="2360A6"/>
              <w:right w:val="single" w:sz="8" w:color="2360A6"/>
            </w:tcBorders>
          </w:tcPr>
          <w:p>
            <w:pPr>
              <w:spacing w:after="0"/>
              <w:rPr>
                <w:sz w:val="15"/>
                <w:szCs w:val="15"/>
                <w:color w:val="auto"/>
              </w:rPr>
            </w:pPr>
          </w:p>
        </w:tc>
        <w:tc>
          <w:tcPr>
            <w:tcW w:w="520" w:type="dxa"/>
            <w:vAlign w:val="bottom"/>
            <w:tcBorders>
              <w:top w:val="single" w:sz="8" w:color="2360A6"/>
            </w:tcBorders>
          </w:tcPr>
          <w:p>
            <w:pPr>
              <w:spacing w:after="0"/>
              <w:rPr>
                <w:sz w:val="15"/>
                <w:szCs w:val="15"/>
                <w:color w:val="auto"/>
              </w:rPr>
            </w:pPr>
          </w:p>
        </w:tc>
        <w:tc>
          <w:tcPr>
            <w:tcW w:w="40" w:type="dxa"/>
            <w:vAlign w:val="bottom"/>
            <w:tcBorders>
              <w:top w:val="single" w:sz="8" w:color="2360A6"/>
              <w:right w:val="single" w:sz="8" w:color="2360A6"/>
            </w:tcBorders>
          </w:tcPr>
          <w:p>
            <w:pPr>
              <w:spacing w:after="0"/>
              <w:rPr>
                <w:sz w:val="15"/>
                <w:szCs w:val="15"/>
                <w:color w:val="auto"/>
              </w:rPr>
            </w:pPr>
          </w:p>
        </w:tc>
        <w:tc>
          <w:tcPr>
            <w:tcW w:w="680" w:type="dxa"/>
            <w:vAlign w:val="bottom"/>
            <w:tcBorders>
              <w:top w:val="single" w:sz="8" w:color="2360A6"/>
              <w:right w:val="single" w:sz="8" w:color="2360A6"/>
            </w:tcBorders>
          </w:tcPr>
          <w:p>
            <w:pPr>
              <w:spacing w:after="0"/>
              <w:rPr>
                <w:sz w:val="15"/>
                <w:szCs w:val="15"/>
                <w:color w:val="auto"/>
              </w:rPr>
            </w:pPr>
          </w:p>
        </w:tc>
        <w:tc>
          <w:tcPr>
            <w:tcW w:w="560" w:type="dxa"/>
            <w:vAlign w:val="bottom"/>
            <w:tcBorders>
              <w:top w:val="single" w:sz="8" w:color="2360A6"/>
              <w:right w:val="single" w:sz="8" w:color="2360A6"/>
            </w:tcBorders>
          </w:tcPr>
          <w:p>
            <w:pPr>
              <w:spacing w:after="0"/>
              <w:rPr>
                <w:sz w:val="15"/>
                <w:szCs w:val="15"/>
                <w:color w:val="auto"/>
              </w:rPr>
            </w:pPr>
          </w:p>
        </w:tc>
        <w:tc>
          <w:tcPr>
            <w:tcW w:w="680" w:type="dxa"/>
            <w:vAlign w:val="bottom"/>
            <w:tcBorders>
              <w:top w:val="single" w:sz="8" w:color="2360A6"/>
              <w:right w:val="single" w:sz="8" w:color="2360A6"/>
            </w:tcBorders>
            <w:shd w:val="clear" w:color="auto" w:fill="EDEDEE"/>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00" w:type="dxa"/>
            <w:vAlign w:val="bottom"/>
          </w:tcPr>
          <w:p>
            <w:pPr>
              <w:ind w:left="40"/>
              <w:spacing w:after="0"/>
              <w:rPr>
                <w:sz w:val="20"/>
                <w:szCs w:val="20"/>
                <w:color w:val="auto"/>
              </w:rPr>
            </w:pPr>
            <w:r>
              <w:rPr>
                <w:rFonts w:ascii="Arial" w:cs="Arial" w:eastAsia="Arial" w:hAnsi="Arial"/>
                <w:sz w:val="11"/>
                <w:szCs w:val="11"/>
                <w:color w:val="231F20"/>
              </w:rPr>
              <w:t>Yield</w:t>
            </w:r>
          </w:p>
        </w:tc>
        <w:tc>
          <w:tcPr>
            <w:tcW w:w="220" w:type="dxa"/>
            <w:vAlign w:val="bottom"/>
            <w:tcBorders>
              <w:right w:val="single" w:sz="8" w:color="2360A6"/>
            </w:tcBorders>
          </w:tcPr>
          <w:p>
            <w:pPr>
              <w:spacing w:after="0"/>
              <w:rPr>
                <w:sz w:val="13"/>
                <w:szCs w:val="13"/>
                <w:color w:val="auto"/>
              </w:rPr>
            </w:pP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8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3.5%</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3.0%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3.0%</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3.0%</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w:t>
            </w:r>
          </w:p>
        </w:tc>
        <w:tc>
          <w:tcPr>
            <w:tcW w:w="6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160" w:type="dxa"/>
            <w:vAlign w:val="bottom"/>
          </w:tcPr>
          <w:p>
            <w:pPr>
              <w:spacing w:after="0"/>
              <w:rPr>
                <w:sz w:val="13"/>
                <w:szCs w:val="13"/>
                <w:color w:val="auto"/>
              </w:rPr>
            </w:pPr>
          </w:p>
        </w:tc>
        <w:tc>
          <w:tcPr>
            <w:tcW w:w="4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w:t>
            </w:r>
          </w:p>
        </w:tc>
        <w:tc>
          <w:tcPr>
            <w:tcW w:w="520" w:type="dxa"/>
            <w:vAlign w:val="bottom"/>
          </w:tcPr>
          <w:p>
            <w:pPr>
              <w:jc w:val="right"/>
              <w:spacing w:after="0"/>
              <w:rPr>
                <w:sz w:val="20"/>
                <w:szCs w:val="20"/>
                <w:color w:val="auto"/>
              </w:rPr>
            </w:pPr>
            <w:r>
              <w:rPr>
                <w:rFonts w:ascii="Arial" w:cs="Arial" w:eastAsia="Arial" w:hAnsi="Arial"/>
                <w:sz w:val="11"/>
                <w:szCs w:val="11"/>
                <w:color w:val="231F20"/>
              </w:rPr>
              <w:t>2.0%</w:t>
            </w:r>
          </w:p>
        </w:tc>
        <w:tc>
          <w:tcPr>
            <w:tcW w:w="40" w:type="dxa"/>
            <w:vAlign w:val="bottom"/>
            <w:tcBorders>
              <w:right w:val="single" w:sz="8" w:color="2360A6"/>
            </w:tcBorders>
          </w:tcPr>
          <w:p>
            <w:pPr>
              <w:spacing w:after="0"/>
              <w:rPr>
                <w:sz w:val="13"/>
                <w:szCs w:val="13"/>
                <w:color w:val="auto"/>
              </w:rPr>
            </w:pP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4.5%</w:t>
            </w:r>
          </w:p>
        </w:tc>
        <w:tc>
          <w:tcPr>
            <w:tcW w:w="680" w:type="dxa"/>
            <w:vAlign w:val="bottom"/>
            <w:tcBorders>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79"/>
        </w:trPr>
        <w:tc>
          <w:tcPr>
            <w:tcW w:w="500" w:type="dxa"/>
            <w:vAlign w:val="bottom"/>
            <w:tcBorders>
              <w:top w:val="single" w:sz="8" w:color="2360A6"/>
            </w:tcBorders>
          </w:tcPr>
          <w:p>
            <w:pPr>
              <w:ind w:left="40"/>
              <w:spacing w:after="0"/>
              <w:rPr>
                <w:sz w:val="20"/>
                <w:szCs w:val="20"/>
                <w:color w:val="auto"/>
              </w:rPr>
            </w:pPr>
            <w:r>
              <w:rPr>
                <w:rFonts w:ascii="Arial" w:cs="Arial" w:eastAsia="Arial" w:hAnsi="Arial"/>
                <w:sz w:val="11"/>
                <w:szCs w:val="11"/>
                <w:color w:val="231F20"/>
                <w:w w:val="99"/>
              </w:rPr>
              <w:t>Turnover</w:t>
            </w:r>
          </w:p>
        </w:tc>
        <w:tc>
          <w:tcPr>
            <w:tcW w:w="220" w:type="dxa"/>
            <w:vAlign w:val="bottom"/>
            <w:tcBorders>
              <w:top w:val="single" w:sz="8" w:color="2360A6"/>
              <w:right w:val="single" w:sz="8" w:color="2360A6"/>
            </w:tcBorders>
          </w:tcPr>
          <w:p>
            <w:pPr>
              <w:spacing w:after="0"/>
              <w:rPr>
                <w:sz w:val="15"/>
                <w:szCs w:val="15"/>
                <w:color w:val="auto"/>
              </w:rPr>
            </w:pPr>
          </w:p>
        </w:tc>
        <w:tc>
          <w:tcPr>
            <w:tcW w:w="580" w:type="dxa"/>
            <w:vAlign w:val="bottom"/>
            <w:tcBorders>
              <w:top w:val="single" w:sz="8" w:color="2360A6"/>
              <w:right w:val="single" w:sz="8" w:color="2360A6"/>
            </w:tcBorders>
          </w:tcPr>
          <w:p>
            <w:pPr>
              <w:spacing w:after="0"/>
              <w:rPr>
                <w:sz w:val="15"/>
                <w:szCs w:val="15"/>
                <w:color w:val="auto"/>
              </w:rPr>
            </w:pPr>
          </w:p>
        </w:tc>
        <w:tc>
          <w:tcPr>
            <w:tcW w:w="680" w:type="dxa"/>
            <w:vAlign w:val="bottom"/>
            <w:tcBorders>
              <w:top w:val="single" w:sz="8" w:color="2360A6"/>
              <w:right w:val="single" w:sz="8" w:color="2360A6"/>
            </w:tcBorders>
          </w:tcPr>
          <w:p>
            <w:pPr>
              <w:spacing w:after="0"/>
              <w:rPr>
                <w:sz w:val="15"/>
                <w:szCs w:val="15"/>
                <w:color w:val="auto"/>
              </w:rPr>
            </w:pPr>
          </w:p>
        </w:tc>
        <w:tc>
          <w:tcPr>
            <w:tcW w:w="820" w:type="dxa"/>
            <w:vAlign w:val="bottom"/>
            <w:tcBorders>
              <w:top w:val="single" w:sz="8" w:color="2360A6"/>
              <w:right w:val="single" w:sz="8" w:color="2360A6"/>
            </w:tcBorders>
          </w:tcPr>
          <w:p>
            <w:pPr>
              <w:spacing w:after="0"/>
              <w:rPr>
                <w:sz w:val="15"/>
                <w:szCs w:val="15"/>
                <w:color w:val="auto"/>
              </w:rPr>
            </w:pPr>
          </w:p>
        </w:tc>
        <w:tc>
          <w:tcPr>
            <w:tcW w:w="580" w:type="dxa"/>
            <w:vAlign w:val="bottom"/>
            <w:tcBorders>
              <w:top w:val="single" w:sz="8" w:color="2360A6"/>
              <w:right w:val="single" w:sz="8" w:color="2360A6"/>
            </w:tcBorders>
          </w:tcPr>
          <w:p>
            <w:pPr>
              <w:spacing w:after="0"/>
              <w:rPr>
                <w:sz w:val="15"/>
                <w:szCs w:val="15"/>
                <w:color w:val="auto"/>
              </w:rPr>
            </w:pPr>
          </w:p>
        </w:tc>
        <w:tc>
          <w:tcPr>
            <w:tcW w:w="580" w:type="dxa"/>
            <w:vAlign w:val="bottom"/>
            <w:tcBorders>
              <w:top w:val="single" w:sz="8" w:color="2360A6"/>
              <w:right w:val="single" w:sz="8" w:color="2360A6"/>
            </w:tcBorders>
          </w:tcPr>
          <w:p>
            <w:pPr>
              <w:spacing w:after="0"/>
              <w:rPr>
                <w:sz w:val="15"/>
                <w:szCs w:val="15"/>
                <w:color w:val="auto"/>
              </w:rPr>
            </w:pPr>
          </w:p>
        </w:tc>
        <w:tc>
          <w:tcPr>
            <w:tcW w:w="580" w:type="dxa"/>
            <w:vAlign w:val="bottom"/>
            <w:tcBorders>
              <w:top w:val="single" w:sz="8" w:color="2360A6"/>
              <w:right w:val="single" w:sz="8" w:color="2360A6"/>
            </w:tcBorders>
          </w:tcPr>
          <w:p>
            <w:pPr>
              <w:spacing w:after="0"/>
              <w:rPr>
                <w:sz w:val="15"/>
                <w:szCs w:val="15"/>
                <w:color w:val="auto"/>
              </w:rPr>
            </w:pPr>
          </w:p>
        </w:tc>
        <w:tc>
          <w:tcPr>
            <w:tcW w:w="580" w:type="dxa"/>
            <w:vAlign w:val="bottom"/>
            <w:tcBorders>
              <w:top w:val="single" w:sz="8" w:color="2360A6"/>
              <w:right w:val="single" w:sz="8" w:color="2360A6"/>
            </w:tcBorders>
          </w:tcPr>
          <w:p>
            <w:pPr>
              <w:spacing w:after="0"/>
              <w:rPr>
                <w:sz w:val="15"/>
                <w:szCs w:val="15"/>
                <w:color w:val="auto"/>
              </w:rPr>
            </w:pPr>
          </w:p>
        </w:tc>
        <w:tc>
          <w:tcPr>
            <w:tcW w:w="680" w:type="dxa"/>
            <w:vAlign w:val="bottom"/>
            <w:tcBorders>
              <w:top w:val="single" w:sz="8" w:color="2360A6"/>
              <w:right w:val="single" w:sz="8" w:color="2360A6"/>
            </w:tcBorders>
          </w:tcPr>
          <w:p>
            <w:pPr>
              <w:spacing w:after="0"/>
              <w:rPr>
                <w:sz w:val="15"/>
                <w:szCs w:val="15"/>
                <w:color w:val="auto"/>
              </w:rPr>
            </w:pPr>
          </w:p>
        </w:tc>
        <w:tc>
          <w:tcPr>
            <w:tcW w:w="680" w:type="dxa"/>
            <w:vAlign w:val="bottom"/>
            <w:tcBorders>
              <w:top w:val="single" w:sz="8" w:color="2360A6"/>
              <w:right w:val="single" w:sz="8" w:color="2360A6"/>
            </w:tcBorders>
          </w:tcPr>
          <w:p>
            <w:pPr>
              <w:spacing w:after="0"/>
              <w:rPr>
                <w:sz w:val="15"/>
                <w:szCs w:val="15"/>
                <w:color w:val="auto"/>
              </w:rPr>
            </w:pPr>
          </w:p>
        </w:tc>
        <w:tc>
          <w:tcPr>
            <w:tcW w:w="560" w:type="dxa"/>
            <w:vAlign w:val="bottom"/>
            <w:tcBorders>
              <w:top w:val="single" w:sz="8" w:color="2360A6"/>
              <w:right w:val="single" w:sz="8" w:color="2360A6"/>
            </w:tcBorders>
          </w:tcPr>
          <w:p>
            <w:pPr>
              <w:spacing w:after="0"/>
              <w:rPr>
                <w:sz w:val="15"/>
                <w:szCs w:val="15"/>
                <w:color w:val="auto"/>
              </w:rPr>
            </w:pPr>
          </w:p>
        </w:tc>
        <w:tc>
          <w:tcPr>
            <w:tcW w:w="680" w:type="dxa"/>
            <w:vAlign w:val="bottom"/>
            <w:tcBorders>
              <w:top w:val="single" w:sz="8" w:color="2360A6"/>
              <w:right w:val="single" w:sz="8" w:color="2360A6"/>
            </w:tcBorders>
          </w:tcPr>
          <w:p>
            <w:pPr>
              <w:spacing w:after="0"/>
              <w:rPr>
                <w:sz w:val="15"/>
                <w:szCs w:val="15"/>
                <w:color w:val="auto"/>
              </w:rPr>
            </w:pPr>
          </w:p>
        </w:tc>
        <w:tc>
          <w:tcPr>
            <w:tcW w:w="660" w:type="dxa"/>
            <w:vAlign w:val="bottom"/>
            <w:tcBorders>
              <w:top w:val="single" w:sz="8" w:color="2360A6"/>
              <w:right w:val="single" w:sz="8" w:color="2360A6"/>
            </w:tcBorders>
          </w:tcPr>
          <w:p>
            <w:pPr>
              <w:spacing w:after="0"/>
              <w:rPr>
                <w:sz w:val="15"/>
                <w:szCs w:val="15"/>
                <w:color w:val="auto"/>
              </w:rPr>
            </w:pPr>
          </w:p>
        </w:tc>
        <w:tc>
          <w:tcPr>
            <w:tcW w:w="160" w:type="dxa"/>
            <w:vAlign w:val="bottom"/>
            <w:tcBorders>
              <w:top w:val="single" w:sz="8" w:color="2360A6"/>
            </w:tcBorders>
          </w:tcPr>
          <w:p>
            <w:pPr>
              <w:spacing w:after="0"/>
              <w:rPr>
                <w:sz w:val="15"/>
                <w:szCs w:val="15"/>
                <w:color w:val="auto"/>
              </w:rPr>
            </w:pPr>
          </w:p>
        </w:tc>
        <w:tc>
          <w:tcPr>
            <w:tcW w:w="420" w:type="dxa"/>
            <w:vAlign w:val="bottom"/>
            <w:tcBorders>
              <w:top w:val="single" w:sz="8" w:color="2360A6"/>
              <w:right w:val="single" w:sz="8" w:color="2360A6"/>
            </w:tcBorders>
          </w:tcPr>
          <w:p>
            <w:pPr>
              <w:spacing w:after="0"/>
              <w:rPr>
                <w:sz w:val="15"/>
                <w:szCs w:val="15"/>
                <w:color w:val="auto"/>
              </w:rPr>
            </w:pPr>
          </w:p>
        </w:tc>
        <w:tc>
          <w:tcPr>
            <w:tcW w:w="520" w:type="dxa"/>
            <w:vAlign w:val="bottom"/>
            <w:tcBorders>
              <w:top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40" w:type="dxa"/>
            <w:vAlign w:val="bottom"/>
            <w:tcBorders>
              <w:top w:val="single" w:sz="8" w:color="2360A6"/>
              <w:right w:val="single" w:sz="8" w:color="2360A6"/>
            </w:tcBorders>
          </w:tcPr>
          <w:p>
            <w:pPr>
              <w:spacing w:after="0"/>
              <w:rPr>
                <w:sz w:val="15"/>
                <w:szCs w:val="15"/>
                <w:color w:val="auto"/>
              </w:rPr>
            </w:pPr>
          </w:p>
        </w:tc>
        <w:tc>
          <w:tcPr>
            <w:tcW w:w="6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5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680" w:type="dxa"/>
            <w:vAlign w:val="bottom"/>
            <w:tcBorders>
              <w:top w:val="single" w:sz="8" w:color="2360A6"/>
              <w:right w:val="single" w:sz="8" w:color="2360A6"/>
            </w:tcBorders>
            <w:shd w:val="clear" w:color="auto" w:fill="EDEDEE"/>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00" w:type="dxa"/>
            <w:vAlign w:val="bottom"/>
          </w:tcPr>
          <w:p>
            <w:pPr>
              <w:ind w:left="40"/>
              <w:spacing w:after="0"/>
              <w:rPr>
                <w:sz w:val="20"/>
                <w:szCs w:val="20"/>
                <w:color w:val="auto"/>
              </w:rPr>
            </w:pPr>
            <w:r>
              <w:rPr>
                <w:rFonts w:ascii="Arial" w:cs="Arial" w:eastAsia="Arial" w:hAnsi="Arial"/>
                <w:sz w:val="11"/>
                <w:szCs w:val="11"/>
                <w:color w:val="231F20"/>
              </w:rPr>
              <w:t>Rate</w:t>
            </w:r>
          </w:p>
        </w:tc>
        <w:tc>
          <w:tcPr>
            <w:tcW w:w="220" w:type="dxa"/>
            <w:vAlign w:val="bottom"/>
            <w:tcBorders>
              <w:right w:val="single" w:sz="8" w:color="2360A6"/>
            </w:tcBorders>
          </w:tcPr>
          <w:p>
            <w:pPr>
              <w:spacing w:after="0"/>
              <w:rPr>
                <w:sz w:val="13"/>
                <w:szCs w:val="13"/>
                <w:color w:val="auto"/>
              </w:rPr>
            </w:pP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5.0%</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8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w:t>
            </w:r>
          </w:p>
        </w:tc>
        <w:tc>
          <w:tcPr>
            <w:tcW w:w="6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160" w:type="dxa"/>
            <w:vAlign w:val="bottom"/>
          </w:tcPr>
          <w:p>
            <w:pPr>
              <w:spacing w:after="0"/>
              <w:rPr>
                <w:sz w:val="13"/>
                <w:szCs w:val="13"/>
                <w:color w:val="auto"/>
              </w:rPr>
            </w:pPr>
          </w:p>
        </w:tc>
        <w:tc>
          <w:tcPr>
            <w:tcW w:w="4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w:t>
            </w:r>
          </w:p>
        </w:tc>
        <w:tc>
          <w:tcPr>
            <w:tcW w:w="520" w:type="dxa"/>
            <w:vAlign w:val="bottom"/>
          </w:tcPr>
          <w:p>
            <w:pPr>
              <w:jc w:val="right"/>
              <w:spacing w:after="0"/>
              <w:rPr>
                <w:sz w:val="20"/>
                <w:szCs w:val="20"/>
                <w:color w:val="auto"/>
              </w:rPr>
            </w:pPr>
            <w:r>
              <w:rPr>
                <w:rFonts w:ascii="Arial" w:cs="Arial" w:eastAsia="Arial" w:hAnsi="Arial"/>
                <w:sz w:val="11"/>
                <w:szCs w:val="11"/>
                <w:color w:val="231F20"/>
              </w:rPr>
              <w:t>/2.5%</w:t>
            </w:r>
          </w:p>
        </w:tc>
        <w:tc>
          <w:tcPr>
            <w:tcW w:w="40" w:type="dxa"/>
            <w:vAlign w:val="bottom"/>
            <w:tcBorders>
              <w:right w:val="single" w:sz="8" w:color="2360A6"/>
            </w:tcBorders>
          </w:tcPr>
          <w:p>
            <w:pPr>
              <w:spacing w:after="0"/>
              <w:rPr>
                <w:sz w:val="13"/>
                <w:szCs w:val="13"/>
                <w:color w:val="auto"/>
              </w:rPr>
            </w:pP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/2.5%</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/2.5%</w:t>
            </w:r>
          </w:p>
        </w:tc>
        <w:tc>
          <w:tcPr>
            <w:tcW w:w="680" w:type="dxa"/>
            <w:vAlign w:val="bottom"/>
            <w:tcBorders>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69"/>
        </w:trPr>
        <w:tc>
          <w:tcPr>
            <w:tcW w:w="500" w:type="dxa"/>
            <w:vAlign w:val="bottom"/>
            <w:tcBorders>
              <w:top w:val="single" w:sz="8" w:color="2360A6"/>
            </w:tcBorders>
          </w:tcPr>
          <w:p>
            <w:pPr>
              <w:ind w:left="40"/>
              <w:spacing w:after="0"/>
              <w:rPr>
                <w:sz w:val="20"/>
                <w:szCs w:val="20"/>
                <w:color w:val="auto"/>
              </w:rPr>
            </w:pPr>
            <w:r>
              <w:rPr>
                <w:rFonts w:ascii="Arial" w:cs="Arial" w:eastAsia="Arial" w:hAnsi="Arial"/>
                <w:sz w:val="11"/>
                <w:szCs w:val="11"/>
                <w:color w:val="231F20"/>
              </w:rPr>
              <w:t>Volatility</w:t>
            </w:r>
          </w:p>
        </w:tc>
        <w:tc>
          <w:tcPr>
            <w:tcW w:w="220" w:type="dxa"/>
            <w:vAlign w:val="bottom"/>
            <w:tcBorders>
              <w:top w:val="single" w:sz="8" w:color="2360A6"/>
              <w:right w:val="single" w:sz="8" w:color="2360A6"/>
            </w:tcBorders>
          </w:tcPr>
          <w:p>
            <w:pPr>
              <w:spacing w:after="0"/>
              <w:rPr>
                <w:sz w:val="14"/>
                <w:szCs w:val="14"/>
                <w:color w:val="auto"/>
              </w:rPr>
            </w:pP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30.3%</w:t>
            </w:r>
          </w:p>
        </w:tc>
        <w:tc>
          <w:tcPr>
            <w:tcW w:w="6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32.0%</w:t>
            </w:r>
          </w:p>
        </w:tc>
        <w:tc>
          <w:tcPr>
            <w:tcW w:w="82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34.4%</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34.4%</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32.9%</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39.1%</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39.1%</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39.1%</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32.0%</w:t>
            </w:r>
          </w:p>
        </w:tc>
        <w:tc>
          <w:tcPr>
            <w:tcW w:w="5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32.0%</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32.0%</w:t>
            </w:r>
          </w:p>
        </w:tc>
        <w:tc>
          <w:tcPr>
            <w:tcW w:w="6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34.2%</w:t>
            </w:r>
          </w:p>
        </w:tc>
        <w:tc>
          <w:tcPr>
            <w:tcW w:w="160" w:type="dxa"/>
            <w:vAlign w:val="bottom"/>
            <w:tcBorders>
              <w:top w:val="single" w:sz="8" w:color="2360A6"/>
            </w:tcBorders>
          </w:tcPr>
          <w:p>
            <w:pPr>
              <w:spacing w:after="0"/>
              <w:rPr>
                <w:sz w:val="14"/>
                <w:szCs w:val="14"/>
                <w:color w:val="auto"/>
              </w:rPr>
            </w:pPr>
          </w:p>
        </w:tc>
        <w:tc>
          <w:tcPr>
            <w:tcW w:w="42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33.5%</w:t>
            </w:r>
          </w:p>
        </w:tc>
        <w:tc>
          <w:tcPr>
            <w:tcW w:w="520" w:type="dxa"/>
            <w:vAlign w:val="bottom"/>
            <w:tcBorders>
              <w:top w:val="single" w:sz="8" w:color="2360A6"/>
            </w:tcBorders>
          </w:tcPr>
          <w:p>
            <w:pPr>
              <w:jc w:val="right"/>
              <w:spacing w:after="0"/>
              <w:rPr>
                <w:sz w:val="20"/>
                <w:szCs w:val="20"/>
                <w:color w:val="auto"/>
              </w:rPr>
            </w:pPr>
            <w:r>
              <w:rPr>
                <w:rFonts w:ascii="Arial" w:cs="Arial" w:eastAsia="Arial" w:hAnsi="Arial"/>
                <w:sz w:val="11"/>
                <w:szCs w:val="11"/>
                <w:color w:val="231F20"/>
              </w:rPr>
              <w:t>33.8%</w:t>
            </w:r>
          </w:p>
        </w:tc>
        <w:tc>
          <w:tcPr>
            <w:tcW w:w="40" w:type="dxa"/>
            <w:vAlign w:val="bottom"/>
            <w:tcBorders>
              <w:top w:val="single" w:sz="8" w:color="2360A6"/>
              <w:right w:val="single" w:sz="8" w:color="2360A6"/>
            </w:tcBorders>
          </w:tcPr>
          <w:p>
            <w:pPr>
              <w:spacing w:after="0"/>
              <w:rPr>
                <w:sz w:val="14"/>
                <w:szCs w:val="14"/>
                <w:color w:val="auto"/>
              </w:rPr>
            </w:pPr>
          </w:p>
        </w:tc>
        <w:tc>
          <w:tcPr>
            <w:tcW w:w="6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33.8%</w:t>
            </w:r>
          </w:p>
        </w:tc>
        <w:tc>
          <w:tcPr>
            <w:tcW w:w="5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29.2%</w:t>
            </w:r>
          </w:p>
        </w:tc>
        <w:tc>
          <w:tcPr>
            <w:tcW w:w="680" w:type="dxa"/>
            <w:vAlign w:val="bottom"/>
            <w:tcBorders>
              <w:top w:val="single" w:sz="8" w:color="2360A6"/>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auto"/>
              </w:rPr>
              <w:t>34.5%</w:t>
            </w:r>
          </w:p>
        </w:tc>
        <w:tc>
          <w:tcPr>
            <w:tcW w:w="0" w:type="dxa"/>
            <w:vAlign w:val="bottom"/>
          </w:tcPr>
          <w:p>
            <w:pPr>
              <w:spacing w:after="0"/>
              <w:rPr>
                <w:sz w:val="1"/>
                <w:szCs w:val="1"/>
                <w:color w:val="auto"/>
              </w:rPr>
            </w:pPr>
          </w:p>
        </w:tc>
      </w:tr>
      <w:tr>
        <w:trPr>
          <w:trHeight w:val="139"/>
        </w:trPr>
        <w:tc>
          <w:tcPr>
            <w:tcW w:w="720" w:type="dxa"/>
            <w:vAlign w:val="bottom"/>
            <w:tcBorders>
              <w:top w:val="single" w:sz="8" w:color="2360A6"/>
              <w:right w:val="single" w:sz="8" w:color="2360A6"/>
            </w:tcBorders>
            <w:gridSpan w:val="2"/>
          </w:tcPr>
          <w:p>
            <w:pPr>
              <w:ind w:left="40"/>
              <w:spacing w:after="0"/>
              <w:rPr>
                <w:sz w:val="20"/>
                <w:szCs w:val="20"/>
                <w:color w:val="auto"/>
              </w:rPr>
            </w:pPr>
            <w:r>
              <w:rPr>
                <w:rFonts w:ascii="Arial" w:cs="Arial" w:eastAsia="Arial" w:hAnsi="Arial"/>
                <w:sz w:val="11"/>
                <w:szCs w:val="11"/>
                <w:color w:val="231F20"/>
              </w:rPr>
              <w:t>Annual Risk</w:t>
            </w:r>
          </w:p>
        </w:tc>
        <w:tc>
          <w:tcPr>
            <w:tcW w:w="580" w:type="dxa"/>
            <w:vAlign w:val="bottom"/>
            <w:tcBorders>
              <w:top w:val="single" w:sz="8" w:color="2360A6"/>
              <w:right w:val="single" w:sz="8" w:color="2360A6"/>
            </w:tcBorders>
          </w:tcPr>
          <w:p>
            <w:pPr>
              <w:spacing w:after="0"/>
              <w:rPr>
                <w:sz w:val="12"/>
                <w:szCs w:val="12"/>
                <w:color w:val="auto"/>
              </w:rPr>
            </w:pPr>
          </w:p>
        </w:tc>
        <w:tc>
          <w:tcPr>
            <w:tcW w:w="680" w:type="dxa"/>
            <w:vAlign w:val="bottom"/>
            <w:tcBorders>
              <w:top w:val="single" w:sz="8" w:color="2360A6"/>
              <w:right w:val="single" w:sz="8" w:color="2360A6"/>
            </w:tcBorders>
          </w:tcPr>
          <w:p>
            <w:pPr>
              <w:spacing w:after="0"/>
              <w:rPr>
                <w:sz w:val="12"/>
                <w:szCs w:val="12"/>
                <w:color w:val="auto"/>
              </w:rPr>
            </w:pPr>
          </w:p>
        </w:tc>
        <w:tc>
          <w:tcPr>
            <w:tcW w:w="82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580" w:type="dxa"/>
            <w:vAlign w:val="bottom"/>
            <w:tcBorders>
              <w:top w:val="single" w:sz="8" w:color="2360A6"/>
              <w:right w:val="single" w:sz="8" w:color="2360A6"/>
            </w:tcBorders>
          </w:tcPr>
          <w:p>
            <w:pPr>
              <w:spacing w:after="0"/>
              <w:rPr>
                <w:sz w:val="12"/>
                <w:szCs w:val="12"/>
                <w:color w:val="auto"/>
              </w:rPr>
            </w:pPr>
          </w:p>
        </w:tc>
        <w:tc>
          <w:tcPr>
            <w:tcW w:w="680" w:type="dxa"/>
            <w:vAlign w:val="bottom"/>
            <w:tcBorders>
              <w:top w:val="single" w:sz="8" w:color="2360A6"/>
              <w:right w:val="single" w:sz="8" w:color="2360A6"/>
            </w:tcBorders>
          </w:tcPr>
          <w:p>
            <w:pPr>
              <w:spacing w:after="0"/>
              <w:rPr>
                <w:sz w:val="12"/>
                <w:szCs w:val="12"/>
                <w:color w:val="auto"/>
              </w:rPr>
            </w:pPr>
          </w:p>
        </w:tc>
        <w:tc>
          <w:tcPr>
            <w:tcW w:w="68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80" w:type="dxa"/>
            <w:vAlign w:val="bottom"/>
            <w:tcBorders>
              <w:top w:val="single" w:sz="8" w:color="2360A6"/>
              <w:right w:val="single" w:sz="8" w:color="2360A6"/>
            </w:tcBorders>
          </w:tcPr>
          <w:p>
            <w:pPr>
              <w:spacing w:after="0"/>
              <w:rPr>
                <w:sz w:val="12"/>
                <w:szCs w:val="12"/>
                <w:color w:val="auto"/>
              </w:rPr>
            </w:pPr>
          </w:p>
        </w:tc>
        <w:tc>
          <w:tcPr>
            <w:tcW w:w="660" w:type="dxa"/>
            <w:vAlign w:val="bottom"/>
            <w:tcBorders>
              <w:top w:val="single" w:sz="8" w:color="2360A6"/>
              <w:right w:val="single" w:sz="8" w:color="2360A6"/>
            </w:tcBorders>
          </w:tcPr>
          <w:p>
            <w:pPr>
              <w:spacing w:after="0"/>
              <w:rPr>
                <w:sz w:val="12"/>
                <w:szCs w:val="12"/>
                <w:color w:val="auto"/>
              </w:rPr>
            </w:pPr>
          </w:p>
        </w:tc>
        <w:tc>
          <w:tcPr>
            <w:tcW w:w="160" w:type="dxa"/>
            <w:vAlign w:val="bottom"/>
            <w:tcBorders>
              <w:top w:val="single" w:sz="8" w:color="2360A6"/>
            </w:tcBorders>
          </w:tcPr>
          <w:p>
            <w:pPr>
              <w:spacing w:after="0"/>
              <w:rPr>
                <w:sz w:val="12"/>
                <w:szCs w:val="12"/>
                <w:color w:val="auto"/>
              </w:rPr>
            </w:pPr>
          </w:p>
        </w:tc>
        <w:tc>
          <w:tcPr>
            <w:tcW w:w="420" w:type="dxa"/>
            <w:vAlign w:val="bottom"/>
            <w:tcBorders>
              <w:top w:val="single" w:sz="8" w:color="2360A6"/>
              <w:right w:val="single" w:sz="8" w:color="2360A6"/>
            </w:tcBorders>
          </w:tcPr>
          <w:p>
            <w:pPr>
              <w:spacing w:after="0"/>
              <w:rPr>
                <w:sz w:val="12"/>
                <w:szCs w:val="12"/>
                <w:color w:val="auto"/>
              </w:rPr>
            </w:pPr>
          </w:p>
        </w:tc>
        <w:tc>
          <w:tcPr>
            <w:tcW w:w="520" w:type="dxa"/>
            <w:vAlign w:val="bottom"/>
            <w:tcBorders>
              <w:top w:val="single" w:sz="8" w:color="2360A6"/>
            </w:tcBorders>
          </w:tcPr>
          <w:p>
            <w:pPr>
              <w:spacing w:after="0"/>
              <w:rPr>
                <w:sz w:val="12"/>
                <w:szCs w:val="12"/>
                <w:color w:val="auto"/>
              </w:rPr>
            </w:pPr>
          </w:p>
        </w:tc>
        <w:tc>
          <w:tcPr>
            <w:tcW w:w="40" w:type="dxa"/>
            <w:vAlign w:val="bottom"/>
            <w:tcBorders>
              <w:top w:val="single" w:sz="8" w:color="2360A6"/>
              <w:right w:val="single" w:sz="8" w:color="2360A6"/>
            </w:tcBorders>
          </w:tcPr>
          <w:p>
            <w:pPr>
              <w:spacing w:after="0"/>
              <w:rPr>
                <w:sz w:val="12"/>
                <w:szCs w:val="12"/>
                <w:color w:val="auto"/>
              </w:rPr>
            </w:pPr>
          </w:p>
        </w:tc>
        <w:tc>
          <w:tcPr>
            <w:tcW w:w="680" w:type="dxa"/>
            <w:vAlign w:val="bottom"/>
            <w:tcBorders>
              <w:top w:val="single" w:sz="8" w:color="2360A6"/>
              <w:right w:val="single" w:sz="8" w:color="2360A6"/>
            </w:tcBorders>
          </w:tcPr>
          <w:p>
            <w:pPr>
              <w:spacing w:after="0"/>
              <w:rPr>
                <w:sz w:val="12"/>
                <w:szCs w:val="12"/>
                <w:color w:val="auto"/>
              </w:rPr>
            </w:pPr>
          </w:p>
        </w:tc>
        <w:tc>
          <w:tcPr>
            <w:tcW w:w="560" w:type="dxa"/>
            <w:vAlign w:val="bottom"/>
            <w:tcBorders>
              <w:top w:val="single" w:sz="8" w:color="2360A6"/>
              <w:right w:val="single" w:sz="8" w:color="2360A6"/>
            </w:tcBorders>
          </w:tcPr>
          <w:p>
            <w:pPr>
              <w:spacing w:after="0"/>
              <w:rPr>
                <w:sz w:val="12"/>
                <w:szCs w:val="12"/>
                <w:color w:val="auto"/>
              </w:rPr>
            </w:pPr>
          </w:p>
        </w:tc>
        <w:tc>
          <w:tcPr>
            <w:tcW w:w="680" w:type="dxa"/>
            <w:vAlign w:val="bottom"/>
            <w:tcBorders>
              <w:top w:val="single" w:sz="8" w:color="2360A6"/>
              <w:right w:val="single" w:sz="8" w:color="2360A6"/>
            </w:tcBorders>
            <w:shd w:val="clear" w:color="auto" w:fill="EDEDE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720" w:type="dxa"/>
            <w:vAlign w:val="bottom"/>
            <w:tcBorders>
              <w:right w:val="single" w:sz="8" w:color="2360A6"/>
            </w:tcBorders>
            <w:gridSpan w:val="2"/>
          </w:tcPr>
          <w:p>
            <w:pPr>
              <w:ind w:left="40"/>
              <w:spacing w:after="0" w:line="122" w:lineRule="exact"/>
              <w:rPr>
                <w:sz w:val="20"/>
                <w:szCs w:val="20"/>
                <w:color w:val="auto"/>
              </w:rPr>
            </w:pPr>
            <w:r>
              <w:rPr>
                <w:rFonts w:ascii="Arial" w:cs="Arial" w:eastAsia="Arial" w:hAnsi="Arial"/>
                <w:sz w:val="11"/>
                <w:szCs w:val="11"/>
                <w:color w:val="231F20"/>
              </w:rPr>
              <w:t>Free Interest</w:t>
            </w:r>
          </w:p>
        </w:tc>
        <w:tc>
          <w:tcPr>
            <w:tcW w:w="5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82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660" w:type="dxa"/>
            <w:vAlign w:val="bottom"/>
            <w:tcBorders>
              <w:right w:val="single" w:sz="8" w:color="2360A6"/>
            </w:tcBorders>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right w:val="single" w:sz="8" w:color="2360A6"/>
            </w:tcBorders>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500" w:type="dxa"/>
            <w:vAlign w:val="bottom"/>
          </w:tcPr>
          <w:p>
            <w:pPr>
              <w:ind w:left="40"/>
              <w:spacing w:after="0"/>
              <w:rPr>
                <w:sz w:val="20"/>
                <w:szCs w:val="20"/>
                <w:color w:val="auto"/>
              </w:rPr>
            </w:pPr>
            <w:r>
              <w:rPr>
                <w:rFonts w:ascii="Arial" w:cs="Arial" w:eastAsia="Arial" w:hAnsi="Arial"/>
                <w:sz w:val="11"/>
                <w:szCs w:val="11"/>
                <w:color w:val="231F20"/>
              </w:rPr>
              <w:t>Rate</w:t>
            </w:r>
          </w:p>
        </w:tc>
        <w:tc>
          <w:tcPr>
            <w:tcW w:w="220" w:type="dxa"/>
            <w:vAlign w:val="bottom"/>
            <w:tcBorders>
              <w:right w:val="single" w:sz="8" w:color="2360A6"/>
            </w:tcBorders>
          </w:tcPr>
          <w:p>
            <w:pPr>
              <w:spacing w:after="0"/>
              <w:rPr>
                <w:sz w:val="13"/>
                <w:szCs w:val="13"/>
                <w:color w:val="auto"/>
              </w:rPr>
            </w:pPr>
          </w:p>
        </w:tc>
        <w:tc>
          <w:tcPr>
            <w:tcW w:w="580" w:type="dxa"/>
            <w:vAlign w:val="bottom"/>
            <w:tcBorders>
              <w:right w:val="single" w:sz="8" w:color="2360A6"/>
            </w:tcBorders>
          </w:tcPr>
          <w:p>
            <w:pPr>
              <w:spacing w:after="0"/>
              <w:rPr>
                <w:sz w:val="13"/>
                <w:szCs w:val="13"/>
                <w:color w:val="auto"/>
              </w:rPr>
            </w:pPr>
          </w:p>
        </w:tc>
        <w:tc>
          <w:tcPr>
            <w:tcW w:w="680" w:type="dxa"/>
            <w:vAlign w:val="bottom"/>
            <w:tcBorders>
              <w:right w:val="single" w:sz="8" w:color="2360A6"/>
            </w:tcBorders>
          </w:tcPr>
          <w:p>
            <w:pPr>
              <w:spacing w:after="0"/>
              <w:rPr>
                <w:sz w:val="13"/>
                <w:szCs w:val="13"/>
                <w:color w:val="auto"/>
              </w:rPr>
            </w:pPr>
          </w:p>
        </w:tc>
        <w:tc>
          <w:tcPr>
            <w:tcW w:w="820" w:type="dxa"/>
            <w:vAlign w:val="bottom"/>
            <w:tcBorders>
              <w:right w:val="single" w:sz="8" w:color="2360A6"/>
            </w:tcBorders>
          </w:tcPr>
          <w:p>
            <w:pPr>
              <w:spacing w:after="0"/>
              <w:rPr>
                <w:sz w:val="13"/>
                <w:szCs w:val="13"/>
                <w:color w:val="auto"/>
              </w:rPr>
            </w:pPr>
          </w:p>
        </w:tc>
        <w:tc>
          <w:tcPr>
            <w:tcW w:w="580" w:type="dxa"/>
            <w:vAlign w:val="bottom"/>
            <w:tcBorders>
              <w:right w:val="single" w:sz="8" w:color="2360A6"/>
            </w:tcBorders>
          </w:tcPr>
          <w:p>
            <w:pPr>
              <w:spacing w:after="0"/>
              <w:rPr>
                <w:sz w:val="13"/>
                <w:szCs w:val="13"/>
                <w:color w:val="auto"/>
              </w:rPr>
            </w:pPr>
          </w:p>
        </w:tc>
        <w:tc>
          <w:tcPr>
            <w:tcW w:w="580" w:type="dxa"/>
            <w:vAlign w:val="bottom"/>
            <w:tcBorders>
              <w:right w:val="single" w:sz="8" w:color="2360A6"/>
            </w:tcBorders>
          </w:tcPr>
          <w:p>
            <w:pPr>
              <w:spacing w:after="0"/>
              <w:rPr>
                <w:sz w:val="13"/>
                <w:szCs w:val="13"/>
                <w:color w:val="auto"/>
              </w:rPr>
            </w:pPr>
          </w:p>
        </w:tc>
        <w:tc>
          <w:tcPr>
            <w:tcW w:w="580" w:type="dxa"/>
            <w:vAlign w:val="bottom"/>
            <w:tcBorders>
              <w:right w:val="single" w:sz="8" w:color="2360A6"/>
            </w:tcBorders>
          </w:tcPr>
          <w:p>
            <w:pPr>
              <w:spacing w:after="0"/>
              <w:rPr>
                <w:sz w:val="13"/>
                <w:szCs w:val="13"/>
                <w:color w:val="auto"/>
              </w:rPr>
            </w:pPr>
          </w:p>
        </w:tc>
        <w:tc>
          <w:tcPr>
            <w:tcW w:w="580" w:type="dxa"/>
            <w:vAlign w:val="bottom"/>
            <w:tcBorders>
              <w:right w:val="single" w:sz="8" w:color="2360A6"/>
            </w:tcBorders>
          </w:tcPr>
          <w:p>
            <w:pPr>
              <w:spacing w:after="0"/>
              <w:rPr>
                <w:sz w:val="13"/>
                <w:szCs w:val="13"/>
                <w:color w:val="auto"/>
              </w:rPr>
            </w:pPr>
          </w:p>
        </w:tc>
        <w:tc>
          <w:tcPr>
            <w:tcW w:w="680" w:type="dxa"/>
            <w:vAlign w:val="bottom"/>
            <w:tcBorders>
              <w:right w:val="single" w:sz="8" w:color="2360A6"/>
            </w:tcBorders>
          </w:tcPr>
          <w:p>
            <w:pPr>
              <w:spacing w:after="0"/>
              <w:rPr>
                <w:sz w:val="13"/>
                <w:szCs w:val="13"/>
                <w:color w:val="auto"/>
              </w:rPr>
            </w:pPr>
          </w:p>
        </w:tc>
        <w:tc>
          <w:tcPr>
            <w:tcW w:w="680" w:type="dxa"/>
            <w:vAlign w:val="bottom"/>
            <w:tcBorders>
              <w:right w:val="single" w:sz="8" w:color="2360A6"/>
            </w:tcBorders>
          </w:tcPr>
          <w:p>
            <w:pPr>
              <w:spacing w:after="0"/>
              <w:rPr>
                <w:sz w:val="13"/>
                <w:szCs w:val="13"/>
                <w:color w:val="auto"/>
              </w:rPr>
            </w:pPr>
          </w:p>
        </w:tc>
        <w:tc>
          <w:tcPr>
            <w:tcW w:w="560" w:type="dxa"/>
            <w:vAlign w:val="bottom"/>
            <w:tcBorders>
              <w:right w:val="single" w:sz="8" w:color="2360A6"/>
            </w:tcBorders>
          </w:tcPr>
          <w:p>
            <w:pPr>
              <w:spacing w:after="0"/>
              <w:rPr>
                <w:sz w:val="13"/>
                <w:szCs w:val="13"/>
                <w:color w:val="auto"/>
              </w:rPr>
            </w:pPr>
          </w:p>
        </w:tc>
        <w:tc>
          <w:tcPr>
            <w:tcW w:w="680" w:type="dxa"/>
            <w:vAlign w:val="bottom"/>
            <w:tcBorders>
              <w:right w:val="single" w:sz="8" w:color="2360A6"/>
            </w:tcBorders>
          </w:tcPr>
          <w:p>
            <w:pPr>
              <w:spacing w:after="0"/>
              <w:rPr>
                <w:sz w:val="13"/>
                <w:szCs w:val="13"/>
                <w:color w:val="auto"/>
              </w:rPr>
            </w:pPr>
          </w:p>
        </w:tc>
        <w:tc>
          <w:tcPr>
            <w:tcW w:w="660" w:type="dxa"/>
            <w:vAlign w:val="bottom"/>
            <w:tcBorders>
              <w:right w:val="single" w:sz="8" w:color="2360A6"/>
            </w:tcBorders>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right w:val="single" w:sz="8" w:color="2360A6"/>
            </w:tcBorders>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Borders>
              <w:right w:val="single" w:sz="8" w:color="2360A6"/>
            </w:tcBorders>
          </w:tcPr>
          <w:p>
            <w:pPr>
              <w:spacing w:after="0"/>
              <w:rPr>
                <w:sz w:val="13"/>
                <w:szCs w:val="13"/>
                <w:color w:val="auto"/>
              </w:rPr>
            </w:pPr>
          </w:p>
        </w:tc>
        <w:tc>
          <w:tcPr>
            <w:tcW w:w="680" w:type="dxa"/>
            <w:vAlign w:val="bottom"/>
            <w:tcBorders>
              <w:right w:val="single" w:sz="8" w:color="2360A6"/>
            </w:tcBorders>
          </w:tcPr>
          <w:p>
            <w:pPr>
              <w:spacing w:after="0"/>
              <w:rPr>
                <w:sz w:val="13"/>
                <w:szCs w:val="13"/>
                <w:color w:val="auto"/>
              </w:rPr>
            </w:pPr>
          </w:p>
        </w:tc>
        <w:tc>
          <w:tcPr>
            <w:tcW w:w="560" w:type="dxa"/>
            <w:vAlign w:val="bottom"/>
            <w:tcBorders>
              <w:right w:val="single" w:sz="8" w:color="2360A6"/>
            </w:tcBorders>
          </w:tcPr>
          <w:p>
            <w:pPr>
              <w:spacing w:after="0"/>
              <w:rPr>
                <w:sz w:val="13"/>
                <w:szCs w:val="13"/>
                <w:color w:val="auto"/>
              </w:rPr>
            </w:pPr>
          </w:p>
        </w:tc>
        <w:tc>
          <w:tcPr>
            <w:tcW w:w="680" w:type="dxa"/>
            <w:vAlign w:val="bottom"/>
            <w:tcBorders>
              <w:bottom w:val="single" w:sz="8" w:color="EDEDEE"/>
              <w:right w:val="single" w:sz="8" w:color="2360A6"/>
            </w:tcBorders>
            <w:shd w:val="clear" w:color="auto" w:fill="EDEDE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0" w:type="dxa"/>
            <w:vAlign w:val="bottom"/>
            <w:tcBorders>
              <w:top w:val="single" w:sz="8" w:color="2360A6"/>
            </w:tcBorders>
          </w:tcPr>
          <w:p>
            <w:pPr>
              <w:ind w:left="40"/>
              <w:spacing w:after="0"/>
              <w:rPr>
                <w:sz w:val="20"/>
                <w:szCs w:val="20"/>
                <w:color w:val="auto"/>
              </w:rPr>
            </w:pPr>
            <w:r>
              <w:rPr>
                <w:rFonts w:ascii="Arial" w:cs="Arial" w:eastAsia="Arial" w:hAnsi="Arial"/>
                <w:sz w:val="11"/>
                <w:szCs w:val="11"/>
                <w:color w:val="231F20"/>
                <w:w w:val="97"/>
              </w:rPr>
              <w:t>6 months</w:t>
            </w:r>
          </w:p>
        </w:tc>
        <w:tc>
          <w:tcPr>
            <w:tcW w:w="220" w:type="dxa"/>
            <w:vAlign w:val="bottom"/>
            <w:tcBorders>
              <w:top w:val="single" w:sz="8" w:color="2360A6"/>
              <w:right w:val="single" w:sz="8" w:color="2360A6"/>
            </w:tcBorders>
          </w:tcPr>
          <w:p>
            <w:pPr>
              <w:spacing w:after="0"/>
              <w:rPr>
                <w:sz w:val="14"/>
                <w:szCs w:val="14"/>
                <w:color w:val="auto"/>
              </w:rPr>
            </w:pP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4.0%</w:t>
            </w:r>
          </w:p>
        </w:tc>
        <w:tc>
          <w:tcPr>
            <w:tcW w:w="6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4.9%</w:t>
            </w:r>
          </w:p>
        </w:tc>
        <w:tc>
          <w:tcPr>
            <w:tcW w:w="82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5.1%</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5.2%</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1.5%</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0.4%</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0.4%</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0.4%</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1.3%</w:t>
            </w:r>
          </w:p>
        </w:tc>
        <w:tc>
          <w:tcPr>
            <w:tcW w:w="5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1.3%</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1.3%</w:t>
            </w:r>
          </w:p>
        </w:tc>
        <w:tc>
          <w:tcPr>
            <w:tcW w:w="6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0.3%</w:t>
            </w:r>
          </w:p>
        </w:tc>
        <w:tc>
          <w:tcPr>
            <w:tcW w:w="160" w:type="dxa"/>
            <w:vAlign w:val="bottom"/>
            <w:tcBorders>
              <w:top w:val="single" w:sz="8" w:color="2360A6"/>
            </w:tcBorders>
          </w:tcPr>
          <w:p>
            <w:pPr>
              <w:spacing w:after="0"/>
              <w:rPr>
                <w:sz w:val="14"/>
                <w:szCs w:val="14"/>
                <w:color w:val="auto"/>
              </w:rPr>
            </w:pPr>
          </w:p>
        </w:tc>
        <w:tc>
          <w:tcPr>
            <w:tcW w:w="42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0.1%</w:t>
            </w:r>
          </w:p>
        </w:tc>
        <w:tc>
          <w:tcPr>
            <w:tcW w:w="520" w:type="dxa"/>
            <w:vAlign w:val="bottom"/>
            <w:tcBorders>
              <w:top w:val="single" w:sz="8" w:color="2360A6"/>
            </w:tcBorders>
          </w:tcPr>
          <w:p>
            <w:pPr>
              <w:jc w:val="right"/>
              <w:spacing w:after="0"/>
              <w:rPr>
                <w:sz w:val="20"/>
                <w:szCs w:val="20"/>
                <w:color w:val="auto"/>
              </w:rPr>
            </w:pPr>
            <w:r>
              <w:rPr>
                <w:rFonts w:ascii="Arial" w:cs="Arial" w:eastAsia="Arial" w:hAnsi="Arial"/>
                <w:sz w:val="11"/>
                <w:szCs w:val="11"/>
                <w:color w:val="231F20"/>
              </w:rPr>
              <w:t>0.1%</w:t>
            </w:r>
          </w:p>
        </w:tc>
        <w:tc>
          <w:tcPr>
            <w:tcW w:w="40" w:type="dxa"/>
            <w:vAlign w:val="bottom"/>
            <w:tcBorders>
              <w:top w:val="single" w:sz="8" w:color="2360A6"/>
              <w:right w:val="single" w:sz="8" w:color="2360A6"/>
            </w:tcBorders>
          </w:tcPr>
          <w:p>
            <w:pPr>
              <w:spacing w:after="0"/>
              <w:rPr>
                <w:sz w:val="14"/>
                <w:szCs w:val="14"/>
                <w:color w:val="auto"/>
              </w:rPr>
            </w:pPr>
          </w:p>
        </w:tc>
        <w:tc>
          <w:tcPr>
            <w:tcW w:w="6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0.1%</w:t>
            </w:r>
          </w:p>
        </w:tc>
        <w:tc>
          <w:tcPr>
            <w:tcW w:w="5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(0.2)%</w:t>
            </w:r>
          </w:p>
        </w:tc>
        <w:tc>
          <w:tcPr>
            <w:tcW w:w="680" w:type="dxa"/>
            <w:vAlign w:val="bottom"/>
            <w:tcBorders>
              <w:top w:val="single" w:sz="8" w:color="2360A6"/>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auto"/>
              </w:rPr>
              <w:t>(0.7)%</w:t>
            </w:r>
          </w:p>
        </w:tc>
        <w:tc>
          <w:tcPr>
            <w:tcW w:w="0" w:type="dxa"/>
            <w:vAlign w:val="bottom"/>
          </w:tcPr>
          <w:p>
            <w:pPr>
              <w:spacing w:after="0"/>
              <w:rPr>
                <w:sz w:val="1"/>
                <w:szCs w:val="1"/>
                <w:color w:val="auto"/>
              </w:rPr>
            </w:pPr>
          </w:p>
        </w:tc>
      </w:tr>
      <w:tr>
        <w:trPr>
          <w:trHeight w:val="169"/>
        </w:trPr>
        <w:tc>
          <w:tcPr>
            <w:tcW w:w="500" w:type="dxa"/>
            <w:vAlign w:val="bottom"/>
            <w:tcBorders>
              <w:top w:val="single" w:sz="8" w:color="2360A6"/>
            </w:tcBorders>
          </w:tcPr>
          <w:p>
            <w:pPr>
              <w:ind w:left="40"/>
              <w:spacing w:after="0"/>
              <w:rPr>
                <w:sz w:val="20"/>
                <w:szCs w:val="20"/>
                <w:color w:val="auto"/>
              </w:rPr>
            </w:pPr>
            <w:r>
              <w:rPr>
                <w:rFonts w:ascii="Arial" w:cs="Arial" w:eastAsia="Arial" w:hAnsi="Arial"/>
                <w:sz w:val="11"/>
                <w:szCs w:val="11"/>
                <w:color w:val="231F20"/>
              </w:rPr>
              <w:t>1 year</w:t>
            </w:r>
          </w:p>
        </w:tc>
        <w:tc>
          <w:tcPr>
            <w:tcW w:w="220" w:type="dxa"/>
            <w:vAlign w:val="bottom"/>
            <w:tcBorders>
              <w:top w:val="single" w:sz="8" w:color="2360A6"/>
              <w:right w:val="single" w:sz="8" w:color="2360A6"/>
            </w:tcBorders>
          </w:tcPr>
          <w:p>
            <w:pPr>
              <w:spacing w:after="0"/>
              <w:rPr>
                <w:sz w:val="14"/>
                <w:szCs w:val="14"/>
                <w:color w:val="auto"/>
              </w:rPr>
            </w:pP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4.1%</w:t>
            </w:r>
          </w:p>
        </w:tc>
        <w:tc>
          <w:tcPr>
            <w:tcW w:w="6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4.9%</w:t>
            </w:r>
          </w:p>
        </w:tc>
        <w:tc>
          <w:tcPr>
            <w:tcW w:w="82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5.4%</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5.4%</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1.7%</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0.5%</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0.5%</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0.5%</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1.5%</w:t>
            </w:r>
          </w:p>
        </w:tc>
        <w:tc>
          <w:tcPr>
            <w:tcW w:w="5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1.5%</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1.5%</w:t>
            </w:r>
          </w:p>
        </w:tc>
        <w:tc>
          <w:tcPr>
            <w:tcW w:w="6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0.3%</w:t>
            </w:r>
          </w:p>
        </w:tc>
        <w:tc>
          <w:tcPr>
            <w:tcW w:w="160" w:type="dxa"/>
            <w:vAlign w:val="bottom"/>
            <w:tcBorders>
              <w:top w:val="single" w:sz="8" w:color="2360A6"/>
            </w:tcBorders>
          </w:tcPr>
          <w:p>
            <w:pPr>
              <w:spacing w:after="0"/>
              <w:rPr>
                <w:sz w:val="14"/>
                <w:szCs w:val="14"/>
                <w:color w:val="auto"/>
              </w:rPr>
            </w:pPr>
          </w:p>
        </w:tc>
        <w:tc>
          <w:tcPr>
            <w:tcW w:w="42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0.1%</w:t>
            </w:r>
          </w:p>
        </w:tc>
        <w:tc>
          <w:tcPr>
            <w:tcW w:w="520" w:type="dxa"/>
            <w:vAlign w:val="bottom"/>
            <w:tcBorders>
              <w:top w:val="single" w:sz="8" w:color="2360A6"/>
            </w:tcBorders>
          </w:tcPr>
          <w:p>
            <w:pPr>
              <w:jc w:val="right"/>
              <w:spacing w:after="0"/>
              <w:rPr>
                <w:sz w:val="20"/>
                <w:szCs w:val="20"/>
                <w:color w:val="auto"/>
              </w:rPr>
            </w:pPr>
            <w:r>
              <w:rPr>
                <w:rFonts w:ascii="Arial" w:cs="Arial" w:eastAsia="Arial" w:hAnsi="Arial"/>
                <w:sz w:val="11"/>
                <w:szCs w:val="11"/>
                <w:color w:val="231F20"/>
              </w:rPr>
              <w:t>0.1%</w:t>
            </w:r>
          </w:p>
        </w:tc>
        <w:tc>
          <w:tcPr>
            <w:tcW w:w="40" w:type="dxa"/>
            <w:vAlign w:val="bottom"/>
            <w:tcBorders>
              <w:top w:val="single" w:sz="8" w:color="2360A6"/>
              <w:right w:val="single" w:sz="8" w:color="2360A6"/>
            </w:tcBorders>
          </w:tcPr>
          <w:p>
            <w:pPr>
              <w:spacing w:after="0"/>
              <w:rPr>
                <w:sz w:val="14"/>
                <w:szCs w:val="14"/>
                <w:color w:val="auto"/>
              </w:rPr>
            </w:pPr>
          </w:p>
        </w:tc>
        <w:tc>
          <w:tcPr>
            <w:tcW w:w="6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0.1%</w:t>
            </w:r>
          </w:p>
        </w:tc>
        <w:tc>
          <w:tcPr>
            <w:tcW w:w="5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(0.2)%</w:t>
            </w:r>
          </w:p>
        </w:tc>
        <w:tc>
          <w:tcPr>
            <w:tcW w:w="680" w:type="dxa"/>
            <w:vAlign w:val="bottom"/>
            <w:tcBorders>
              <w:top w:val="single" w:sz="8" w:color="2360A6"/>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69"/>
        </w:trPr>
        <w:tc>
          <w:tcPr>
            <w:tcW w:w="500" w:type="dxa"/>
            <w:vAlign w:val="bottom"/>
            <w:tcBorders>
              <w:top w:val="single" w:sz="8" w:color="2360A6"/>
            </w:tcBorders>
          </w:tcPr>
          <w:p>
            <w:pPr>
              <w:ind w:left="40"/>
              <w:spacing w:after="0"/>
              <w:rPr>
                <w:sz w:val="20"/>
                <w:szCs w:val="20"/>
                <w:color w:val="auto"/>
              </w:rPr>
            </w:pPr>
            <w:r>
              <w:rPr>
                <w:rFonts w:ascii="Arial" w:cs="Arial" w:eastAsia="Arial" w:hAnsi="Arial"/>
                <w:sz w:val="11"/>
                <w:szCs w:val="11"/>
                <w:color w:val="231F20"/>
              </w:rPr>
              <w:t>3 years</w:t>
            </w:r>
          </w:p>
        </w:tc>
        <w:tc>
          <w:tcPr>
            <w:tcW w:w="220" w:type="dxa"/>
            <w:vAlign w:val="bottom"/>
            <w:tcBorders>
              <w:top w:val="single" w:sz="8" w:color="2360A6"/>
              <w:right w:val="single" w:sz="8" w:color="2360A6"/>
            </w:tcBorders>
          </w:tcPr>
          <w:p>
            <w:pPr>
              <w:spacing w:after="0"/>
              <w:rPr>
                <w:sz w:val="14"/>
                <w:szCs w:val="14"/>
                <w:color w:val="auto"/>
              </w:rPr>
            </w:pP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3.9%</w:t>
            </w:r>
          </w:p>
        </w:tc>
        <w:tc>
          <w:tcPr>
            <w:tcW w:w="6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4.1%</w:t>
            </w:r>
          </w:p>
        </w:tc>
        <w:tc>
          <w:tcPr>
            <w:tcW w:w="82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4.7%</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4.7%</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2.2%</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1.2%</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1.2%</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1.2%</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2.0%</w:t>
            </w:r>
          </w:p>
        </w:tc>
        <w:tc>
          <w:tcPr>
            <w:tcW w:w="5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2.0%</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2.0%</w:t>
            </w:r>
          </w:p>
        </w:tc>
        <w:tc>
          <w:tcPr>
            <w:tcW w:w="6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0.8%</w:t>
            </w:r>
          </w:p>
        </w:tc>
        <w:tc>
          <w:tcPr>
            <w:tcW w:w="160" w:type="dxa"/>
            <w:vAlign w:val="bottom"/>
            <w:tcBorders>
              <w:top w:val="single" w:sz="8" w:color="2360A6"/>
            </w:tcBorders>
          </w:tcPr>
          <w:p>
            <w:pPr>
              <w:spacing w:after="0"/>
              <w:rPr>
                <w:sz w:val="14"/>
                <w:szCs w:val="14"/>
                <w:color w:val="auto"/>
              </w:rPr>
            </w:pPr>
          </w:p>
        </w:tc>
        <w:tc>
          <w:tcPr>
            <w:tcW w:w="42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0.2%</w:t>
            </w:r>
          </w:p>
        </w:tc>
        <w:tc>
          <w:tcPr>
            <w:tcW w:w="520" w:type="dxa"/>
            <w:vAlign w:val="bottom"/>
            <w:tcBorders>
              <w:top w:val="single" w:sz="8" w:color="2360A6"/>
            </w:tcBorders>
          </w:tcPr>
          <w:p>
            <w:pPr>
              <w:jc w:val="right"/>
              <w:spacing w:after="0"/>
              <w:rPr>
                <w:sz w:val="20"/>
                <w:szCs w:val="20"/>
                <w:color w:val="auto"/>
              </w:rPr>
            </w:pPr>
            <w:r>
              <w:rPr>
                <w:rFonts w:ascii="Arial" w:cs="Arial" w:eastAsia="Arial" w:hAnsi="Arial"/>
                <w:sz w:val="11"/>
                <w:szCs w:val="11"/>
                <w:color w:val="231F20"/>
              </w:rPr>
              <w:t>0.5%</w:t>
            </w:r>
          </w:p>
        </w:tc>
        <w:tc>
          <w:tcPr>
            <w:tcW w:w="40" w:type="dxa"/>
            <w:vAlign w:val="bottom"/>
            <w:tcBorders>
              <w:top w:val="single" w:sz="8" w:color="2360A6"/>
              <w:right w:val="single" w:sz="8" w:color="2360A6"/>
            </w:tcBorders>
          </w:tcPr>
          <w:p>
            <w:pPr>
              <w:spacing w:after="0"/>
              <w:rPr>
                <w:sz w:val="14"/>
                <w:szCs w:val="14"/>
                <w:color w:val="auto"/>
              </w:rPr>
            </w:pPr>
          </w:p>
        </w:tc>
        <w:tc>
          <w:tcPr>
            <w:tcW w:w="6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0.5%</w:t>
            </w:r>
          </w:p>
        </w:tc>
        <w:tc>
          <w:tcPr>
            <w:tcW w:w="5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(0.1)%</w:t>
            </w:r>
          </w:p>
        </w:tc>
        <w:tc>
          <w:tcPr>
            <w:tcW w:w="680" w:type="dxa"/>
            <w:vAlign w:val="bottom"/>
            <w:tcBorders>
              <w:top w:val="single" w:sz="8" w:color="2360A6"/>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69"/>
        </w:trPr>
        <w:tc>
          <w:tcPr>
            <w:tcW w:w="500" w:type="dxa"/>
            <w:vAlign w:val="bottom"/>
            <w:tcBorders>
              <w:top w:val="single" w:sz="8" w:color="2360A6"/>
            </w:tcBorders>
          </w:tcPr>
          <w:p>
            <w:pPr>
              <w:ind w:left="40"/>
              <w:spacing w:after="0"/>
              <w:rPr>
                <w:sz w:val="20"/>
                <w:szCs w:val="20"/>
                <w:color w:val="auto"/>
              </w:rPr>
            </w:pPr>
            <w:r>
              <w:rPr>
                <w:rFonts w:ascii="Arial" w:cs="Arial" w:eastAsia="Arial" w:hAnsi="Arial"/>
                <w:sz w:val="11"/>
                <w:szCs w:val="11"/>
                <w:color w:val="231F20"/>
              </w:rPr>
              <w:t>5 years</w:t>
            </w:r>
          </w:p>
        </w:tc>
        <w:tc>
          <w:tcPr>
            <w:tcW w:w="220" w:type="dxa"/>
            <w:vAlign w:val="bottom"/>
            <w:tcBorders>
              <w:top w:val="single" w:sz="8" w:color="2360A6"/>
              <w:right w:val="single" w:sz="8" w:color="2360A6"/>
            </w:tcBorders>
          </w:tcPr>
          <w:p>
            <w:pPr>
              <w:spacing w:after="0"/>
              <w:rPr>
                <w:sz w:val="14"/>
                <w:szCs w:val="14"/>
                <w:color w:val="auto"/>
              </w:rPr>
            </w:pP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4.0%</w:t>
            </w:r>
          </w:p>
        </w:tc>
        <w:tc>
          <w:tcPr>
            <w:tcW w:w="6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4.2%</w:t>
            </w:r>
          </w:p>
        </w:tc>
        <w:tc>
          <w:tcPr>
            <w:tcW w:w="82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4.8%</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4.8%</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2.9%</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1.9%</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1.9%</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1.9%</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2.6%</w:t>
            </w:r>
          </w:p>
        </w:tc>
        <w:tc>
          <w:tcPr>
            <w:tcW w:w="5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2.6%</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2.6%</w:t>
            </w:r>
          </w:p>
        </w:tc>
        <w:tc>
          <w:tcPr>
            <w:tcW w:w="6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1.6%</w:t>
            </w:r>
          </w:p>
        </w:tc>
        <w:tc>
          <w:tcPr>
            <w:tcW w:w="160" w:type="dxa"/>
            <w:vAlign w:val="bottom"/>
            <w:tcBorders>
              <w:top w:val="single" w:sz="8" w:color="2360A6"/>
            </w:tcBorders>
          </w:tcPr>
          <w:p>
            <w:pPr>
              <w:spacing w:after="0"/>
              <w:rPr>
                <w:sz w:val="14"/>
                <w:szCs w:val="14"/>
                <w:color w:val="auto"/>
              </w:rPr>
            </w:pPr>
          </w:p>
        </w:tc>
        <w:tc>
          <w:tcPr>
            <w:tcW w:w="42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0.8%</w:t>
            </w:r>
          </w:p>
        </w:tc>
        <w:tc>
          <w:tcPr>
            <w:tcW w:w="520" w:type="dxa"/>
            <w:vAlign w:val="bottom"/>
            <w:tcBorders>
              <w:top w:val="single" w:sz="8" w:color="2360A6"/>
            </w:tcBorders>
          </w:tcPr>
          <w:p>
            <w:pPr>
              <w:jc w:val="right"/>
              <w:spacing w:after="0"/>
              <w:rPr>
                <w:sz w:val="20"/>
                <w:szCs w:val="20"/>
                <w:color w:val="auto"/>
              </w:rPr>
            </w:pPr>
            <w:r>
              <w:rPr>
                <w:rFonts w:ascii="Arial" w:cs="Arial" w:eastAsia="Arial" w:hAnsi="Arial"/>
                <w:sz w:val="11"/>
                <w:szCs w:val="11"/>
                <w:color w:val="231F20"/>
              </w:rPr>
              <w:t>1.0%</w:t>
            </w:r>
          </w:p>
        </w:tc>
        <w:tc>
          <w:tcPr>
            <w:tcW w:w="40" w:type="dxa"/>
            <w:vAlign w:val="bottom"/>
            <w:tcBorders>
              <w:top w:val="single" w:sz="8" w:color="2360A6"/>
              <w:right w:val="single" w:sz="8" w:color="2360A6"/>
            </w:tcBorders>
          </w:tcPr>
          <w:p>
            <w:pPr>
              <w:spacing w:after="0"/>
              <w:rPr>
                <w:sz w:val="14"/>
                <w:szCs w:val="14"/>
                <w:color w:val="auto"/>
              </w:rPr>
            </w:pPr>
          </w:p>
        </w:tc>
        <w:tc>
          <w:tcPr>
            <w:tcW w:w="6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1.0%</w:t>
            </w:r>
          </w:p>
        </w:tc>
        <w:tc>
          <w:tcPr>
            <w:tcW w:w="5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0.2%</w:t>
            </w:r>
          </w:p>
        </w:tc>
        <w:tc>
          <w:tcPr>
            <w:tcW w:w="680" w:type="dxa"/>
            <w:vAlign w:val="bottom"/>
            <w:tcBorders>
              <w:top w:val="single" w:sz="8" w:color="2360A6"/>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69"/>
        </w:trPr>
        <w:tc>
          <w:tcPr>
            <w:tcW w:w="500" w:type="dxa"/>
            <w:vAlign w:val="bottom"/>
            <w:tcBorders>
              <w:top w:val="single" w:sz="8" w:color="2360A6"/>
            </w:tcBorders>
          </w:tcPr>
          <w:p>
            <w:pPr>
              <w:ind w:left="40"/>
              <w:spacing w:after="0"/>
              <w:rPr>
                <w:sz w:val="20"/>
                <w:szCs w:val="20"/>
                <w:color w:val="auto"/>
              </w:rPr>
            </w:pPr>
            <w:r>
              <w:rPr>
                <w:rFonts w:ascii="Arial" w:cs="Arial" w:eastAsia="Arial" w:hAnsi="Arial"/>
                <w:sz w:val="11"/>
                <w:szCs w:val="11"/>
                <w:color w:val="231F20"/>
              </w:rPr>
              <w:t>10 years</w:t>
            </w:r>
          </w:p>
        </w:tc>
        <w:tc>
          <w:tcPr>
            <w:tcW w:w="220" w:type="dxa"/>
            <w:vAlign w:val="bottom"/>
            <w:tcBorders>
              <w:top w:val="single" w:sz="8" w:color="2360A6"/>
              <w:right w:val="single" w:sz="8" w:color="2360A6"/>
            </w:tcBorders>
          </w:tcPr>
          <w:p>
            <w:pPr>
              <w:spacing w:after="0"/>
              <w:rPr>
                <w:sz w:val="14"/>
                <w:szCs w:val="14"/>
                <w:color w:val="auto"/>
              </w:rPr>
            </w:pP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4.0%</w:t>
            </w:r>
          </w:p>
        </w:tc>
        <w:tc>
          <w:tcPr>
            <w:tcW w:w="6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4.4%</w:t>
            </w:r>
          </w:p>
        </w:tc>
        <w:tc>
          <w:tcPr>
            <w:tcW w:w="82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4.8%</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4.8%</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3.9%</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3.1%</w:t>
            </w:r>
          </w:p>
        </w:tc>
        <w:tc>
          <w:tcPr>
            <w:tcW w:w="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3.1%</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3.1%</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3.5%</w:t>
            </w:r>
          </w:p>
        </w:tc>
        <w:tc>
          <w:tcPr>
            <w:tcW w:w="5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3.5%</w:t>
            </w:r>
          </w:p>
        </w:tc>
        <w:tc>
          <w:tcPr>
            <w:tcW w:w="6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3.5%</w:t>
            </w:r>
          </w:p>
        </w:tc>
        <w:tc>
          <w:tcPr>
            <w:tcW w:w="6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2.8%</w:t>
            </w:r>
          </w:p>
        </w:tc>
        <w:tc>
          <w:tcPr>
            <w:tcW w:w="160" w:type="dxa"/>
            <w:vAlign w:val="bottom"/>
            <w:tcBorders>
              <w:top w:val="single" w:sz="8" w:color="2360A6"/>
            </w:tcBorders>
          </w:tcPr>
          <w:p>
            <w:pPr>
              <w:spacing w:after="0"/>
              <w:rPr>
                <w:sz w:val="14"/>
                <w:szCs w:val="14"/>
                <w:color w:val="auto"/>
              </w:rPr>
            </w:pPr>
          </w:p>
        </w:tc>
        <w:tc>
          <w:tcPr>
            <w:tcW w:w="42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2.1%</w:t>
            </w:r>
          </w:p>
        </w:tc>
        <w:tc>
          <w:tcPr>
            <w:tcW w:w="520" w:type="dxa"/>
            <w:vAlign w:val="bottom"/>
            <w:tcBorders>
              <w:top w:val="single" w:sz="8" w:color="2360A6"/>
            </w:tcBorders>
          </w:tcPr>
          <w:p>
            <w:pPr>
              <w:jc w:val="right"/>
              <w:spacing w:after="0"/>
              <w:rPr>
                <w:sz w:val="20"/>
                <w:szCs w:val="20"/>
                <w:color w:val="auto"/>
              </w:rPr>
            </w:pPr>
            <w:r>
              <w:rPr>
                <w:rFonts w:ascii="Arial" w:cs="Arial" w:eastAsia="Arial" w:hAnsi="Arial"/>
                <w:sz w:val="11"/>
                <w:szCs w:val="11"/>
                <w:color w:val="231F20"/>
              </w:rPr>
              <w:t>2.2%</w:t>
            </w:r>
          </w:p>
        </w:tc>
        <w:tc>
          <w:tcPr>
            <w:tcW w:w="40" w:type="dxa"/>
            <w:vAlign w:val="bottom"/>
            <w:tcBorders>
              <w:top w:val="single" w:sz="8" w:color="2360A6"/>
              <w:right w:val="single" w:sz="8" w:color="2360A6"/>
            </w:tcBorders>
          </w:tcPr>
          <w:p>
            <w:pPr>
              <w:spacing w:after="0"/>
              <w:rPr>
                <w:sz w:val="14"/>
                <w:szCs w:val="14"/>
                <w:color w:val="auto"/>
              </w:rPr>
            </w:pPr>
          </w:p>
        </w:tc>
        <w:tc>
          <w:tcPr>
            <w:tcW w:w="6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2.2%</w:t>
            </w:r>
          </w:p>
        </w:tc>
        <w:tc>
          <w:tcPr>
            <w:tcW w:w="5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1.1%</w:t>
            </w:r>
          </w:p>
        </w:tc>
        <w:tc>
          <w:tcPr>
            <w:tcW w:w="680" w:type="dxa"/>
            <w:vAlign w:val="bottom"/>
            <w:tcBorders>
              <w:top w:val="single" w:sz="8" w:color="2360A6"/>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220"/>
        </w:trPr>
        <w:tc>
          <w:tcPr>
            <w:tcW w:w="720" w:type="dxa"/>
            <w:vAlign w:val="bottom"/>
            <w:tcBorders>
              <w:top w:val="single" w:sz="8" w:color="2360A6"/>
              <w:right w:val="single" w:sz="8" w:color="2360A6"/>
            </w:tcBorders>
            <w:gridSpan w:val="2"/>
          </w:tcPr>
          <w:p>
            <w:pPr>
              <w:ind w:left="40"/>
              <w:spacing w:after="0"/>
              <w:rPr>
                <w:sz w:val="20"/>
                <w:szCs w:val="20"/>
                <w:color w:val="auto"/>
              </w:rPr>
            </w:pPr>
            <w:r>
              <w:rPr>
                <w:rFonts w:ascii="Arial" w:cs="Arial" w:eastAsia="Arial" w:hAnsi="Arial"/>
                <w:sz w:val="11"/>
                <w:szCs w:val="11"/>
                <w:color w:val="231F20"/>
              </w:rPr>
              <w:t>Option Fair</w:t>
            </w:r>
          </w:p>
        </w:tc>
        <w:tc>
          <w:tcPr>
            <w:tcW w:w="580" w:type="dxa"/>
            <w:vAlign w:val="bottom"/>
            <w:tcBorders>
              <w:top w:val="single" w:sz="8" w:color="2360A6"/>
              <w:right w:val="single" w:sz="8" w:color="2360A6"/>
            </w:tcBorders>
          </w:tcPr>
          <w:p>
            <w:pPr>
              <w:spacing w:after="0"/>
              <w:rPr>
                <w:sz w:val="19"/>
                <w:szCs w:val="19"/>
                <w:color w:val="auto"/>
              </w:rPr>
            </w:pPr>
          </w:p>
        </w:tc>
        <w:tc>
          <w:tcPr>
            <w:tcW w:w="680" w:type="dxa"/>
            <w:vAlign w:val="bottom"/>
            <w:tcBorders>
              <w:top w:val="single" w:sz="8" w:color="2360A6"/>
              <w:right w:val="single" w:sz="8" w:color="2360A6"/>
            </w:tcBorders>
          </w:tcPr>
          <w:p>
            <w:pPr>
              <w:spacing w:after="0"/>
              <w:rPr>
                <w:sz w:val="19"/>
                <w:szCs w:val="19"/>
                <w:color w:val="auto"/>
              </w:rPr>
            </w:pPr>
          </w:p>
        </w:tc>
        <w:tc>
          <w:tcPr>
            <w:tcW w:w="820" w:type="dxa"/>
            <w:vAlign w:val="bottom"/>
            <w:tcBorders>
              <w:top w:val="single" w:sz="8" w:color="2360A6"/>
              <w:right w:val="single" w:sz="8" w:color="2360A6"/>
            </w:tcBorders>
          </w:tcPr>
          <w:p>
            <w:pPr>
              <w:spacing w:after="0"/>
              <w:rPr>
                <w:sz w:val="19"/>
                <w:szCs w:val="19"/>
                <w:color w:val="auto"/>
              </w:rPr>
            </w:pPr>
          </w:p>
        </w:tc>
        <w:tc>
          <w:tcPr>
            <w:tcW w:w="580" w:type="dxa"/>
            <w:vAlign w:val="bottom"/>
            <w:tcBorders>
              <w:top w:val="single" w:sz="8" w:color="2360A6"/>
              <w:right w:val="single" w:sz="8" w:color="2360A6"/>
            </w:tcBorders>
          </w:tcPr>
          <w:p>
            <w:pPr>
              <w:spacing w:after="0"/>
              <w:rPr>
                <w:sz w:val="19"/>
                <w:szCs w:val="19"/>
                <w:color w:val="auto"/>
              </w:rPr>
            </w:pPr>
          </w:p>
        </w:tc>
        <w:tc>
          <w:tcPr>
            <w:tcW w:w="580" w:type="dxa"/>
            <w:vAlign w:val="bottom"/>
            <w:tcBorders>
              <w:top w:val="single" w:sz="8" w:color="2360A6"/>
              <w:right w:val="single" w:sz="8" w:color="2360A6"/>
            </w:tcBorders>
          </w:tcPr>
          <w:p>
            <w:pPr>
              <w:spacing w:after="0"/>
              <w:rPr>
                <w:sz w:val="19"/>
                <w:szCs w:val="19"/>
                <w:color w:val="auto"/>
              </w:rPr>
            </w:pPr>
          </w:p>
        </w:tc>
        <w:tc>
          <w:tcPr>
            <w:tcW w:w="580" w:type="dxa"/>
            <w:vAlign w:val="bottom"/>
            <w:tcBorders>
              <w:top w:val="single" w:sz="8" w:color="2360A6"/>
              <w:right w:val="single" w:sz="8" w:color="2360A6"/>
            </w:tcBorders>
          </w:tcPr>
          <w:p>
            <w:pPr>
              <w:spacing w:after="0"/>
              <w:rPr>
                <w:sz w:val="19"/>
                <w:szCs w:val="19"/>
                <w:color w:val="auto"/>
              </w:rPr>
            </w:pPr>
          </w:p>
        </w:tc>
        <w:tc>
          <w:tcPr>
            <w:tcW w:w="580" w:type="dxa"/>
            <w:vAlign w:val="bottom"/>
            <w:tcBorders>
              <w:top w:val="single" w:sz="8" w:color="2360A6"/>
              <w:right w:val="single" w:sz="8" w:color="2360A6"/>
            </w:tcBorders>
          </w:tcPr>
          <w:p>
            <w:pPr>
              <w:spacing w:after="0"/>
              <w:rPr>
                <w:sz w:val="19"/>
                <w:szCs w:val="19"/>
                <w:color w:val="auto"/>
              </w:rPr>
            </w:pPr>
          </w:p>
        </w:tc>
        <w:tc>
          <w:tcPr>
            <w:tcW w:w="680" w:type="dxa"/>
            <w:vAlign w:val="bottom"/>
            <w:tcBorders>
              <w:top w:val="single" w:sz="8" w:color="2360A6"/>
              <w:right w:val="single" w:sz="8" w:color="2360A6"/>
            </w:tcBorders>
          </w:tcPr>
          <w:p>
            <w:pPr>
              <w:spacing w:after="0"/>
              <w:rPr>
                <w:sz w:val="19"/>
                <w:szCs w:val="19"/>
                <w:color w:val="auto"/>
              </w:rPr>
            </w:pPr>
          </w:p>
        </w:tc>
        <w:tc>
          <w:tcPr>
            <w:tcW w:w="680" w:type="dxa"/>
            <w:vAlign w:val="bottom"/>
            <w:tcBorders>
              <w:top w:val="single" w:sz="8" w:color="2360A6"/>
              <w:right w:val="single" w:sz="8" w:color="2360A6"/>
            </w:tcBorders>
          </w:tcPr>
          <w:p>
            <w:pPr>
              <w:spacing w:after="0"/>
              <w:rPr>
                <w:sz w:val="19"/>
                <w:szCs w:val="19"/>
                <w:color w:val="auto"/>
              </w:rPr>
            </w:pPr>
          </w:p>
        </w:tc>
        <w:tc>
          <w:tcPr>
            <w:tcW w:w="560" w:type="dxa"/>
            <w:vAlign w:val="bottom"/>
            <w:tcBorders>
              <w:top w:val="single" w:sz="8" w:color="2360A6"/>
              <w:right w:val="single" w:sz="8" w:color="2360A6"/>
            </w:tcBorders>
          </w:tcPr>
          <w:p>
            <w:pPr>
              <w:spacing w:after="0"/>
              <w:rPr>
                <w:sz w:val="19"/>
                <w:szCs w:val="19"/>
                <w:color w:val="auto"/>
              </w:rPr>
            </w:pPr>
          </w:p>
        </w:tc>
        <w:tc>
          <w:tcPr>
            <w:tcW w:w="680" w:type="dxa"/>
            <w:vAlign w:val="bottom"/>
            <w:tcBorders>
              <w:top w:val="single" w:sz="8" w:color="2360A6"/>
              <w:right w:val="single" w:sz="8" w:color="2360A6"/>
            </w:tcBorders>
          </w:tcPr>
          <w:p>
            <w:pPr>
              <w:spacing w:after="0"/>
              <w:rPr>
                <w:sz w:val="19"/>
                <w:szCs w:val="19"/>
                <w:color w:val="auto"/>
              </w:rPr>
            </w:pPr>
          </w:p>
        </w:tc>
        <w:tc>
          <w:tcPr>
            <w:tcW w:w="660" w:type="dxa"/>
            <w:vAlign w:val="bottom"/>
            <w:tcBorders>
              <w:top w:val="single" w:sz="8" w:color="2360A6"/>
              <w:right w:val="single" w:sz="8" w:color="2360A6"/>
            </w:tcBorders>
          </w:tcPr>
          <w:p>
            <w:pPr>
              <w:spacing w:after="0"/>
              <w:rPr>
                <w:sz w:val="19"/>
                <w:szCs w:val="19"/>
                <w:color w:val="auto"/>
              </w:rPr>
            </w:pPr>
          </w:p>
        </w:tc>
        <w:tc>
          <w:tcPr>
            <w:tcW w:w="160" w:type="dxa"/>
            <w:vAlign w:val="bottom"/>
            <w:tcBorders>
              <w:top w:val="single" w:sz="8" w:color="2360A6"/>
            </w:tcBorders>
          </w:tcPr>
          <w:p>
            <w:pPr>
              <w:spacing w:after="0"/>
              <w:rPr>
                <w:sz w:val="19"/>
                <w:szCs w:val="19"/>
                <w:color w:val="auto"/>
              </w:rPr>
            </w:pPr>
          </w:p>
        </w:tc>
        <w:tc>
          <w:tcPr>
            <w:tcW w:w="420" w:type="dxa"/>
            <w:vAlign w:val="bottom"/>
            <w:tcBorders>
              <w:top w:val="single" w:sz="8" w:color="2360A6"/>
              <w:right w:val="single" w:sz="8" w:color="2360A6"/>
            </w:tcBorders>
          </w:tcPr>
          <w:p>
            <w:pPr>
              <w:spacing w:after="0"/>
              <w:rPr>
                <w:sz w:val="19"/>
                <w:szCs w:val="19"/>
                <w:color w:val="auto"/>
              </w:rPr>
            </w:pPr>
          </w:p>
        </w:tc>
        <w:tc>
          <w:tcPr>
            <w:tcW w:w="520" w:type="dxa"/>
            <w:vAlign w:val="bottom"/>
            <w:tcBorders>
              <w:top w:val="single" w:sz="8" w:color="2360A6"/>
            </w:tcBorders>
          </w:tcPr>
          <w:p>
            <w:pPr>
              <w:spacing w:after="0"/>
              <w:rPr>
                <w:sz w:val="19"/>
                <w:szCs w:val="19"/>
                <w:color w:val="auto"/>
              </w:rPr>
            </w:pPr>
          </w:p>
        </w:tc>
        <w:tc>
          <w:tcPr>
            <w:tcW w:w="40" w:type="dxa"/>
            <w:vAlign w:val="bottom"/>
            <w:tcBorders>
              <w:top w:val="single" w:sz="8" w:color="2360A6"/>
              <w:right w:val="single" w:sz="8" w:color="2360A6"/>
            </w:tcBorders>
          </w:tcPr>
          <w:p>
            <w:pPr>
              <w:spacing w:after="0"/>
              <w:rPr>
                <w:sz w:val="19"/>
                <w:szCs w:val="19"/>
                <w:color w:val="auto"/>
              </w:rPr>
            </w:pPr>
          </w:p>
        </w:tc>
        <w:tc>
          <w:tcPr>
            <w:tcW w:w="680" w:type="dxa"/>
            <w:vAlign w:val="bottom"/>
            <w:tcBorders>
              <w:top w:val="single" w:sz="8" w:color="2360A6"/>
              <w:right w:val="single" w:sz="8" w:color="2360A6"/>
            </w:tcBorders>
          </w:tcPr>
          <w:p>
            <w:pPr>
              <w:spacing w:after="0"/>
              <w:rPr>
                <w:sz w:val="19"/>
                <w:szCs w:val="19"/>
                <w:color w:val="auto"/>
              </w:rPr>
            </w:pPr>
          </w:p>
        </w:tc>
        <w:tc>
          <w:tcPr>
            <w:tcW w:w="560" w:type="dxa"/>
            <w:vAlign w:val="bottom"/>
            <w:tcBorders>
              <w:top w:val="single" w:sz="8" w:color="2360A6"/>
              <w:right w:val="single" w:sz="8" w:color="2360A6"/>
            </w:tcBorders>
          </w:tcPr>
          <w:p>
            <w:pPr>
              <w:spacing w:after="0"/>
              <w:rPr>
                <w:sz w:val="19"/>
                <w:szCs w:val="19"/>
                <w:color w:val="auto"/>
              </w:rPr>
            </w:pPr>
          </w:p>
        </w:tc>
        <w:tc>
          <w:tcPr>
            <w:tcW w:w="680" w:type="dxa"/>
            <w:vAlign w:val="bottom"/>
            <w:tcBorders>
              <w:top w:val="single" w:sz="8" w:color="2360A6"/>
              <w:right w:val="single" w:sz="8" w:color="2360A6"/>
            </w:tcBorders>
            <w:shd w:val="clear" w:color="auto" w:fill="EDEDEE"/>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720" w:type="dxa"/>
            <w:vAlign w:val="bottom"/>
            <w:tcBorders>
              <w:right w:val="single" w:sz="8" w:color="2360A6"/>
            </w:tcBorders>
            <w:gridSpan w:val="2"/>
          </w:tcPr>
          <w:p>
            <w:pPr>
              <w:ind w:left="40"/>
              <w:spacing w:after="0" w:line="122" w:lineRule="exact"/>
              <w:rPr>
                <w:sz w:val="20"/>
                <w:szCs w:val="20"/>
                <w:color w:val="auto"/>
              </w:rPr>
            </w:pPr>
            <w:r>
              <w:rPr>
                <w:rFonts w:ascii="Arial" w:cs="Arial" w:eastAsia="Arial" w:hAnsi="Arial"/>
                <w:sz w:val="11"/>
                <w:szCs w:val="11"/>
                <w:color w:val="231F20"/>
              </w:rPr>
              <w:t>Value Set at</w:t>
            </w:r>
          </w:p>
        </w:tc>
        <w:tc>
          <w:tcPr>
            <w:tcW w:w="5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82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660" w:type="dxa"/>
            <w:vAlign w:val="bottom"/>
            <w:tcBorders>
              <w:right w:val="single" w:sz="8" w:color="2360A6"/>
            </w:tcBorders>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right w:val="single" w:sz="8" w:color="2360A6"/>
            </w:tcBorders>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720" w:type="dxa"/>
            <w:vAlign w:val="bottom"/>
            <w:tcBorders>
              <w:right w:val="single" w:sz="8" w:color="2360A6"/>
            </w:tcBorders>
            <w:gridSpan w:val="2"/>
          </w:tcPr>
          <w:p>
            <w:pPr>
              <w:ind w:left="40"/>
              <w:spacing w:after="0" w:line="112" w:lineRule="exact"/>
              <w:rPr>
                <w:sz w:val="20"/>
                <w:szCs w:val="20"/>
                <w:color w:val="auto"/>
              </w:rPr>
            </w:pPr>
            <w:r>
              <w:rPr>
                <w:rFonts w:ascii="Arial" w:cs="Arial" w:eastAsia="Arial" w:hAnsi="Arial"/>
                <w:sz w:val="11"/>
                <w:szCs w:val="11"/>
                <w:color w:val="231F20"/>
              </w:rPr>
              <w:t>Grant Date</w:t>
            </w:r>
          </w:p>
        </w:tc>
        <w:tc>
          <w:tcPr>
            <w:tcW w:w="58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tcPr>
          <w:p>
            <w:pPr>
              <w:spacing w:after="0"/>
              <w:rPr>
                <w:sz w:val="9"/>
                <w:szCs w:val="9"/>
                <w:color w:val="auto"/>
              </w:rPr>
            </w:pPr>
          </w:p>
        </w:tc>
        <w:tc>
          <w:tcPr>
            <w:tcW w:w="820" w:type="dxa"/>
            <w:vAlign w:val="bottom"/>
            <w:tcBorders>
              <w:right w:val="single" w:sz="8" w:color="2360A6"/>
            </w:tcBorders>
          </w:tcPr>
          <w:p>
            <w:pPr>
              <w:spacing w:after="0"/>
              <w:rPr>
                <w:sz w:val="9"/>
                <w:szCs w:val="9"/>
                <w:color w:val="auto"/>
              </w:rPr>
            </w:pPr>
          </w:p>
        </w:tc>
        <w:tc>
          <w:tcPr>
            <w:tcW w:w="580" w:type="dxa"/>
            <w:vAlign w:val="bottom"/>
            <w:tcBorders>
              <w:right w:val="single" w:sz="8" w:color="2360A6"/>
            </w:tcBorders>
          </w:tcPr>
          <w:p>
            <w:pPr>
              <w:spacing w:after="0"/>
              <w:rPr>
                <w:sz w:val="9"/>
                <w:szCs w:val="9"/>
                <w:color w:val="auto"/>
              </w:rPr>
            </w:pPr>
          </w:p>
        </w:tc>
        <w:tc>
          <w:tcPr>
            <w:tcW w:w="580" w:type="dxa"/>
            <w:vAlign w:val="bottom"/>
            <w:tcBorders>
              <w:right w:val="single" w:sz="8" w:color="2360A6"/>
            </w:tcBorders>
          </w:tcPr>
          <w:p>
            <w:pPr>
              <w:spacing w:after="0"/>
              <w:rPr>
                <w:sz w:val="9"/>
                <w:szCs w:val="9"/>
                <w:color w:val="auto"/>
              </w:rPr>
            </w:pPr>
          </w:p>
        </w:tc>
        <w:tc>
          <w:tcPr>
            <w:tcW w:w="580" w:type="dxa"/>
            <w:vAlign w:val="bottom"/>
            <w:tcBorders>
              <w:right w:val="single" w:sz="8" w:color="2360A6"/>
            </w:tcBorders>
          </w:tcPr>
          <w:p>
            <w:pPr>
              <w:spacing w:after="0"/>
              <w:rPr>
                <w:sz w:val="9"/>
                <w:szCs w:val="9"/>
                <w:color w:val="auto"/>
              </w:rPr>
            </w:pPr>
          </w:p>
        </w:tc>
        <w:tc>
          <w:tcPr>
            <w:tcW w:w="58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vMerge w:val="restart"/>
          </w:tcPr>
          <w:p>
            <w:pPr>
              <w:jc w:val="right"/>
              <w:ind w:right="6"/>
              <w:spacing w:after="0"/>
              <w:rPr>
                <w:sz w:val="20"/>
                <w:szCs w:val="20"/>
                <w:color w:val="auto"/>
              </w:rPr>
            </w:pPr>
            <w:r>
              <w:rPr>
                <w:rFonts w:ascii="Arial" w:cs="Arial" w:eastAsia="Arial" w:hAnsi="Arial"/>
                <w:sz w:val="11"/>
                <w:szCs w:val="11"/>
                <w:color w:val="231F20"/>
              </w:rPr>
              <w:t>14.35</w:t>
            </w:r>
          </w:p>
        </w:tc>
        <w:tc>
          <w:tcPr>
            <w:tcW w:w="56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tcPr>
          <w:p>
            <w:pPr>
              <w:spacing w:after="0"/>
              <w:rPr>
                <w:sz w:val="9"/>
                <w:szCs w:val="9"/>
                <w:color w:val="auto"/>
              </w:rPr>
            </w:pPr>
          </w:p>
        </w:tc>
        <w:tc>
          <w:tcPr>
            <w:tcW w:w="66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1"/>
                <w:szCs w:val="11"/>
                <w:color w:val="231F20"/>
              </w:rPr>
              <w:t>17.58</w:t>
            </w:r>
          </w:p>
        </w:tc>
        <w:tc>
          <w:tcPr>
            <w:tcW w:w="160" w:type="dxa"/>
            <w:vAlign w:val="bottom"/>
          </w:tcPr>
          <w:p>
            <w:pPr>
              <w:spacing w:after="0"/>
              <w:rPr>
                <w:sz w:val="9"/>
                <w:szCs w:val="9"/>
                <w:color w:val="auto"/>
              </w:rPr>
            </w:pPr>
          </w:p>
        </w:tc>
        <w:tc>
          <w:tcPr>
            <w:tcW w:w="420" w:type="dxa"/>
            <w:vAlign w:val="bottom"/>
            <w:tcBorders>
              <w:right w:val="single" w:sz="8" w:color="2360A6"/>
            </w:tcBorders>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231F20"/>
              </w:rPr>
              <w:t>18.59</w:t>
            </w:r>
          </w:p>
        </w:tc>
        <w:tc>
          <w:tcPr>
            <w:tcW w:w="4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tcPr>
          <w:p>
            <w:pPr>
              <w:spacing w:after="0"/>
              <w:rPr>
                <w:sz w:val="9"/>
                <w:szCs w:val="9"/>
                <w:color w:val="auto"/>
              </w:rPr>
            </w:pPr>
          </w:p>
        </w:tc>
        <w:tc>
          <w:tcPr>
            <w:tcW w:w="56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vMerge w:val="restart"/>
            <w:shd w:val="clear" w:color="auto" w:fill="EDEDEE"/>
          </w:tcPr>
          <w:p>
            <w:pPr>
              <w:jc w:val="right"/>
              <w:spacing w:after="0"/>
              <w:rPr>
                <w:sz w:val="20"/>
                <w:szCs w:val="20"/>
                <w:color w:val="auto"/>
              </w:rPr>
            </w:pPr>
            <w:r>
              <w:rPr>
                <w:rFonts w:ascii="Arial" w:cs="Arial" w:eastAsia="Arial" w:hAnsi="Arial"/>
                <w:sz w:val="11"/>
                <w:szCs w:val="11"/>
                <w:color w:val="auto"/>
              </w:rPr>
              <w:t>7.61</w:t>
            </w:r>
          </w:p>
        </w:tc>
        <w:tc>
          <w:tcPr>
            <w:tcW w:w="0" w:type="dxa"/>
            <w:vAlign w:val="bottom"/>
          </w:tcPr>
          <w:p>
            <w:pPr>
              <w:spacing w:after="0"/>
              <w:rPr>
                <w:sz w:val="1"/>
                <w:szCs w:val="1"/>
                <w:color w:val="auto"/>
              </w:rPr>
            </w:pPr>
          </w:p>
        </w:tc>
      </w:tr>
      <w:tr>
        <w:trPr>
          <w:trHeight w:val="108"/>
        </w:trPr>
        <w:tc>
          <w:tcPr>
            <w:tcW w:w="500" w:type="dxa"/>
            <w:vAlign w:val="bottom"/>
          </w:tcPr>
          <w:p>
            <w:pPr>
              <w:ind w:left="40"/>
              <w:spacing w:after="0" w:line="108" w:lineRule="exact"/>
              <w:rPr>
                <w:sz w:val="20"/>
                <w:szCs w:val="20"/>
                <w:color w:val="auto"/>
              </w:rPr>
            </w:pPr>
            <w:r>
              <w:rPr>
                <w:rFonts w:ascii="Arial" w:cs="Arial" w:eastAsia="Arial" w:hAnsi="Arial"/>
                <w:sz w:val="11"/>
                <w:szCs w:val="11"/>
                <w:i w:val="1"/>
                <w:iCs w:val="1"/>
                <w:color w:val="231F20"/>
              </w:rPr>
              <w:t>(in Euro)</w:t>
            </w:r>
          </w:p>
        </w:tc>
        <w:tc>
          <w:tcPr>
            <w:tcW w:w="220" w:type="dxa"/>
            <w:vAlign w:val="bottom"/>
            <w:tcBorders>
              <w:right w:val="single" w:sz="8" w:color="2360A6"/>
            </w:tcBorders>
          </w:tcPr>
          <w:p>
            <w:pPr>
              <w:jc w:val="right"/>
              <w:ind w:right="98"/>
              <w:spacing w:after="0"/>
              <w:rPr>
                <w:sz w:val="20"/>
                <w:szCs w:val="20"/>
                <w:color w:val="auto"/>
              </w:rPr>
            </w:pPr>
            <w:r>
              <w:rPr>
                <w:rFonts w:ascii="Arial" w:cs="Arial" w:eastAsia="Arial" w:hAnsi="Arial"/>
                <w:sz w:val="6"/>
                <w:szCs w:val="6"/>
                <w:i w:val="1"/>
                <w:iCs w:val="1"/>
                <w:color w:val="231F20"/>
                <w:w w:val="81"/>
              </w:rPr>
              <w:t>(1)</w:t>
            </w:r>
          </w:p>
        </w:tc>
        <w:tc>
          <w:tcPr>
            <w:tcW w:w="5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1"/>
                <w:szCs w:val="11"/>
                <w:color w:val="231F20"/>
              </w:rPr>
              <w:t>12.75</w:t>
            </w:r>
          </w:p>
        </w:tc>
        <w:tc>
          <w:tcPr>
            <w:tcW w:w="6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1"/>
                <w:szCs w:val="11"/>
                <w:color w:val="231F20"/>
              </w:rPr>
              <w:t>13.74</w:t>
            </w:r>
          </w:p>
        </w:tc>
        <w:tc>
          <w:tcPr>
            <w:tcW w:w="820" w:type="dxa"/>
            <w:vAlign w:val="bottom"/>
            <w:tcBorders>
              <w:right w:val="single" w:sz="8" w:color="2360A6"/>
            </w:tcBorders>
            <w:vMerge w:val="restart"/>
          </w:tcPr>
          <w:p>
            <w:pPr>
              <w:jc w:val="right"/>
              <w:ind w:right="6"/>
              <w:spacing w:after="0"/>
              <w:rPr>
                <w:sz w:val="20"/>
                <w:szCs w:val="20"/>
                <w:color w:val="auto"/>
              </w:rPr>
            </w:pPr>
            <w:r>
              <w:rPr>
                <w:rFonts w:ascii="Arial" w:cs="Arial" w:eastAsia="Arial" w:hAnsi="Arial"/>
                <w:sz w:val="11"/>
                <w:szCs w:val="11"/>
                <w:color w:val="231F20"/>
              </w:rPr>
              <w:t>14.90</w:t>
            </w:r>
          </w:p>
        </w:tc>
        <w:tc>
          <w:tcPr>
            <w:tcW w:w="5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1"/>
                <w:szCs w:val="11"/>
                <w:color w:val="231F20"/>
              </w:rPr>
              <w:t>17.30</w:t>
            </w:r>
          </w:p>
        </w:tc>
        <w:tc>
          <w:tcPr>
            <w:tcW w:w="5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1"/>
                <w:szCs w:val="11"/>
                <w:color w:val="231F20"/>
              </w:rPr>
              <w:t>8.45</w:t>
            </w:r>
          </w:p>
        </w:tc>
        <w:tc>
          <w:tcPr>
            <w:tcW w:w="5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1"/>
                <w:szCs w:val="11"/>
                <w:color w:val="231F20"/>
              </w:rPr>
              <w:t>13.61</w:t>
            </w:r>
          </w:p>
        </w:tc>
        <w:tc>
          <w:tcPr>
            <w:tcW w:w="5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1"/>
                <w:szCs w:val="11"/>
                <w:color w:val="231F20"/>
              </w:rPr>
              <w:t>13.61</w:t>
            </w:r>
          </w:p>
        </w:tc>
        <w:tc>
          <w:tcPr>
            <w:tcW w:w="680" w:type="dxa"/>
            <w:vAlign w:val="bottom"/>
            <w:tcBorders>
              <w:right w:val="single" w:sz="8" w:color="2360A6"/>
            </w:tcBorders>
            <w:vMerge w:val="restart"/>
          </w:tcPr>
          <w:p>
            <w:pPr>
              <w:jc w:val="right"/>
              <w:ind w:right="6"/>
              <w:spacing w:after="0"/>
              <w:rPr>
                <w:sz w:val="20"/>
                <w:szCs w:val="20"/>
                <w:color w:val="auto"/>
              </w:rPr>
            </w:pPr>
            <w:r>
              <w:rPr>
                <w:rFonts w:ascii="Arial" w:cs="Arial" w:eastAsia="Arial" w:hAnsi="Arial"/>
                <w:sz w:val="11"/>
                <w:szCs w:val="11"/>
                <w:color w:val="231F20"/>
              </w:rPr>
              <w:t>13.61</w:t>
            </w:r>
          </w:p>
        </w:tc>
        <w:tc>
          <w:tcPr>
            <w:tcW w:w="680" w:type="dxa"/>
            <w:vAlign w:val="bottom"/>
            <w:tcBorders>
              <w:right w:val="single" w:sz="8" w:color="2360A6"/>
            </w:tcBorders>
            <w:vMerge w:val="continue"/>
          </w:tcPr>
          <w:p>
            <w:pPr>
              <w:spacing w:after="0"/>
              <w:rPr>
                <w:sz w:val="9"/>
                <w:szCs w:val="9"/>
                <w:color w:val="auto"/>
              </w:rPr>
            </w:pPr>
          </w:p>
        </w:tc>
        <w:tc>
          <w:tcPr>
            <w:tcW w:w="56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1"/>
                <w:szCs w:val="11"/>
                <w:color w:val="231F20"/>
              </w:rPr>
              <w:t>14.35</w:t>
            </w:r>
          </w:p>
        </w:tc>
        <w:tc>
          <w:tcPr>
            <w:tcW w:w="680" w:type="dxa"/>
            <w:vAlign w:val="bottom"/>
            <w:tcBorders>
              <w:right w:val="single" w:sz="8" w:color="2360A6"/>
            </w:tcBorders>
            <w:vMerge w:val="restart"/>
          </w:tcPr>
          <w:p>
            <w:pPr>
              <w:jc w:val="right"/>
              <w:ind w:right="6"/>
              <w:spacing w:after="0"/>
              <w:rPr>
                <w:sz w:val="20"/>
                <w:szCs w:val="20"/>
                <w:color w:val="auto"/>
              </w:rPr>
            </w:pPr>
            <w:r>
              <w:rPr>
                <w:rFonts w:ascii="Arial" w:cs="Arial" w:eastAsia="Arial" w:hAnsi="Arial"/>
                <w:sz w:val="11"/>
                <w:szCs w:val="11"/>
                <w:color w:val="231F20"/>
              </w:rPr>
              <w:t>14.35</w:t>
            </w:r>
          </w:p>
        </w:tc>
        <w:tc>
          <w:tcPr>
            <w:tcW w:w="660" w:type="dxa"/>
            <w:vAlign w:val="bottom"/>
            <w:tcBorders>
              <w:right w:val="single" w:sz="8" w:color="2360A6"/>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right w:val="single" w:sz="8" w:color="2360A6"/>
            </w:tcBorders>
            <w:vMerge w:val="restart"/>
          </w:tcPr>
          <w:p>
            <w:pPr>
              <w:jc w:val="right"/>
              <w:ind w:right="6"/>
              <w:spacing w:after="0"/>
              <w:rPr>
                <w:sz w:val="20"/>
                <w:szCs w:val="20"/>
                <w:color w:val="auto"/>
              </w:rPr>
            </w:pPr>
            <w:r>
              <w:rPr>
                <w:rFonts w:ascii="Arial" w:cs="Arial" w:eastAsia="Arial" w:hAnsi="Arial"/>
                <w:sz w:val="11"/>
                <w:szCs w:val="11"/>
                <w:color w:val="231F20"/>
              </w:rPr>
              <w:t>21.02</w:t>
            </w:r>
          </w:p>
        </w:tc>
        <w:tc>
          <w:tcPr>
            <w:tcW w:w="520" w:type="dxa"/>
            <w:vAlign w:val="bottom"/>
            <w:vMerge w:val="continue"/>
          </w:tcPr>
          <w:p>
            <w:pPr>
              <w:spacing w:after="0"/>
              <w:rPr>
                <w:sz w:val="9"/>
                <w:szCs w:val="9"/>
                <w:color w:val="auto"/>
              </w:rPr>
            </w:pPr>
          </w:p>
        </w:tc>
        <w:tc>
          <w:tcPr>
            <w:tcW w:w="4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1"/>
                <w:szCs w:val="11"/>
                <w:color w:val="231F20"/>
              </w:rPr>
              <w:t>13.99</w:t>
            </w:r>
          </w:p>
        </w:tc>
        <w:tc>
          <w:tcPr>
            <w:tcW w:w="56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1"/>
                <w:szCs w:val="11"/>
                <w:color w:val="231F20"/>
              </w:rPr>
              <w:t>6.01</w:t>
            </w:r>
          </w:p>
        </w:tc>
        <w:tc>
          <w:tcPr>
            <w:tcW w:w="680" w:type="dxa"/>
            <w:vAlign w:val="bottom"/>
            <w:tcBorders>
              <w:right w:val="single" w:sz="8" w:color="2360A6"/>
            </w:tcBorders>
            <w:vMerge w:val="continue"/>
            <w:shd w:val="clear" w:color="auto" w:fill="EDEDE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500" w:type="dxa"/>
            <w:vAlign w:val="bottom"/>
            <w:tcBorders>
              <w:bottom w:val="single" w:sz="8" w:color="2360A6"/>
            </w:tcBorders>
          </w:tcPr>
          <w:p>
            <w:pPr>
              <w:ind w:left="40"/>
              <w:spacing w:after="0"/>
              <w:rPr>
                <w:sz w:val="20"/>
                <w:szCs w:val="20"/>
                <w:color w:val="auto"/>
              </w:rPr>
            </w:pPr>
            <w:r>
              <w:rPr>
                <w:rFonts w:ascii="Arial" w:cs="Arial" w:eastAsia="Arial" w:hAnsi="Arial"/>
                <w:sz w:val="7"/>
                <w:szCs w:val="7"/>
                <w:i w:val="1"/>
                <w:iCs w:val="1"/>
                <w:color w:val="231F20"/>
              </w:rPr>
              <w:t>(2)</w:t>
            </w:r>
          </w:p>
        </w:tc>
        <w:tc>
          <w:tcPr>
            <w:tcW w:w="220" w:type="dxa"/>
            <w:vAlign w:val="bottom"/>
            <w:tcBorders>
              <w:bottom w:val="single" w:sz="8" w:color="2360A6"/>
              <w:right w:val="single" w:sz="8" w:color="2360A6"/>
            </w:tcBorders>
          </w:tcPr>
          <w:p>
            <w:pPr>
              <w:spacing w:after="0"/>
              <w:rPr>
                <w:sz w:val="11"/>
                <w:szCs w:val="11"/>
                <w:color w:val="auto"/>
              </w:rPr>
            </w:pPr>
          </w:p>
        </w:tc>
        <w:tc>
          <w:tcPr>
            <w:tcW w:w="580" w:type="dxa"/>
            <w:vAlign w:val="bottom"/>
            <w:tcBorders>
              <w:bottom w:val="single" w:sz="8" w:color="2360A6"/>
              <w:right w:val="single" w:sz="8" w:color="2360A6"/>
            </w:tcBorders>
            <w:vMerge w:val="continue"/>
          </w:tcPr>
          <w:p>
            <w:pPr>
              <w:spacing w:after="0"/>
              <w:rPr>
                <w:sz w:val="11"/>
                <w:szCs w:val="11"/>
                <w:color w:val="auto"/>
              </w:rPr>
            </w:pPr>
          </w:p>
        </w:tc>
        <w:tc>
          <w:tcPr>
            <w:tcW w:w="680" w:type="dxa"/>
            <w:vAlign w:val="bottom"/>
            <w:tcBorders>
              <w:bottom w:val="single" w:sz="8" w:color="2360A6"/>
              <w:right w:val="single" w:sz="8" w:color="2360A6"/>
            </w:tcBorders>
            <w:vMerge w:val="continue"/>
          </w:tcPr>
          <w:p>
            <w:pPr>
              <w:spacing w:after="0"/>
              <w:rPr>
                <w:sz w:val="11"/>
                <w:szCs w:val="11"/>
                <w:color w:val="auto"/>
              </w:rPr>
            </w:pPr>
          </w:p>
        </w:tc>
        <w:tc>
          <w:tcPr>
            <w:tcW w:w="820" w:type="dxa"/>
            <w:vAlign w:val="bottom"/>
            <w:tcBorders>
              <w:bottom w:val="single" w:sz="8" w:color="2360A6"/>
              <w:right w:val="single" w:sz="8" w:color="2360A6"/>
            </w:tcBorders>
            <w:vMerge w:val="continue"/>
          </w:tcPr>
          <w:p>
            <w:pPr>
              <w:spacing w:after="0"/>
              <w:rPr>
                <w:sz w:val="11"/>
                <w:szCs w:val="11"/>
                <w:color w:val="auto"/>
              </w:rPr>
            </w:pPr>
          </w:p>
        </w:tc>
        <w:tc>
          <w:tcPr>
            <w:tcW w:w="580" w:type="dxa"/>
            <w:vAlign w:val="bottom"/>
            <w:tcBorders>
              <w:bottom w:val="single" w:sz="8" w:color="2360A6"/>
              <w:right w:val="single" w:sz="8" w:color="2360A6"/>
            </w:tcBorders>
            <w:vMerge w:val="continue"/>
          </w:tcPr>
          <w:p>
            <w:pPr>
              <w:spacing w:after="0"/>
              <w:rPr>
                <w:sz w:val="11"/>
                <w:szCs w:val="11"/>
                <w:color w:val="auto"/>
              </w:rPr>
            </w:pPr>
          </w:p>
        </w:tc>
        <w:tc>
          <w:tcPr>
            <w:tcW w:w="580" w:type="dxa"/>
            <w:vAlign w:val="bottom"/>
            <w:tcBorders>
              <w:bottom w:val="single" w:sz="8" w:color="2360A6"/>
              <w:right w:val="single" w:sz="8" w:color="2360A6"/>
            </w:tcBorders>
            <w:vMerge w:val="continue"/>
          </w:tcPr>
          <w:p>
            <w:pPr>
              <w:spacing w:after="0"/>
              <w:rPr>
                <w:sz w:val="11"/>
                <w:szCs w:val="11"/>
                <w:color w:val="auto"/>
              </w:rPr>
            </w:pPr>
          </w:p>
        </w:tc>
        <w:tc>
          <w:tcPr>
            <w:tcW w:w="580" w:type="dxa"/>
            <w:vAlign w:val="bottom"/>
            <w:tcBorders>
              <w:bottom w:val="single" w:sz="8" w:color="2360A6"/>
              <w:right w:val="single" w:sz="8" w:color="2360A6"/>
            </w:tcBorders>
            <w:vMerge w:val="continue"/>
          </w:tcPr>
          <w:p>
            <w:pPr>
              <w:spacing w:after="0"/>
              <w:rPr>
                <w:sz w:val="11"/>
                <w:szCs w:val="11"/>
                <w:color w:val="auto"/>
              </w:rPr>
            </w:pPr>
          </w:p>
        </w:tc>
        <w:tc>
          <w:tcPr>
            <w:tcW w:w="580" w:type="dxa"/>
            <w:vAlign w:val="bottom"/>
            <w:tcBorders>
              <w:bottom w:val="single" w:sz="8" w:color="2360A6"/>
              <w:right w:val="single" w:sz="8" w:color="2360A6"/>
            </w:tcBorders>
            <w:vMerge w:val="continue"/>
          </w:tcPr>
          <w:p>
            <w:pPr>
              <w:spacing w:after="0"/>
              <w:rPr>
                <w:sz w:val="11"/>
                <w:szCs w:val="11"/>
                <w:color w:val="auto"/>
              </w:rPr>
            </w:pPr>
          </w:p>
        </w:tc>
        <w:tc>
          <w:tcPr>
            <w:tcW w:w="680" w:type="dxa"/>
            <w:vAlign w:val="bottom"/>
            <w:tcBorders>
              <w:bottom w:val="single" w:sz="8" w:color="2360A6"/>
              <w:right w:val="single" w:sz="8" w:color="2360A6"/>
            </w:tcBorders>
            <w:vMerge w:val="continue"/>
          </w:tcPr>
          <w:p>
            <w:pPr>
              <w:spacing w:after="0"/>
              <w:rPr>
                <w:sz w:val="11"/>
                <w:szCs w:val="11"/>
                <w:color w:val="auto"/>
              </w:rPr>
            </w:pPr>
          </w:p>
        </w:tc>
        <w:tc>
          <w:tcPr>
            <w:tcW w:w="680" w:type="dxa"/>
            <w:vAlign w:val="bottom"/>
            <w:tcBorders>
              <w:bottom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/15.05</w:t>
            </w:r>
          </w:p>
        </w:tc>
        <w:tc>
          <w:tcPr>
            <w:tcW w:w="560" w:type="dxa"/>
            <w:vAlign w:val="bottom"/>
            <w:tcBorders>
              <w:bottom w:val="single" w:sz="8" w:color="2360A6"/>
              <w:right w:val="single" w:sz="8" w:color="2360A6"/>
            </w:tcBorders>
            <w:vMerge w:val="continue"/>
          </w:tcPr>
          <w:p>
            <w:pPr>
              <w:spacing w:after="0"/>
              <w:rPr>
                <w:sz w:val="11"/>
                <w:szCs w:val="11"/>
                <w:color w:val="auto"/>
              </w:rPr>
            </w:pPr>
          </w:p>
        </w:tc>
        <w:tc>
          <w:tcPr>
            <w:tcW w:w="680" w:type="dxa"/>
            <w:vAlign w:val="bottom"/>
            <w:tcBorders>
              <w:bottom w:val="single" w:sz="8" w:color="2360A6"/>
              <w:right w:val="single" w:sz="8" w:color="2360A6"/>
            </w:tcBorders>
            <w:vMerge w:val="continue"/>
          </w:tcPr>
          <w:p>
            <w:pPr>
              <w:spacing w:after="0"/>
              <w:rPr>
                <w:sz w:val="11"/>
                <w:szCs w:val="11"/>
                <w:color w:val="auto"/>
              </w:rPr>
            </w:pPr>
          </w:p>
        </w:tc>
        <w:tc>
          <w:tcPr>
            <w:tcW w:w="6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/18.40</w:t>
            </w:r>
          </w:p>
        </w:tc>
        <w:tc>
          <w:tcPr>
            <w:tcW w:w="160" w:type="dxa"/>
            <w:vAlign w:val="bottom"/>
            <w:tcBorders>
              <w:bottom w:val="single" w:sz="8" w:color="2360A6"/>
            </w:tcBorders>
          </w:tcPr>
          <w:p>
            <w:pPr>
              <w:spacing w:after="0"/>
              <w:rPr>
                <w:sz w:val="11"/>
                <w:szCs w:val="11"/>
                <w:color w:val="auto"/>
              </w:rPr>
            </w:pPr>
          </w:p>
        </w:tc>
        <w:tc>
          <w:tcPr>
            <w:tcW w:w="420" w:type="dxa"/>
            <w:vAlign w:val="bottom"/>
            <w:tcBorders>
              <w:bottom w:val="single" w:sz="8" w:color="2360A6"/>
              <w:right w:val="single" w:sz="8" w:color="2360A6"/>
            </w:tcBorders>
            <w:vMerge w:val="continue"/>
          </w:tcPr>
          <w:p>
            <w:pPr>
              <w:spacing w:after="0"/>
              <w:rPr>
                <w:sz w:val="11"/>
                <w:szCs w:val="11"/>
                <w:color w:val="auto"/>
              </w:rPr>
            </w:pPr>
          </w:p>
        </w:tc>
        <w:tc>
          <w:tcPr>
            <w:tcW w:w="520" w:type="dxa"/>
            <w:vAlign w:val="bottom"/>
            <w:tcBorders>
              <w:bottom w:val="single" w:sz="8" w:color="2360A6"/>
            </w:tcBorders>
          </w:tcPr>
          <w:p>
            <w:pPr>
              <w:jc w:val="right"/>
              <w:spacing w:after="0"/>
              <w:rPr>
                <w:sz w:val="20"/>
                <w:szCs w:val="20"/>
                <w:color w:val="auto"/>
              </w:rPr>
            </w:pPr>
            <w:r>
              <w:rPr>
                <w:rFonts w:ascii="Arial" w:cs="Arial" w:eastAsia="Arial" w:hAnsi="Arial"/>
                <w:sz w:val="11"/>
                <w:szCs w:val="11"/>
                <w:color w:val="231F20"/>
              </w:rPr>
              <w:t>/18.87</w:t>
            </w:r>
          </w:p>
        </w:tc>
        <w:tc>
          <w:tcPr>
            <w:tcW w:w="40" w:type="dxa"/>
            <w:vAlign w:val="bottom"/>
            <w:tcBorders>
              <w:bottom w:val="single" w:sz="8" w:color="2360A6"/>
              <w:right w:val="single" w:sz="8" w:color="2360A6"/>
            </w:tcBorders>
          </w:tcPr>
          <w:p>
            <w:pPr>
              <w:spacing w:after="0"/>
              <w:rPr>
                <w:sz w:val="11"/>
                <w:szCs w:val="11"/>
                <w:color w:val="auto"/>
              </w:rPr>
            </w:pPr>
          </w:p>
        </w:tc>
        <w:tc>
          <w:tcPr>
            <w:tcW w:w="680" w:type="dxa"/>
            <w:vAlign w:val="bottom"/>
            <w:tcBorders>
              <w:bottom w:val="single" w:sz="8" w:color="2360A6"/>
              <w:right w:val="single" w:sz="8" w:color="2360A6"/>
            </w:tcBorders>
            <w:vMerge w:val="continue"/>
          </w:tcPr>
          <w:p>
            <w:pPr>
              <w:spacing w:after="0"/>
              <w:rPr>
                <w:sz w:val="11"/>
                <w:szCs w:val="11"/>
                <w:color w:val="auto"/>
              </w:rPr>
            </w:pPr>
          </w:p>
        </w:tc>
        <w:tc>
          <w:tcPr>
            <w:tcW w:w="560" w:type="dxa"/>
            <w:vAlign w:val="bottom"/>
            <w:tcBorders>
              <w:bottom w:val="single" w:sz="8" w:color="2360A6"/>
              <w:right w:val="single" w:sz="8" w:color="2360A6"/>
            </w:tcBorders>
            <w:vMerge w:val="continue"/>
          </w:tcPr>
          <w:p>
            <w:pPr>
              <w:spacing w:after="0"/>
              <w:rPr>
                <w:sz w:val="11"/>
                <w:szCs w:val="11"/>
                <w:color w:val="auto"/>
              </w:rPr>
            </w:pPr>
          </w:p>
        </w:tc>
        <w:tc>
          <w:tcPr>
            <w:tcW w:w="6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auto"/>
              </w:rPr>
              <w:t>/7.90</w:t>
            </w:r>
          </w:p>
        </w:tc>
        <w:tc>
          <w:tcPr>
            <w:tcW w:w="0" w:type="dxa"/>
            <w:vAlign w:val="bottom"/>
          </w:tcPr>
          <w:p>
            <w:pPr>
              <w:spacing w:after="0"/>
              <w:rPr>
                <w:sz w:val="1"/>
                <w:szCs w:val="1"/>
                <w:color w:val="auto"/>
              </w:rPr>
            </w:pPr>
          </w:p>
        </w:tc>
      </w:tr>
      <w:tr>
        <w:trPr>
          <w:trHeight w:val="182"/>
        </w:trPr>
        <w:tc>
          <w:tcPr>
            <w:tcW w:w="500" w:type="dxa"/>
            <w:vAlign w:val="bottom"/>
          </w:tcPr>
          <w:p>
            <w:pPr>
              <w:spacing w:after="0"/>
              <w:rPr>
                <w:sz w:val="15"/>
                <w:szCs w:val="15"/>
                <w:color w:val="auto"/>
              </w:rPr>
            </w:pPr>
          </w:p>
        </w:tc>
        <w:tc>
          <w:tcPr>
            <w:tcW w:w="220" w:type="dxa"/>
            <w:vAlign w:val="bottom"/>
            <w:tcBorders>
              <w:right w:val="single" w:sz="8" w:color="2360A6"/>
            </w:tcBorders>
          </w:tcPr>
          <w:p>
            <w:pPr>
              <w:spacing w:after="0"/>
              <w:rPr>
                <w:sz w:val="15"/>
                <w:szCs w:val="15"/>
                <w:color w:val="auto"/>
              </w:rPr>
            </w:pP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March</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Dec.</w:t>
            </w:r>
          </w:p>
        </w:tc>
        <w:tc>
          <w:tcPr>
            <w:tcW w:w="8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June</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July</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June</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June</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Dec.</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March</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June</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Dec.</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March</w:t>
            </w:r>
          </w:p>
        </w:tc>
        <w:tc>
          <w:tcPr>
            <w:tcW w:w="6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June</w:t>
            </w:r>
          </w:p>
        </w:tc>
        <w:tc>
          <w:tcPr>
            <w:tcW w:w="160" w:type="dxa"/>
            <w:vAlign w:val="bottom"/>
          </w:tcPr>
          <w:p>
            <w:pPr>
              <w:spacing w:after="0"/>
              <w:rPr>
                <w:sz w:val="15"/>
                <w:szCs w:val="15"/>
                <w:color w:val="auto"/>
              </w:rPr>
            </w:pPr>
          </w:p>
        </w:tc>
        <w:tc>
          <w:tcPr>
            <w:tcW w:w="4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Dec.</w:t>
            </w:r>
          </w:p>
        </w:tc>
        <w:tc>
          <w:tcPr>
            <w:tcW w:w="520" w:type="dxa"/>
            <w:vAlign w:val="bottom"/>
          </w:tcPr>
          <w:p>
            <w:pPr>
              <w:jc w:val="right"/>
              <w:spacing w:after="0"/>
              <w:rPr>
                <w:sz w:val="20"/>
                <w:szCs w:val="20"/>
                <w:color w:val="auto"/>
              </w:rPr>
            </w:pPr>
            <w:r>
              <w:rPr>
                <w:rFonts w:ascii="Arial" w:cs="Arial" w:eastAsia="Arial" w:hAnsi="Arial"/>
                <w:sz w:val="11"/>
                <w:szCs w:val="11"/>
                <w:color w:val="231F20"/>
              </w:rPr>
              <w:t>June</w:t>
            </w:r>
          </w:p>
        </w:tc>
        <w:tc>
          <w:tcPr>
            <w:tcW w:w="40" w:type="dxa"/>
            <w:vAlign w:val="bottom"/>
            <w:tcBorders>
              <w:right w:val="single" w:sz="8" w:color="2360A6"/>
            </w:tcBorders>
          </w:tcPr>
          <w:p>
            <w:pPr>
              <w:spacing w:after="0"/>
              <w:rPr>
                <w:sz w:val="15"/>
                <w:szCs w:val="15"/>
                <w:color w:val="auto"/>
              </w:rPr>
            </w:pP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Jan.</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Sept.</w:t>
            </w:r>
          </w:p>
        </w:tc>
        <w:tc>
          <w:tcPr>
            <w:tcW w:w="680" w:type="dxa"/>
            <w:vAlign w:val="bottom"/>
            <w:tcBorders>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231F20"/>
              </w:rPr>
              <w:t>July</w:t>
            </w:r>
          </w:p>
        </w:tc>
        <w:tc>
          <w:tcPr>
            <w:tcW w:w="0" w:type="dxa"/>
            <w:vAlign w:val="bottom"/>
          </w:tcPr>
          <w:p>
            <w:pPr>
              <w:spacing w:after="0"/>
              <w:rPr>
                <w:sz w:val="1"/>
                <w:szCs w:val="1"/>
                <w:color w:val="auto"/>
              </w:rPr>
            </w:pPr>
          </w:p>
        </w:tc>
      </w:tr>
      <w:tr>
        <w:trPr>
          <w:trHeight w:val="122"/>
        </w:trPr>
        <w:tc>
          <w:tcPr>
            <w:tcW w:w="500" w:type="dxa"/>
            <w:vAlign w:val="bottom"/>
          </w:tcPr>
          <w:p>
            <w:pPr>
              <w:ind w:left="40"/>
              <w:spacing w:after="0" w:line="122" w:lineRule="exact"/>
              <w:rPr>
                <w:sz w:val="20"/>
                <w:szCs w:val="20"/>
                <w:color w:val="auto"/>
              </w:rPr>
            </w:pPr>
            <w:r>
              <w:rPr>
                <w:rFonts w:ascii="Arial" w:cs="Arial" w:eastAsia="Arial" w:hAnsi="Arial"/>
                <w:sz w:val="11"/>
                <w:szCs w:val="11"/>
                <w:color w:val="231F20"/>
              </w:rPr>
              <w:t>Maturity</w:t>
            </w:r>
          </w:p>
        </w:tc>
        <w:tc>
          <w:tcPr>
            <w:tcW w:w="22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jc w:val="right"/>
              <w:spacing w:after="0" w:line="122" w:lineRule="exact"/>
              <w:rPr>
                <w:sz w:val="20"/>
                <w:szCs w:val="20"/>
                <w:color w:val="auto"/>
              </w:rPr>
            </w:pPr>
            <w:r>
              <w:rPr>
                <w:rFonts w:ascii="Arial" w:cs="Arial" w:eastAsia="Arial" w:hAnsi="Arial"/>
                <w:sz w:val="11"/>
                <w:szCs w:val="11"/>
                <w:color w:val="231F20"/>
              </w:rPr>
              <w:t>12,</w:t>
            </w:r>
          </w:p>
        </w:tc>
        <w:tc>
          <w:tcPr>
            <w:tcW w:w="680" w:type="dxa"/>
            <w:vAlign w:val="bottom"/>
            <w:tcBorders>
              <w:right w:val="single" w:sz="8" w:color="2360A6"/>
            </w:tcBorders>
          </w:tcPr>
          <w:p>
            <w:pPr>
              <w:jc w:val="right"/>
              <w:spacing w:after="0" w:line="122" w:lineRule="exact"/>
              <w:rPr>
                <w:sz w:val="20"/>
                <w:szCs w:val="20"/>
                <w:color w:val="auto"/>
              </w:rPr>
            </w:pPr>
            <w:r>
              <w:rPr>
                <w:rFonts w:ascii="Arial" w:cs="Arial" w:eastAsia="Arial" w:hAnsi="Arial"/>
                <w:sz w:val="11"/>
                <w:szCs w:val="11"/>
                <w:color w:val="231F20"/>
              </w:rPr>
              <w:t>12,</w:t>
            </w:r>
          </w:p>
        </w:tc>
        <w:tc>
          <w:tcPr>
            <w:tcW w:w="820" w:type="dxa"/>
            <w:vAlign w:val="bottom"/>
            <w:tcBorders>
              <w:right w:val="single" w:sz="8" w:color="2360A6"/>
            </w:tcBorders>
          </w:tcPr>
          <w:p>
            <w:pPr>
              <w:jc w:val="right"/>
              <w:ind w:right="6"/>
              <w:spacing w:after="0" w:line="122" w:lineRule="exact"/>
              <w:rPr>
                <w:sz w:val="20"/>
                <w:szCs w:val="20"/>
                <w:color w:val="auto"/>
              </w:rPr>
            </w:pPr>
            <w:r>
              <w:rPr>
                <w:rFonts w:ascii="Arial" w:cs="Arial" w:eastAsia="Arial" w:hAnsi="Arial"/>
                <w:sz w:val="11"/>
                <w:szCs w:val="11"/>
                <w:color w:val="231F20"/>
              </w:rPr>
              <w:t>12,</w:t>
            </w:r>
          </w:p>
        </w:tc>
        <w:tc>
          <w:tcPr>
            <w:tcW w:w="580" w:type="dxa"/>
            <w:vAlign w:val="bottom"/>
            <w:tcBorders>
              <w:right w:val="single" w:sz="8" w:color="2360A6"/>
            </w:tcBorders>
          </w:tcPr>
          <w:p>
            <w:pPr>
              <w:jc w:val="right"/>
              <w:spacing w:after="0" w:line="122" w:lineRule="exact"/>
              <w:rPr>
                <w:sz w:val="20"/>
                <w:szCs w:val="20"/>
                <w:color w:val="auto"/>
              </w:rPr>
            </w:pPr>
            <w:r>
              <w:rPr>
                <w:rFonts w:ascii="Arial" w:cs="Arial" w:eastAsia="Arial" w:hAnsi="Arial"/>
                <w:sz w:val="11"/>
                <w:szCs w:val="11"/>
                <w:color w:val="231F20"/>
              </w:rPr>
              <w:t>01,</w:t>
            </w:r>
          </w:p>
        </w:tc>
        <w:tc>
          <w:tcPr>
            <w:tcW w:w="580" w:type="dxa"/>
            <w:vAlign w:val="bottom"/>
            <w:tcBorders>
              <w:right w:val="single" w:sz="8" w:color="2360A6"/>
            </w:tcBorders>
          </w:tcPr>
          <w:p>
            <w:pPr>
              <w:jc w:val="right"/>
              <w:spacing w:after="0" w:line="122" w:lineRule="exact"/>
              <w:rPr>
                <w:sz w:val="20"/>
                <w:szCs w:val="20"/>
                <w:color w:val="auto"/>
              </w:rPr>
            </w:pPr>
            <w:r>
              <w:rPr>
                <w:rFonts w:ascii="Arial" w:cs="Arial" w:eastAsia="Arial" w:hAnsi="Arial"/>
                <w:sz w:val="11"/>
                <w:szCs w:val="11"/>
                <w:color w:val="231F20"/>
              </w:rPr>
              <w:t>15,</w:t>
            </w:r>
          </w:p>
        </w:tc>
        <w:tc>
          <w:tcPr>
            <w:tcW w:w="580" w:type="dxa"/>
            <w:vAlign w:val="bottom"/>
            <w:tcBorders>
              <w:right w:val="single" w:sz="8" w:color="2360A6"/>
            </w:tcBorders>
          </w:tcPr>
          <w:p>
            <w:pPr>
              <w:jc w:val="right"/>
              <w:spacing w:after="0" w:line="122" w:lineRule="exact"/>
              <w:rPr>
                <w:sz w:val="20"/>
                <w:szCs w:val="20"/>
                <w:color w:val="auto"/>
              </w:rPr>
            </w:pPr>
            <w:r>
              <w:rPr>
                <w:rFonts w:ascii="Arial" w:cs="Arial" w:eastAsia="Arial" w:hAnsi="Arial"/>
                <w:sz w:val="11"/>
                <w:szCs w:val="11"/>
                <w:color w:val="231F20"/>
              </w:rPr>
              <w:t>23,</w:t>
            </w:r>
          </w:p>
        </w:tc>
        <w:tc>
          <w:tcPr>
            <w:tcW w:w="580" w:type="dxa"/>
            <w:vAlign w:val="bottom"/>
            <w:tcBorders>
              <w:right w:val="single" w:sz="8" w:color="2360A6"/>
            </w:tcBorders>
          </w:tcPr>
          <w:p>
            <w:pPr>
              <w:jc w:val="right"/>
              <w:spacing w:after="0" w:line="122" w:lineRule="exact"/>
              <w:rPr>
                <w:sz w:val="20"/>
                <w:szCs w:val="20"/>
                <w:color w:val="auto"/>
              </w:rPr>
            </w:pPr>
            <w:r>
              <w:rPr>
                <w:rFonts w:ascii="Arial" w:cs="Arial" w:eastAsia="Arial" w:hAnsi="Arial"/>
                <w:sz w:val="11"/>
                <w:szCs w:val="11"/>
                <w:color w:val="231F20"/>
              </w:rPr>
              <w:t>15,</w:t>
            </w:r>
          </w:p>
        </w:tc>
        <w:tc>
          <w:tcPr>
            <w:tcW w:w="680" w:type="dxa"/>
            <w:vAlign w:val="bottom"/>
            <w:tcBorders>
              <w:right w:val="single" w:sz="8" w:color="2360A6"/>
            </w:tcBorders>
          </w:tcPr>
          <w:p>
            <w:pPr>
              <w:jc w:val="right"/>
              <w:ind w:right="6"/>
              <w:spacing w:after="0" w:line="122" w:lineRule="exact"/>
              <w:rPr>
                <w:sz w:val="20"/>
                <w:szCs w:val="20"/>
                <w:color w:val="auto"/>
              </w:rPr>
            </w:pPr>
            <w:r>
              <w:rPr>
                <w:rFonts w:ascii="Arial" w:cs="Arial" w:eastAsia="Arial" w:hAnsi="Arial"/>
                <w:sz w:val="11"/>
                <w:szCs w:val="11"/>
                <w:color w:val="231F20"/>
              </w:rPr>
              <w:t>04,</w:t>
            </w:r>
          </w:p>
        </w:tc>
        <w:tc>
          <w:tcPr>
            <w:tcW w:w="680" w:type="dxa"/>
            <w:vAlign w:val="bottom"/>
            <w:tcBorders>
              <w:right w:val="single" w:sz="8" w:color="2360A6"/>
            </w:tcBorders>
          </w:tcPr>
          <w:p>
            <w:pPr>
              <w:jc w:val="right"/>
              <w:ind w:right="6"/>
              <w:spacing w:after="0" w:line="122" w:lineRule="exact"/>
              <w:rPr>
                <w:sz w:val="20"/>
                <w:szCs w:val="20"/>
                <w:color w:val="auto"/>
              </w:rPr>
            </w:pPr>
            <w:r>
              <w:rPr>
                <w:rFonts w:ascii="Arial" w:cs="Arial" w:eastAsia="Arial" w:hAnsi="Arial"/>
                <w:sz w:val="11"/>
                <w:szCs w:val="11"/>
                <w:color w:val="231F20"/>
              </w:rPr>
              <w:t>17,</w:t>
            </w:r>
          </w:p>
        </w:tc>
        <w:tc>
          <w:tcPr>
            <w:tcW w:w="560" w:type="dxa"/>
            <w:vAlign w:val="bottom"/>
            <w:tcBorders>
              <w:right w:val="single" w:sz="8" w:color="2360A6"/>
            </w:tcBorders>
          </w:tcPr>
          <w:p>
            <w:pPr>
              <w:jc w:val="right"/>
              <w:spacing w:after="0" w:line="122" w:lineRule="exact"/>
              <w:rPr>
                <w:sz w:val="20"/>
                <w:szCs w:val="20"/>
                <w:color w:val="auto"/>
              </w:rPr>
            </w:pPr>
            <w:r>
              <w:rPr>
                <w:rFonts w:ascii="Arial" w:cs="Arial" w:eastAsia="Arial" w:hAnsi="Arial"/>
                <w:sz w:val="11"/>
                <w:szCs w:val="11"/>
                <w:color w:val="231F20"/>
              </w:rPr>
              <w:t>14,</w:t>
            </w:r>
          </w:p>
        </w:tc>
        <w:tc>
          <w:tcPr>
            <w:tcW w:w="680" w:type="dxa"/>
            <w:vAlign w:val="bottom"/>
            <w:tcBorders>
              <w:right w:val="single" w:sz="8" w:color="2360A6"/>
            </w:tcBorders>
          </w:tcPr>
          <w:p>
            <w:pPr>
              <w:jc w:val="right"/>
              <w:ind w:right="6"/>
              <w:spacing w:after="0" w:line="122" w:lineRule="exact"/>
              <w:rPr>
                <w:sz w:val="20"/>
                <w:szCs w:val="20"/>
                <w:color w:val="auto"/>
              </w:rPr>
            </w:pPr>
            <w:r>
              <w:rPr>
                <w:rFonts w:ascii="Arial" w:cs="Arial" w:eastAsia="Arial" w:hAnsi="Arial"/>
                <w:sz w:val="11"/>
                <w:szCs w:val="11"/>
                <w:color w:val="231F20"/>
              </w:rPr>
              <w:t>02,</w:t>
            </w:r>
          </w:p>
        </w:tc>
        <w:tc>
          <w:tcPr>
            <w:tcW w:w="660" w:type="dxa"/>
            <w:vAlign w:val="bottom"/>
            <w:tcBorders>
              <w:right w:val="single" w:sz="8" w:color="2360A6"/>
            </w:tcBorders>
          </w:tcPr>
          <w:p>
            <w:pPr>
              <w:jc w:val="right"/>
              <w:spacing w:after="0" w:line="122" w:lineRule="exact"/>
              <w:rPr>
                <w:sz w:val="20"/>
                <w:szCs w:val="20"/>
                <w:color w:val="auto"/>
              </w:rPr>
            </w:pPr>
            <w:r>
              <w:rPr>
                <w:rFonts w:ascii="Arial" w:cs="Arial" w:eastAsia="Arial" w:hAnsi="Arial"/>
                <w:sz w:val="11"/>
                <w:szCs w:val="11"/>
                <w:color w:val="231F20"/>
              </w:rPr>
              <w:t>15,</w:t>
            </w:r>
          </w:p>
        </w:tc>
        <w:tc>
          <w:tcPr>
            <w:tcW w:w="160" w:type="dxa"/>
            <w:vAlign w:val="bottom"/>
          </w:tcPr>
          <w:p>
            <w:pPr>
              <w:spacing w:after="0"/>
              <w:rPr>
                <w:sz w:val="10"/>
                <w:szCs w:val="10"/>
                <w:color w:val="auto"/>
              </w:rPr>
            </w:pPr>
          </w:p>
        </w:tc>
        <w:tc>
          <w:tcPr>
            <w:tcW w:w="420" w:type="dxa"/>
            <w:vAlign w:val="bottom"/>
            <w:tcBorders>
              <w:right w:val="single" w:sz="8" w:color="2360A6"/>
            </w:tcBorders>
          </w:tcPr>
          <w:p>
            <w:pPr>
              <w:jc w:val="right"/>
              <w:ind w:right="6"/>
              <w:spacing w:after="0" w:line="122" w:lineRule="exact"/>
              <w:rPr>
                <w:sz w:val="20"/>
                <w:szCs w:val="20"/>
                <w:color w:val="auto"/>
              </w:rPr>
            </w:pPr>
            <w:r>
              <w:rPr>
                <w:rFonts w:ascii="Arial" w:cs="Arial" w:eastAsia="Arial" w:hAnsi="Arial"/>
                <w:sz w:val="11"/>
                <w:szCs w:val="11"/>
                <w:color w:val="231F20"/>
              </w:rPr>
              <w:t>12,</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231F20"/>
              </w:rPr>
              <w:t>14,</w:t>
            </w:r>
          </w:p>
        </w:tc>
        <w:tc>
          <w:tcPr>
            <w:tcW w:w="4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jc w:val="right"/>
              <w:spacing w:after="0" w:line="122" w:lineRule="exact"/>
              <w:rPr>
                <w:sz w:val="20"/>
                <w:szCs w:val="20"/>
                <w:color w:val="auto"/>
              </w:rPr>
            </w:pPr>
            <w:r>
              <w:rPr>
                <w:rFonts w:ascii="Arial" w:cs="Arial" w:eastAsia="Arial" w:hAnsi="Arial"/>
                <w:sz w:val="11"/>
                <w:szCs w:val="11"/>
                <w:color w:val="231F20"/>
              </w:rPr>
              <w:t>10,</w:t>
            </w:r>
          </w:p>
        </w:tc>
        <w:tc>
          <w:tcPr>
            <w:tcW w:w="560" w:type="dxa"/>
            <w:vAlign w:val="bottom"/>
            <w:tcBorders>
              <w:right w:val="single" w:sz="8" w:color="2360A6"/>
            </w:tcBorders>
          </w:tcPr>
          <w:p>
            <w:pPr>
              <w:jc w:val="right"/>
              <w:spacing w:after="0" w:line="122" w:lineRule="exact"/>
              <w:rPr>
                <w:sz w:val="20"/>
                <w:szCs w:val="20"/>
                <w:color w:val="auto"/>
              </w:rPr>
            </w:pPr>
            <w:r>
              <w:rPr>
                <w:rFonts w:ascii="Arial" w:cs="Arial" w:eastAsia="Arial" w:hAnsi="Arial"/>
                <w:sz w:val="11"/>
                <w:szCs w:val="11"/>
                <w:color w:val="231F20"/>
              </w:rPr>
              <w:t>07,</w:t>
            </w:r>
          </w:p>
        </w:tc>
        <w:tc>
          <w:tcPr>
            <w:tcW w:w="680" w:type="dxa"/>
            <w:vAlign w:val="bottom"/>
            <w:tcBorders>
              <w:right w:val="single" w:sz="8" w:color="2360A6"/>
            </w:tcBorders>
            <w:shd w:val="clear" w:color="auto" w:fill="EDEDEE"/>
          </w:tcPr>
          <w:p>
            <w:pPr>
              <w:jc w:val="right"/>
              <w:spacing w:after="0" w:line="122" w:lineRule="exact"/>
              <w:rPr>
                <w:sz w:val="20"/>
                <w:szCs w:val="20"/>
                <w:color w:val="auto"/>
              </w:rPr>
            </w:pPr>
            <w:r>
              <w:rPr>
                <w:rFonts w:ascii="Arial" w:cs="Arial" w:eastAsia="Arial" w:hAnsi="Arial"/>
                <w:sz w:val="11"/>
                <w:szCs w:val="11"/>
                <w:color w:val="231F20"/>
              </w:rPr>
              <w:t>01,</w:t>
            </w:r>
          </w:p>
        </w:tc>
        <w:tc>
          <w:tcPr>
            <w:tcW w:w="0" w:type="dxa"/>
            <w:vAlign w:val="bottom"/>
          </w:tcPr>
          <w:p>
            <w:pPr>
              <w:spacing w:after="0"/>
              <w:rPr>
                <w:sz w:val="1"/>
                <w:szCs w:val="1"/>
                <w:color w:val="auto"/>
              </w:rPr>
            </w:pPr>
          </w:p>
        </w:tc>
      </w:tr>
      <w:tr>
        <w:trPr>
          <w:trHeight w:val="132"/>
        </w:trPr>
        <w:tc>
          <w:tcPr>
            <w:tcW w:w="500" w:type="dxa"/>
            <w:vAlign w:val="bottom"/>
          </w:tcPr>
          <w:p>
            <w:pPr>
              <w:ind w:left="40"/>
              <w:spacing w:after="0"/>
              <w:rPr>
                <w:sz w:val="20"/>
                <w:szCs w:val="20"/>
                <w:color w:val="auto"/>
              </w:rPr>
            </w:pPr>
            <w:r>
              <w:rPr>
                <w:rFonts w:ascii="Arial" w:cs="Arial" w:eastAsia="Arial" w:hAnsi="Arial"/>
                <w:sz w:val="11"/>
                <w:szCs w:val="11"/>
                <w:color w:val="231F20"/>
              </w:rPr>
              <w:t>Date</w:t>
            </w:r>
          </w:p>
        </w:tc>
        <w:tc>
          <w:tcPr>
            <w:tcW w:w="22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2013</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2013</w:t>
            </w:r>
          </w:p>
        </w:tc>
        <w:tc>
          <w:tcPr>
            <w:tcW w:w="8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2014</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2014</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2015</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2016</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2016</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2017</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2018</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2018</w:t>
            </w:r>
          </w:p>
        </w:tc>
        <w:tc>
          <w:tcPr>
            <w:tcW w:w="6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2019</w:t>
            </w:r>
          </w:p>
        </w:tc>
        <w:tc>
          <w:tcPr>
            <w:tcW w:w="6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2019</w:t>
            </w:r>
          </w:p>
        </w:tc>
        <w:tc>
          <w:tcPr>
            <w:tcW w:w="160" w:type="dxa"/>
            <w:vAlign w:val="bottom"/>
          </w:tcPr>
          <w:p>
            <w:pPr>
              <w:spacing w:after="0"/>
              <w:rPr>
                <w:sz w:val="11"/>
                <w:szCs w:val="11"/>
                <w:color w:val="auto"/>
              </w:rPr>
            </w:pPr>
          </w:p>
        </w:tc>
        <w:tc>
          <w:tcPr>
            <w:tcW w:w="4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2019</w:t>
            </w:r>
          </w:p>
        </w:tc>
        <w:tc>
          <w:tcPr>
            <w:tcW w:w="520" w:type="dxa"/>
            <w:vAlign w:val="bottom"/>
          </w:tcPr>
          <w:p>
            <w:pPr>
              <w:jc w:val="right"/>
              <w:spacing w:after="0"/>
              <w:rPr>
                <w:sz w:val="20"/>
                <w:szCs w:val="20"/>
                <w:color w:val="auto"/>
              </w:rPr>
            </w:pPr>
            <w:r>
              <w:rPr>
                <w:rFonts w:ascii="Arial" w:cs="Arial" w:eastAsia="Arial" w:hAnsi="Arial"/>
                <w:sz w:val="11"/>
                <w:szCs w:val="11"/>
                <w:color w:val="231F20"/>
              </w:rPr>
              <w:t>2021</w:t>
            </w:r>
          </w:p>
        </w:tc>
        <w:tc>
          <w:tcPr>
            <w:tcW w:w="4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2022</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2023</w:t>
            </w:r>
          </w:p>
        </w:tc>
        <w:tc>
          <w:tcPr>
            <w:tcW w:w="680" w:type="dxa"/>
            <w:vAlign w:val="bottom"/>
            <w:tcBorders>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231F20"/>
              </w:rPr>
              <w:t>2024</w:t>
            </w:r>
          </w:p>
        </w:tc>
        <w:tc>
          <w:tcPr>
            <w:tcW w:w="0" w:type="dxa"/>
            <w:vAlign w:val="bottom"/>
          </w:tcPr>
          <w:p>
            <w:pPr>
              <w:spacing w:after="0"/>
              <w:rPr>
                <w:sz w:val="1"/>
                <w:szCs w:val="1"/>
                <w:color w:val="auto"/>
              </w:rPr>
            </w:pPr>
          </w:p>
        </w:tc>
      </w:tr>
      <w:tr>
        <w:trPr>
          <w:trHeight w:val="20"/>
        </w:trPr>
        <w:tc>
          <w:tcPr>
            <w:tcW w:w="500" w:type="dxa"/>
            <w:vAlign w:val="bottom"/>
            <w:shd w:val="clear" w:color="auto" w:fill="2360A6"/>
          </w:tcPr>
          <w:p>
            <w:pPr>
              <w:spacing w:after="0" w:line="20" w:lineRule="exact"/>
              <w:rPr>
                <w:sz w:val="1"/>
                <w:szCs w:val="1"/>
                <w:color w:val="auto"/>
              </w:rPr>
            </w:pPr>
          </w:p>
        </w:tc>
        <w:tc>
          <w:tcPr>
            <w:tcW w:w="220" w:type="dxa"/>
            <w:vAlign w:val="bottom"/>
            <w:tcBorders>
              <w:right w:val="single" w:sz="8" w:color="2360A6"/>
            </w:tcBorders>
            <w:shd w:val="clear" w:color="auto" w:fill="2360A6"/>
          </w:tcPr>
          <w:p>
            <w:pPr>
              <w:spacing w:after="0" w:line="20" w:lineRule="exact"/>
              <w:rPr>
                <w:sz w:val="1"/>
                <w:szCs w:val="1"/>
                <w:color w:val="auto"/>
              </w:rPr>
            </w:pPr>
          </w:p>
        </w:tc>
        <w:tc>
          <w:tcPr>
            <w:tcW w:w="580" w:type="dxa"/>
            <w:vAlign w:val="bottom"/>
            <w:tcBorders>
              <w:right w:val="single" w:sz="8" w:color="2360A6"/>
            </w:tcBorders>
            <w:shd w:val="clear" w:color="auto" w:fill="2360A6"/>
          </w:tcPr>
          <w:p>
            <w:pPr>
              <w:spacing w:after="0" w:line="20" w:lineRule="exact"/>
              <w:rPr>
                <w:sz w:val="1"/>
                <w:szCs w:val="1"/>
                <w:color w:val="auto"/>
              </w:rPr>
            </w:pPr>
          </w:p>
        </w:tc>
        <w:tc>
          <w:tcPr>
            <w:tcW w:w="680" w:type="dxa"/>
            <w:vAlign w:val="bottom"/>
            <w:tcBorders>
              <w:right w:val="single" w:sz="8" w:color="2360A6"/>
            </w:tcBorders>
            <w:shd w:val="clear" w:color="auto" w:fill="2360A6"/>
          </w:tcPr>
          <w:p>
            <w:pPr>
              <w:spacing w:after="0" w:line="20" w:lineRule="exact"/>
              <w:rPr>
                <w:sz w:val="1"/>
                <w:szCs w:val="1"/>
                <w:color w:val="auto"/>
              </w:rPr>
            </w:pPr>
          </w:p>
        </w:tc>
        <w:tc>
          <w:tcPr>
            <w:tcW w:w="820" w:type="dxa"/>
            <w:vAlign w:val="bottom"/>
            <w:tcBorders>
              <w:right w:val="single" w:sz="8" w:color="2360A6"/>
            </w:tcBorders>
            <w:shd w:val="clear" w:color="auto" w:fill="2360A6"/>
          </w:tcPr>
          <w:p>
            <w:pPr>
              <w:spacing w:after="0" w:line="20" w:lineRule="exact"/>
              <w:rPr>
                <w:sz w:val="1"/>
                <w:szCs w:val="1"/>
                <w:color w:val="auto"/>
              </w:rPr>
            </w:pPr>
          </w:p>
        </w:tc>
        <w:tc>
          <w:tcPr>
            <w:tcW w:w="580" w:type="dxa"/>
            <w:vAlign w:val="bottom"/>
            <w:tcBorders>
              <w:right w:val="single" w:sz="8" w:color="2360A6"/>
            </w:tcBorders>
            <w:shd w:val="clear" w:color="auto" w:fill="2360A6"/>
          </w:tcPr>
          <w:p>
            <w:pPr>
              <w:spacing w:after="0" w:line="20" w:lineRule="exact"/>
              <w:rPr>
                <w:sz w:val="1"/>
                <w:szCs w:val="1"/>
                <w:color w:val="auto"/>
              </w:rPr>
            </w:pPr>
          </w:p>
        </w:tc>
        <w:tc>
          <w:tcPr>
            <w:tcW w:w="580" w:type="dxa"/>
            <w:vAlign w:val="bottom"/>
            <w:tcBorders>
              <w:right w:val="single" w:sz="8" w:color="2360A6"/>
            </w:tcBorders>
            <w:shd w:val="clear" w:color="auto" w:fill="2360A6"/>
          </w:tcPr>
          <w:p>
            <w:pPr>
              <w:spacing w:after="0" w:line="20" w:lineRule="exact"/>
              <w:rPr>
                <w:sz w:val="1"/>
                <w:szCs w:val="1"/>
                <w:color w:val="auto"/>
              </w:rPr>
            </w:pPr>
          </w:p>
        </w:tc>
        <w:tc>
          <w:tcPr>
            <w:tcW w:w="580" w:type="dxa"/>
            <w:vAlign w:val="bottom"/>
            <w:tcBorders>
              <w:right w:val="single" w:sz="8" w:color="2360A6"/>
            </w:tcBorders>
            <w:shd w:val="clear" w:color="auto" w:fill="2360A6"/>
          </w:tcPr>
          <w:p>
            <w:pPr>
              <w:spacing w:after="0" w:line="20" w:lineRule="exact"/>
              <w:rPr>
                <w:sz w:val="1"/>
                <w:szCs w:val="1"/>
                <w:color w:val="auto"/>
              </w:rPr>
            </w:pPr>
          </w:p>
        </w:tc>
        <w:tc>
          <w:tcPr>
            <w:tcW w:w="580" w:type="dxa"/>
            <w:vAlign w:val="bottom"/>
            <w:tcBorders>
              <w:right w:val="single" w:sz="8" w:color="2360A6"/>
            </w:tcBorders>
            <w:shd w:val="clear" w:color="auto" w:fill="2360A6"/>
          </w:tcPr>
          <w:p>
            <w:pPr>
              <w:spacing w:after="0" w:line="20" w:lineRule="exact"/>
              <w:rPr>
                <w:sz w:val="1"/>
                <w:szCs w:val="1"/>
                <w:color w:val="auto"/>
              </w:rPr>
            </w:pPr>
          </w:p>
        </w:tc>
        <w:tc>
          <w:tcPr>
            <w:tcW w:w="680" w:type="dxa"/>
            <w:vAlign w:val="bottom"/>
            <w:tcBorders>
              <w:right w:val="single" w:sz="8" w:color="2360A6"/>
            </w:tcBorders>
            <w:shd w:val="clear" w:color="auto" w:fill="2360A6"/>
          </w:tcPr>
          <w:p>
            <w:pPr>
              <w:spacing w:after="0" w:line="20" w:lineRule="exact"/>
              <w:rPr>
                <w:sz w:val="1"/>
                <w:szCs w:val="1"/>
                <w:color w:val="auto"/>
              </w:rPr>
            </w:pPr>
          </w:p>
        </w:tc>
        <w:tc>
          <w:tcPr>
            <w:tcW w:w="680" w:type="dxa"/>
            <w:vAlign w:val="bottom"/>
            <w:tcBorders>
              <w:right w:val="single" w:sz="8" w:color="2360A6"/>
            </w:tcBorders>
            <w:shd w:val="clear" w:color="auto" w:fill="2360A6"/>
          </w:tcPr>
          <w:p>
            <w:pPr>
              <w:spacing w:after="0" w:line="20" w:lineRule="exact"/>
              <w:rPr>
                <w:sz w:val="1"/>
                <w:szCs w:val="1"/>
                <w:color w:val="auto"/>
              </w:rPr>
            </w:pPr>
          </w:p>
        </w:tc>
        <w:tc>
          <w:tcPr>
            <w:tcW w:w="560" w:type="dxa"/>
            <w:vAlign w:val="bottom"/>
            <w:tcBorders>
              <w:right w:val="single" w:sz="8" w:color="2360A6"/>
            </w:tcBorders>
            <w:shd w:val="clear" w:color="auto" w:fill="2360A6"/>
          </w:tcPr>
          <w:p>
            <w:pPr>
              <w:spacing w:after="0" w:line="20" w:lineRule="exact"/>
              <w:rPr>
                <w:sz w:val="1"/>
                <w:szCs w:val="1"/>
                <w:color w:val="auto"/>
              </w:rPr>
            </w:pPr>
          </w:p>
        </w:tc>
        <w:tc>
          <w:tcPr>
            <w:tcW w:w="680" w:type="dxa"/>
            <w:vAlign w:val="bottom"/>
            <w:tcBorders>
              <w:right w:val="single" w:sz="8" w:color="2360A6"/>
            </w:tcBorders>
            <w:shd w:val="clear" w:color="auto" w:fill="2360A6"/>
          </w:tcPr>
          <w:p>
            <w:pPr>
              <w:spacing w:after="0" w:line="20" w:lineRule="exact"/>
              <w:rPr>
                <w:sz w:val="1"/>
                <w:szCs w:val="1"/>
                <w:color w:val="auto"/>
              </w:rPr>
            </w:pPr>
          </w:p>
        </w:tc>
        <w:tc>
          <w:tcPr>
            <w:tcW w:w="660" w:type="dxa"/>
            <w:vAlign w:val="bottom"/>
            <w:tcBorders>
              <w:right w:val="single" w:sz="8" w:color="2360A6"/>
            </w:tcBorders>
            <w:shd w:val="clear" w:color="auto" w:fill="2360A6"/>
          </w:tcPr>
          <w:p>
            <w:pPr>
              <w:spacing w:after="0" w:line="20" w:lineRule="exact"/>
              <w:rPr>
                <w:sz w:val="1"/>
                <w:szCs w:val="1"/>
                <w:color w:val="auto"/>
              </w:rPr>
            </w:pPr>
          </w:p>
        </w:tc>
        <w:tc>
          <w:tcPr>
            <w:tcW w:w="160" w:type="dxa"/>
            <w:vAlign w:val="bottom"/>
            <w:shd w:val="clear" w:color="auto" w:fill="2360A6"/>
          </w:tcPr>
          <w:p>
            <w:pPr>
              <w:spacing w:after="0" w:line="20" w:lineRule="exact"/>
              <w:rPr>
                <w:sz w:val="1"/>
                <w:szCs w:val="1"/>
                <w:color w:val="auto"/>
              </w:rPr>
            </w:pPr>
          </w:p>
        </w:tc>
        <w:tc>
          <w:tcPr>
            <w:tcW w:w="420" w:type="dxa"/>
            <w:vAlign w:val="bottom"/>
            <w:tcBorders>
              <w:right w:val="single" w:sz="8" w:color="2360A6"/>
            </w:tcBorders>
            <w:shd w:val="clear" w:color="auto" w:fill="2360A6"/>
          </w:tcPr>
          <w:p>
            <w:pPr>
              <w:spacing w:after="0" w:line="20" w:lineRule="exact"/>
              <w:rPr>
                <w:sz w:val="1"/>
                <w:szCs w:val="1"/>
                <w:color w:val="auto"/>
              </w:rPr>
            </w:pPr>
          </w:p>
        </w:tc>
        <w:tc>
          <w:tcPr>
            <w:tcW w:w="520" w:type="dxa"/>
            <w:vAlign w:val="bottom"/>
            <w:shd w:val="clear" w:color="auto" w:fill="2360A6"/>
          </w:tcPr>
          <w:p>
            <w:pPr>
              <w:spacing w:after="0" w:line="20" w:lineRule="exact"/>
              <w:rPr>
                <w:sz w:val="1"/>
                <w:szCs w:val="1"/>
                <w:color w:val="auto"/>
              </w:rPr>
            </w:pPr>
          </w:p>
        </w:tc>
        <w:tc>
          <w:tcPr>
            <w:tcW w:w="40" w:type="dxa"/>
            <w:vAlign w:val="bottom"/>
            <w:tcBorders>
              <w:right w:val="single" w:sz="8" w:color="2360A6"/>
            </w:tcBorders>
            <w:shd w:val="clear" w:color="auto" w:fill="2360A6"/>
          </w:tcPr>
          <w:p>
            <w:pPr>
              <w:spacing w:after="0" w:line="20" w:lineRule="exact"/>
              <w:rPr>
                <w:sz w:val="1"/>
                <w:szCs w:val="1"/>
                <w:color w:val="auto"/>
              </w:rPr>
            </w:pPr>
          </w:p>
        </w:tc>
        <w:tc>
          <w:tcPr>
            <w:tcW w:w="680" w:type="dxa"/>
            <w:vAlign w:val="bottom"/>
            <w:tcBorders>
              <w:right w:val="single" w:sz="8" w:color="2360A6"/>
            </w:tcBorders>
            <w:shd w:val="clear" w:color="auto" w:fill="2360A6"/>
          </w:tcPr>
          <w:p>
            <w:pPr>
              <w:spacing w:after="0" w:line="20" w:lineRule="exact"/>
              <w:rPr>
                <w:sz w:val="1"/>
                <w:szCs w:val="1"/>
                <w:color w:val="auto"/>
              </w:rPr>
            </w:pPr>
          </w:p>
        </w:tc>
        <w:tc>
          <w:tcPr>
            <w:tcW w:w="560" w:type="dxa"/>
            <w:vAlign w:val="bottom"/>
            <w:tcBorders>
              <w:right w:val="single" w:sz="8" w:color="2360A6"/>
            </w:tcBorders>
            <w:shd w:val="clear" w:color="auto" w:fill="2360A6"/>
          </w:tcPr>
          <w:p>
            <w:pPr>
              <w:spacing w:after="0" w:line="20" w:lineRule="exact"/>
              <w:rPr>
                <w:sz w:val="1"/>
                <w:szCs w:val="1"/>
                <w:color w:val="auto"/>
              </w:rPr>
            </w:pPr>
          </w:p>
        </w:tc>
        <w:tc>
          <w:tcPr>
            <w:tcW w:w="680" w:type="dxa"/>
            <w:vAlign w:val="bottom"/>
            <w:tcBorders>
              <w:right w:val="single" w:sz="8" w:color="2360A6"/>
            </w:tcBorders>
            <w:shd w:val="clear" w:color="auto" w:fill="2360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180" w:hanging="131"/>
        <w:spacing w:after="0"/>
        <w:tabs>
          <w:tab w:leader="none" w:pos="180" w:val="left"/>
        </w:tabs>
        <w:numPr>
          <w:ilvl w:val="0"/>
          <w:numId w:val="51"/>
        </w:numPr>
        <w:rPr>
          <w:rFonts w:ascii="Arial" w:cs="Arial" w:eastAsia="Arial" w:hAnsi="Arial"/>
          <w:sz w:val="9"/>
          <w:szCs w:val="9"/>
          <w:color w:val="231F20"/>
        </w:rPr>
      </w:pPr>
      <w:r>
        <w:rPr>
          <w:rFonts w:ascii="Arial" w:cs="Arial" w:eastAsia="Arial" w:hAnsi="Arial"/>
          <w:sz w:val="9"/>
          <w:szCs w:val="9"/>
          <w:color w:val="231F20"/>
        </w:rPr>
        <w:t>The turnover rate and fair value of performance shares differ from country to country.</w:t>
      </w:r>
    </w:p>
    <w:p>
      <w:pPr>
        <w:ind w:left="180" w:hanging="131"/>
        <w:spacing w:after="0"/>
        <w:tabs>
          <w:tab w:leader="none" w:pos="180" w:val="left"/>
        </w:tabs>
        <w:numPr>
          <w:ilvl w:val="0"/>
          <w:numId w:val="51"/>
        </w:numPr>
        <w:rPr>
          <w:rFonts w:ascii="Arial" w:cs="Arial" w:eastAsia="Arial" w:hAnsi="Arial"/>
          <w:sz w:val="9"/>
          <w:szCs w:val="9"/>
          <w:color w:val="231F20"/>
        </w:rPr>
      </w:pPr>
      <w:r>
        <w:rPr>
          <w:rFonts w:ascii="Arial" w:cs="Arial" w:eastAsia="Arial" w:hAnsi="Arial"/>
          <w:sz w:val="9"/>
          <w:szCs w:val="9"/>
          <w:color w:val="231F20"/>
        </w:rPr>
        <w:t>For the 2016 plan, the fair value is based on an external performance criteria applied to each category of beneficiary. The Group’s Principal Executives and the remaining population benefit from a different weighting of the external performance criteria.</w:t>
      </w:r>
    </w:p>
    <w:p>
      <w:pPr>
        <w:spacing w:after="0" w:line="250"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Average share price amounted to €51.55 in 2016, €52.67 in 2015 and €68.18 in 2014.</w:t>
      </w:r>
    </w:p>
    <w:p>
      <w:pPr>
        <w:sectPr>
          <w:pgSz w:w="11900" w:h="16838" w:orient="portrait"/>
          <w:cols w:equalWidth="0" w:num="1">
            <w:col w:w="11440"/>
          </w:cols>
          <w:pgMar w:left="240" w:top="668" w:right="219" w:bottom="1440" w:gutter="0" w:footer="0" w:header="0"/>
        </w:sectPr>
      </w:pPr>
    </w:p>
    <w:bookmarkStart w:id="131" w:name="page132"/>
    <w:bookmarkEnd w:id="131"/>
    <w:p>
      <w:pPr>
        <w:spacing w:after="0"/>
        <w:rPr>
          <w:sz w:val="20"/>
          <w:szCs w:val="20"/>
          <w:color w:val="auto"/>
        </w:rPr>
      </w:pPr>
      <w:r>
        <w:rPr>
          <w:rFonts w:ascii="Arial" w:cs="Arial" w:eastAsia="Arial" w:hAnsi="Arial"/>
          <w:sz w:val="25"/>
          <w:szCs w:val="25"/>
          <w:b w:val="1"/>
          <w:bCs w:val="1"/>
          <w:color w:val="231F20"/>
        </w:rPr>
        <w:t>(I) Performance Share Plans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231F20"/>
        </w:rPr>
        <w:t xml:space="preserve">Since 2007, the Board of Directors has granted certain employees, senior executives and Directors or Officers </w:t>
      </w:r>
      <w:r>
        <w:rPr>
          <w:rFonts w:ascii="Arial" w:cs="Arial" w:eastAsia="Arial" w:hAnsi="Arial"/>
          <w:sz w:val="16"/>
          <w:szCs w:val="16"/>
          <w:i w:val="1"/>
          <w:iCs w:val="1"/>
          <w:color w:val="231F20"/>
        </w:rPr>
        <w:t>(mandataires sociaux)</w:t>
      </w:r>
      <w:r>
        <w:rPr>
          <w:rFonts w:ascii="Arial" w:cs="Arial" w:eastAsia="Arial" w:hAnsi="Arial"/>
          <w:sz w:val="16"/>
          <w:szCs w:val="16"/>
          <w:color w:val="231F20"/>
        </w:rPr>
        <w:t xml:space="preserve"> of the Group and its affiliates, free shares subject to Technip achieving satisfactory performances, namely “performance shares”. Following are the main features and changes in the plans that were in place for 2016, 2015 and 2014:</w:t>
      </w:r>
    </w:p>
    <w:p>
      <w:pPr>
        <w:sectPr>
          <w:pgSz w:w="11900" w:h="16838" w:orient="portrait"/>
          <w:cols w:equalWidth="0" w:num="1">
            <w:col w:w="11340"/>
          </w:cols>
          <w:pgMar w:left="320" w:top="676" w:right="239" w:bottom="1440" w:gutter="0" w:footer="0" w:header="0"/>
        </w:sectPr>
      </w:pPr>
    </w:p>
    <w:bookmarkStart w:id="132" w:name="page133"/>
    <w:bookmarkEnd w:id="132"/>
    <w:tbl>
      <w:tblPr>
        <w:tblLayout w:type="fixed"/>
        <w:tblInd w:w="10" w:type="dxa"/>
        <w:tblCellMar>
          <w:top w:w="0" w:type="dxa"/>
          <w:left w:w="0" w:type="dxa"/>
          <w:bottom w:w="0" w:type="dxa"/>
          <w:right w:w="0" w:type="dxa"/>
        </w:tblCellMar>
      </w:tblPr>
      <w:tr>
        <w:trPr>
          <w:trHeight w:val="147"/>
        </w:trPr>
        <w:tc>
          <w:tcPr>
            <w:tcW w:w="880" w:type="dxa"/>
            <w:vAlign w:val="bottom"/>
            <w:tcBorders>
              <w:top w:val="single" w:sz="8" w:color="2360A6"/>
              <w:left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jc w:val="center"/>
              <w:spacing w:after="0"/>
              <w:rPr>
                <w:sz w:val="20"/>
                <w:szCs w:val="20"/>
                <w:color w:val="auto"/>
              </w:rPr>
            </w:pPr>
            <w:r>
              <w:rPr>
                <w:rFonts w:ascii="Arial" w:cs="Arial" w:eastAsia="Arial" w:hAnsi="Arial"/>
                <w:sz w:val="11"/>
                <w:szCs w:val="11"/>
                <w:b w:val="1"/>
                <w:bCs w:val="1"/>
                <w:color w:val="2360A6"/>
                <w:w w:val="94"/>
              </w:rPr>
              <w:t>Plan</w:t>
            </w:r>
          </w:p>
        </w:tc>
        <w:tc>
          <w:tcPr>
            <w:tcW w:w="540" w:type="dxa"/>
            <w:vAlign w:val="bottom"/>
            <w:tcBorders>
              <w:top w:val="single" w:sz="8" w:color="2360A6"/>
            </w:tcBorders>
          </w:tcPr>
          <w:p>
            <w:pPr>
              <w:spacing w:after="0"/>
              <w:rPr>
                <w:sz w:val="12"/>
                <w:szCs w:val="12"/>
                <w:color w:val="auto"/>
              </w:rPr>
            </w:pPr>
          </w:p>
        </w:tc>
        <w:tc>
          <w:tcPr>
            <w:tcW w:w="500" w:type="dxa"/>
            <w:vAlign w:val="bottom"/>
            <w:tcBorders>
              <w:top w:val="single" w:sz="8" w:color="2360A6"/>
              <w:right w:val="single" w:sz="8" w:color="2360A6"/>
            </w:tcBorders>
          </w:tcPr>
          <w:p>
            <w:pPr>
              <w:spacing w:after="0"/>
              <w:rPr>
                <w:sz w:val="12"/>
                <w:szCs w:val="12"/>
                <w:color w:val="auto"/>
              </w:rPr>
            </w:pPr>
          </w:p>
        </w:tc>
        <w:tc>
          <w:tcPr>
            <w:tcW w:w="520" w:type="dxa"/>
            <w:vAlign w:val="bottom"/>
            <w:tcBorders>
              <w:top w:val="single" w:sz="8" w:color="2360A6"/>
            </w:tcBorders>
          </w:tcPr>
          <w:p>
            <w:pPr>
              <w:spacing w:after="0"/>
              <w:rPr>
                <w:sz w:val="12"/>
                <w:szCs w:val="12"/>
                <w:color w:val="auto"/>
              </w:rPr>
            </w:pPr>
          </w:p>
        </w:tc>
        <w:tc>
          <w:tcPr>
            <w:tcW w:w="500" w:type="dxa"/>
            <w:vAlign w:val="bottom"/>
            <w:tcBorders>
              <w:top w:val="single" w:sz="8" w:color="2360A6"/>
            </w:tcBorders>
          </w:tcPr>
          <w:p>
            <w:pPr>
              <w:spacing w:after="0"/>
              <w:rPr>
                <w:sz w:val="12"/>
                <w:szCs w:val="12"/>
                <w:color w:val="auto"/>
              </w:rPr>
            </w:pPr>
          </w:p>
        </w:tc>
        <w:tc>
          <w:tcPr>
            <w:tcW w:w="48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tcBorders>
          </w:tcPr>
          <w:p>
            <w:pPr>
              <w:spacing w:after="0"/>
              <w:rPr>
                <w:sz w:val="12"/>
                <w:szCs w:val="12"/>
                <w:color w:val="auto"/>
              </w:rPr>
            </w:pPr>
          </w:p>
        </w:tc>
        <w:tc>
          <w:tcPr>
            <w:tcW w:w="500" w:type="dxa"/>
            <w:vAlign w:val="bottom"/>
            <w:tcBorders>
              <w:top w:val="single" w:sz="8" w:color="2360A6"/>
            </w:tcBorders>
          </w:tcPr>
          <w:p>
            <w:pPr>
              <w:spacing w:after="0"/>
              <w:rPr>
                <w:sz w:val="12"/>
                <w:szCs w:val="12"/>
                <w:color w:val="auto"/>
              </w:rPr>
            </w:pPr>
          </w:p>
        </w:tc>
        <w:tc>
          <w:tcPr>
            <w:tcW w:w="48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tcBorders>
          </w:tcPr>
          <w:p>
            <w:pPr>
              <w:spacing w:after="0"/>
              <w:rPr>
                <w:sz w:val="12"/>
                <w:szCs w:val="12"/>
                <w:color w:val="auto"/>
              </w:rPr>
            </w:pPr>
          </w:p>
        </w:tc>
        <w:tc>
          <w:tcPr>
            <w:tcW w:w="520" w:type="dxa"/>
            <w:vAlign w:val="bottom"/>
            <w:tcBorders>
              <w:top w:val="single" w:sz="8" w:color="2360A6"/>
              <w:right w:val="single" w:sz="8" w:color="2360A6"/>
            </w:tcBorders>
          </w:tcPr>
          <w:p>
            <w:pPr>
              <w:spacing w:after="0"/>
              <w:rPr>
                <w:sz w:val="12"/>
                <w:szCs w:val="12"/>
                <w:color w:val="auto"/>
              </w:rPr>
            </w:pPr>
          </w:p>
        </w:tc>
        <w:tc>
          <w:tcPr>
            <w:tcW w:w="380" w:type="dxa"/>
            <w:vAlign w:val="bottom"/>
            <w:tcBorders>
              <w:top w:val="single" w:sz="8" w:color="2360A6"/>
              <w:right w:val="single" w:sz="8" w:color="2360A6"/>
            </w:tcBorders>
          </w:tcPr>
          <w:p>
            <w:pPr>
              <w:jc w:val="center"/>
              <w:spacing w:after="0"/>
              <w:rPr>
                <w:sz w:val="20"/>
                <w:szCs w:val="20"/>
                <w:color w:val="auto"/>
              </w:rPr>
            </w:pPr>
            <w:r>
              <w:rPr>
                <w:rFonts w:ascii="Arial" w:cs="Arial" w:eastAsia="Arial" w:hAnsi="Arial"/>
                <w:sz w:val="11"/>
                <w:szCs w:val="11"/>
                <w:b w:val="1"/>
                <w:bCs w:val="1"/>
                <w:color w:val="2360A6"/>
                <w:w w:val="94"/>
              </w:rPr>
              <w:t>Plan</w:t>
            </w:r>
          </w:p>
        </w:tc>
        <w:tc>
          <w:tcPr>
            <w:tcW w:w="500" w:type="dxa"/>
            <w:vAlign w:val="bottom"/>
            <w:tcBorders>
              <w:top w:val="single" w:sz="8" w:color="2360A6"/>
              <w:right w:val="single" w:sz="8" w:color="2360A6"/>
            </w:tcBorders>
          </w:tcPr>
          <w:p>
            <w:pPr>
              <w:jc w:val="center"/>
              <w:spacing w:after="0"/>
              <w:rPr>
                <w:sz w:val="20"/>
                <w:szCs w:val="20"/>
                <w:color w:val="auto"/>
              </w:rPr>
            </w:pPr>
            <w:r>
              <w:rPr>
                <w:rFonts w:ascii="Arial" w:cs="Arial" w:eastAsia="Arial" w:hAnsi="Arial"/>
                <w:sz w:val="11"/>
                <w:szCs w:val="11"/>
                <w:b w:val="1"/>
                <w:bCs w:val="1"/>
                <w:color w:val="2360A6"/>
                <w:w w:val="94"/>
              </w:rPr>
              <w:t>Plan</w:t>
            </w:r>
          </w:p>
        </w:tc>
        <w:tc>
          <w:tcPr>
            <w:tcW w:w="420" w:type="dxa"/>
            <w:vAlign w:val="bottom"/>
            <w:tcBorders>
              <w:top w:val="single" w:sz="8" w:color="2360A6"/>
              <w:right w:val="single" w:sz="8" w:color="2360A6"/>
            </w:tcBorders>
            <w:shd w:val="clear" w:color="auto" w:fill="2360A6"/>
          </w:tcPr>
          <w:p>
            <w:pPr>
              <w:spacing w:after="0"/>
              <w:rPr>
                <w:sz w:val="12"/>
                <w:szCs w:val="12"/>
                <w:color w:val="auto"/>
              </w:rPr>
            </w:pPr>
          </w:p>
        </w:tc>
        <w:tc>
          <w:tcPr>
            <w:tcW w:w="380" w:type="dxa"/>
            <w:vAlign w:val="bottom"/>
            <w:tcBorders>
              <w:top w:val="single" w:sz="8" w:color="2360A6"/>
              <w:right w:val="single" w:sz="8" w:color="2360A6"/>
            </w:tcBorders>
            <w:shd w:val="clear" w:color="auto" w:fill="2360A6"/>
          </w:tcPr>
          <w:p>
            <w:pPr>
              <w:spacing w:after="0"/>
              <w:rPr>
                <w:sz w:val="12"/>
                <w:szCs w:val="12"/>
                <w:color w:val="auto"/>
              </w:rPr>
            </w:pPr>
          </w:p>
        </w:tc>
        <w:tc>
          <w:tcPr>
            <w:tcW w:w="640" w:type="dxa"/>
            <w:vAlign w:val="bottom"/>
            <w:tcBorders>
              <w:top w:val="single" w:sz="8" w:color="2360A6"/>
              <w:right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Borders>
              <w:left w:val="single" w:sz="8" w:color="2360A6"/>
              <w:right w:val="single" w:sz="8" w:color="2360A6"/>
            </w:tcBorders>
          </w:tcPr>
          <w:p>
            <w:pPr>
              <w:spacing w:after="0"/>
              <w:rPr>
                <w:sz w:val="12"/>
                <w:szCs w:val="12"/>
                <w:color w:val="auto"/>
              </w:rPr>
            </w:pPr>
          </w:p>
        </w:tc>
        <w:tc>
          <w:tcPr>
            <w:tcW w:w="540" w:type="dxa"/>
            <w:vAlign w:val="bottom"/>
            <w:tcBorders>
              <w:right w:val="single" w:sz="8" w:color="2360A6"/>
            </w:tcBorders>
          </w:tcPr>
          <w:p>
            <w:pPr>
              <w:jc w:val="center"/>
              <w:spacing w:after="0"/>
              <w:rPr>
                <w:sz w:val="20"/>
                <w:szCs w:val="20"/>
                <w:color w:val="auto"/>
              </w:rPr>
            </w:pPr>
            <w:r>
              <w:rPr>
                <w:rFonts w:ascii="Arial" w:cs="Arial" w:eastAsia="Arial" w:hAnsi="Arial"/>
                <w:sz w:val="11"/>
                <w:szCs w:val="11"/>
                <w:b w:val="1"/>
                <w:bCs w:val="1"/>
                <w:color w:val="2360A6"/>
                <w:w w:val="97"/>
              </w:rPr>
              <w:t>2008</w:t>
            </w:r>
          </w:p>
        </w:tc>
        <w:tc>
          <w:tcPr>
            <w:tcW w:w="1040" w:type="dxa"/>
            <w:vAlign w:val="bottom"/>
            <w:tcBorders>
              <w:right w:val="single" w:sz="8" w:color="2360A6"/>
            </w:tcBorders>
            <w:gridSpan w:val="2"/>
          </w:tcPr>
          <w:p>
            <w:pPr>
              <w:jc w:val="right"/>
              <w:ind w:right="206"/>
              <w:spacing w:after="0"/>
              <w:rPr>
                <w:sz w:val="20"/>
                <w:szCs w:val="20"/>
                <w:color w:val="auto"/>
              </w:rPr>
            </w:pPr>
            <w:r>
              <w:rPr>
                <w:rFonts w:ascii="Arial" w:cs="Arial" w:eastAsia="Arial" w:hAnsi="Arial"/>
                <w:sz w:val="11"/>
                <w:szCs w:val="11"/>
                <w:b w:val="1"/>
                <w:bCs w:val="1"/>
                <w:color w:val="2360A6"/>
              </w:rPr>
              <w:t>Plan 2009</w:t>
            </w:r>
          </w:p>
        </w:tc>
        <w:tc>
          <w:tcPr>
            <w:tcW w:w="5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2360A6"/>
                <w:w w:val="90"/>
              </w:rPr>
              <w:t>Plan 2010</w:t>
            </w:r>
          </w:p>
        </w:tc>
        <w:tc>
          <w:tcPr>
            <w:tcW w:w="480" w:type="dxa"/>
            <w:vAlign w:val="bottom"/>
            <w:tcBorders>
              <w:right w:val="single" w:sz="8" w:color="2360A6"/>
            </w:tcBorders>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2360A6"/>
                <w:w w:val="90"/>
              </w:rPr>
              <w:t>Plan 2011</w:t>
            </w:r>
          </w:p>
        </w:tc>
        <w:tc>
          <w:tcPr>
            <w:tcW w:w="480" w:type="dxa"/>
            <w:vAlign w:val="bottom"/>
            <w:tcBorders>
              <w:right w:val="single" w:sz="8" w:color="2360A6"/>
            </w:tcBorders>
          </w:tcPr>
          <w:p>
            <w:pPr>
              <w:spacing w:after="0"/>
              <w:rPr>
                <w:sz w:val="12"/>
                <w:szCs w:val="12"/>
                <w:color w:val="auto"/>
              </w:rPr>
            </w:pPr>
          </w:p>
        </w:tc>
        <w:tc>
          <w:tcPr>
            <w:tcW w:w="1080" w:type="dxa"/>
            <w:vAlign w:val="bottom"/>
            <w:tcBorders>
              <w:right w:val="single" w:sz="8" w:color="2360A6"/>
            </w:tcBorders>
            <w:gridSpan w:val="2"/>
          </w:tcPr>
          <w:p>
            <w:pPr>
              <w:jc w:val="right"/>
              <w:ind w:right="226"/>
              <w:spacing w:after="0"/>
              <w:rPr>
                <w:sz w:val="20"/>
                <w:szCs w:val="20"/>
                <w:color w:val="auto"/>
              </w:rPr>
            </w:pPr>
            <w:r>
              <w:rPr>
                <w:rFonts w:ascii="Arial" w:cs="Arial" w:eastAsia="Arial" w:hAnsi="Arial"/>
                <w:sz w:val="11"/>
                <w:szCs w:val="11"/>
                <w:b w:val="1"/>
                <w:bCs w:val="1"/>
                <w:color w:val="2360A6"/>
              </w:rPr>
              <w:t>Plan 2012</w:t>
            </w:r>
          </w:p>
        </w:tc>
        <w:tc>
          <w:tcPr>
            <w:tcW w:w="1060" w:type="dxa"/>
            <w:vAlign w:val="bottom"/>
            <w:tcBorders>
              <w:right w:val="single" w:sz="8" w:color="2360A6"/>
            </w:tcBorders>
            <w:gridSpan w:val="2"/>
          </w:tcPr>
          <w:p>
            <w:pPr>
              <w:jc w:val="right"/>
              <w:ind w:right="226"/>
              <w:spacing w:after="0"/>
              <w:rPr>
                <w:sz w:val="20"/>
                <w:szCs w:val="20"/>
                <w:color w:val="auto"/>
              </w:rPr>
            </w:pPr>
            <w:r>
              <w:rPr>
                <w:rFonts w:ascii="Arial" w:cs="Arial" w:eastAsia="Arial" w:hAnsi="Arial"/>
                <w:sz w:val="11"/>
                <w:szCs w:val="11"/>
                <w:b w:val="1"/>
                <w:bCs w:val="1"/>
                <w:color w:val="2360A6"/>
              </w:rPr>
              <w:t>Plan 2013</w:t>
            </w:r>
          </w:p>
        </w:tc>
        <w:tc>
          <w:tcPr>
            <w:tcW w:w="380" w:type="dxa"/>
            <w:vAlign w:val="bottom"/>
            <w:tcBorders>
              <w:right w:val="single" w:sz="8" w:color="2360A6"/>
            </w:tcBorders>
          </w:tcPr>
          <w:p>
            <w:pPr>
              <w:jc w:val="center"/>
              <w:spacing w:after="0"/>
              <w:rPr>
                <w:sz w:val="20"/>
                <w:szCs w:val="20"/>
                <w:color w:val="auto"/>
              </w:rPr>
            </w:pPr>
            <w:r>
              <w:rPr>
                <w:rFonts w:ascii="Arial" w:cs="Arial" w:eastAsia="Arial" w:hAnsi="Arial"/>
                <w:sz w:val="11"/>
                <w:szCs w:val="11"/>
                <w:b w:val="1"/>
                <w:bCs w:val="1"/>
                <w:color w:val="2360A6"/>
              </w:rPr>
              <w:t>2014</w:t>
            </w:r>
          </w:p>
        </w:tc>
        <w:tc>
          <w:tcPr>
            <w:tcW w:w="500" w:type="dxa"/>
            <w:vAlign w:val="bottom"/>
            <w:tcBorders>
              <w:right w:val="single" w:sz="8" w:color="2360A6"/>
            </w:tcBorders>
          </w:tcPr>
          <w:p>
            <w:pPr>
              <w:jc w:val="center"/>
              <w:ind w:right="6"/>
              <w:spacing w:after="0"/>
              <w:rPr>
                <w:sz w:val="20"/>
                <w:szCs w:val="20"/>
                <w:color w:val="auto"/>
              </w:rPr>
            </w:pPr>
            <w:r>
              <w:rPr>
                <w:rFonts w:ascii="Arial" w:cs="Arial" w:eastAsia="Arial" w:hAnsi="Arial"/>
                <w:sz w:val="11"/>
                <w:szCs w:val="11"/>
                <w:b w:val="1"/>
                <w:bCs w:val="1"/>
                <w:color w:val="2360A6"/>
                <w:w w:val="97"/>
              </w:rPr>
              <w:t>2015</w:t>
            </w:r>
          </w:p>
        </w:tc>
        <w:tc>
          <w:tcPr>
            <w:tcW w:w="800" w:type="dxa"/>
            <w:vAlign w:val="bottom"/>
            <w:tcBorders>
              <w:right w:val="single" w:sz="8" w:color="2360A6"/>
            </w:tcBorders>
            <w:gridSpan w:val="2"/>
            <w:shd w:val="clear" w:color="auto" w:fill="2360A6"/>
          </w:tcPr>
          <w:p>
            <w:pPr>
              <w:jc w:val="right"/>
              <w:ind w:right="106"/>
              <w:spacing w:after="0"/>
              <w:rPr>
                <w:sz w:val="20"/>
                <w:szCs w:val="20"/>
                <w:color w:val="auto"/>
              </w:rPr>
            </w:pPr>
            <w:r>
              <w:rPr>
                <w:rFonts w:ascii="Arial" w:cs="Arial" w:eastAsia="Arial" w:hAnsi="Arial"/>
                <w:sz w:val="11"/>
                <w:szCs w:val="11"/>
                <w:b w:val="1"/>
                <w:bCs w:val="1"/>
                <w:color w:val="FFFFFF"/>
              </w:rPr>
              <w:t>Plan 2016</w:t>
            </w:r>
          </w:p>
        </w:tc>
        <w:tc>
          <w:tcPr>
            <w:tcW w:w="640" w:type="dxa"/>
            <w:vAlign w:val="bottom"/>
            <w:tcBorders>
              <w:right w:val="single" w:sz="8" w:color="2360A6"/>
            </w:tcBorders>
          </w:tcPr>
          <w:p>
            <w:pPr>
              <w:jc w:val="right"/>
              <w:ind w:right="146"/>
              <w:spacing w:after="0"/>
              <w:rPr>
                <w:sz w:val="20"/>
                <w:szCs w:val="20"/>
                <w:color w:val="auto"/>
              </w:rPr>
            </w:pPr>
            <w:r>
              <w:rPr>
                <w:rFonts w:ascii="Arial" w:cs="Arial" w:eastAsia="Arial" w:hAnsi="Arial"/>
                <w:sz w:val="11"/>
                <w:szCs w:val="11"/>
                <w:b w:val="1"/>
                <w:bCs w:val="1"/>
                <w:color w:val="2360A6"/>
              </w:rPr>
              <w:t>Total</w:t>
            </w:r>
          </w:p>
        </w:tc>
        <w:tc>
          <w:tcPr>
            <w:tcW w:w="0" w:type="dxa"/>
            <w:vAlign w:val="bottom"/>
          </w:tcPr>
          <w:p>
            <w:pPr>
              <w:spacing w:after="0"/>
              <w:rPr>
                <w:sz w:val="1"/>
                <w:szCs w:val="1"/>
                <w:color w:val="auto"/>
              </w:rPr>
            </w:pPr>
          </w:p>
        </w:tc>
      </w:tr>
      <w:tr>
        <w:trPr>
          <w:trHeight w:val="22"/>
        </w:trPr>
        <w:tc>
          <w:tcPr>
            <w:tcW w:w="880" w:type="dxa"/>
            <w:vAlign w:val="bottom"/>
            <w:tcBorders>
              <w:left w:val="single" w:sz="8" w:color="2360A6"/>
              <w:right w:val="single" w:sz="8" w:color="2360A6"/>
            </w:tcBorders>
            <w:vMerge w:val="restart"/>
          </w:tcPr>
          <w:p>
            <w:pPr>
              <w:ind w:left="40"/>
              <w:spacing w:after="0"/>
              <w:rPr>
                <w:sz w:val="20"/>
                <w:szCs w:val="20"/>
                <w:color w:val="auto"/>
              </w:rPr>
            </w:pPr>
            <w:r>
              <w:rPr>
                <w:rFonts w:ascii="Arial" w:cs="Arial" w:eastAsia="Arial" w:hAnsi="Arial"/>
                <w:sz w:val="11"/>
                <w:szCs w:val="11"/>
                <w:b w:val="1"/>
                <w:bCs w:val="1"/>
                <w:color w:val="2360A6"/>
              </w:rPr>
              <w:t>Number of</w:t>
            </w:r>
          </w:p>
        </w:tc>
        <w:tc>
          <w:tcPr>
            <w:tcW w:w="540" w:type="dxa"/>
            <w:vAlign w:val="bottom"/>
            <w:tcBorders>
              <w:bottom w:val="single" w:sz="8" w:color="2360A6"/>
              <w:right w:val="single" w:sz="8" w:color="2360A6"/>
            </w:tcBorders>
          </w:tcPr>
          <w:p>
            <w:pPr>
              <w:spacing w:after="0" w:line="20" w:lineRule="exact"/>
              <w:rPr>
                <w:sz w:val="1"/>
                <w:szCs w:val="1"/>
                <w:color w:val="auto"/>
              </w:rPr>
            </w:pPr>
          </w:p>
        </w:tc>
        <w:tc>
          <w:tcPr>
            <w:tcW w:w="540" w:type="dxa"/>
            <w:vAlign w:val="bottom"/>
            <w:tcBorders>
              <w:bottom w:val="single" w:sz="8" w:color="2360A6"/>
            </w:tcBorders>
          </w:tcPr>
          <w:p>
            <w:pPr>
              <w:spacing w:after="0" w:line="20" w:lineRule="exact"/>
              <w:rPr>
                <w:sz w:val="1"/>
                <w:szCs w:val="1"/>
                <w:color w:val="auto"/>
              </w:rPr>
            </w:pPr>
          </w:p>
        </w:tc>
        <w:tc>
          <w:tcPr>
            <w:tcW w:w="500" w:type="dxa"/>
            <w:vAlign w:val="bottom"/>
            <w:tcBorders>
              <w:bottom w:val="single" w:sz="8" w:color="2360A6"/>
              <w:right w:val="single" w:sz="8" w:color="2360A6"/>
            </w:tcBorders>
          </w:tcPr>
          <w:p>
            <w:pPr>
              <w:spacing w:after="0" w:line="20" w:lineRule="exact"/>
              <w:rPr>
                <w:sz w:val="1"/>
                <w:szCs w:val="1"/>
                <w:color w:val="auto"/>
              </w:rPr>
            </w:pPr>
          </w:p>
        </w:tc>
        <w:tc>
          <w:tcPr>
            <w:tcW w:w="520" w:type="dxa"/>
            <w:vAlign w:val="bottom"/>
            <w:tcBorders>
              <w:bottom w:val="single" w:sz="8" w:color="2360A6"/>
            </w:tcBorders>
          </w:tcPr>
          <w:p>
            <w:pPr>
              <w:spacing w:after="0" w:line="20" w:lineRule="exact"/>
              <w:rPr>
                <w:sz w:val="1"/>
                <w:szCs w:val="1"/>
                <w:color w:val="auto"/>
              </w:rPr>
            </w:pPr>
          </w:p>
        </w:tc>
        <w:tc>
          <w:tcPr>
            <w:tcW w:w="500" w:type="dxa"/>
            <w:vAlign w:val="bottom"/>
            <w:tcBorders>
              <w:bottom w:val="single" w:sz="8" w:color="2360A6"/>
            </w:tcBorders>
          </w:tcPr>
          <w:p>
            <w:pPr>
              <w:spacing w:after="0" w:line="20" w:lineRule="exact"/>
              <w:rPr>
                <w:sz w:val="1"/>
                <w:szCs w:val="1"/>
                <w:color w:val="auto"/>
              </w:rPr>
            </w:pPr>
          </w:p>
        </w:tc>
        <w:tc>
          <w:tcPr>
            <w:tcW w:w="480" w:type="dxa"/>
            <w:vAlign w:val="bottom"/>
            <w:tcBorders>
              <w:bottom w:val="single" w:sz="8" w:color="2360A6"/>
              <w:right w:val="single" w:sz="8" w:color="2360A6"/>
            </w:tcBorders>
          </w:tcPr>
          <w:p>
            <w:pPr>
              <w:spacing w:after="0" w:line="20" w:lineRule="exact"/>
              <w:rPr>
                <w:sz w:val="1"/>
                <w:szCs w:val="1"/>
                <w:color w:val="auto"/>
              </w:rPr>
            </w:pPr>
          </w:p>
        </w:tc>
        <w:tc>
          <w:tcPr>
            <w:tcW w:w="540" w:type="dxa"/>
            <w:vAlign w:val="bottom"/>
            <w:tcBorders>
              <w:bottom w:val="single" w:sz="8" w:color="2360A6"/>
            </w:tcBorders>
          </w:tcPr>
          <w:p>
            <w:pPr>
              <w:spacing w:after="0" w:line="20" w:lineRule="exact"/>
              <w:rPr>
                <w:sz w:val="1"/>
                <w:szCs w:val="1"/>
                <w:color w:val="auto"/>
              </w:rPr>
            </w:pPr>
          </w:p>
        </w:tc>
        <w:tc>
          <w:tcPr>
            <w:tcW w:w="500" w:type="dxa"/>
            <w:vAlign w:val="bottom"/>
            <w:tcBorders>
              <w:bottom w:val="single" w:sz="8" w:color="2360A6"/>
            </w:tcBorders>
          </w:tcPr>
          <w:p>
            <w:pPr>
              <w:spacing w:after="0" w:line="20" w:lineRule="exact"/>
              <w:rPr>
                <w:sz w:val="1"/>
                <w:szCs w:val="1"/>
                <w:color w:val="auto"/>
              </w:rPr>
            </w:pPr>
          </w:p>
        </w:tc>
        <w:tc>
          <w:tcPr>
            <w:tcW w:w="480" w:type="dxa"/>
            <w:vAlign w:val="bottom"/>
            <w:tcBorders>
              <w:bottom w:val="single" w:sz="8" w:color="2360A6"/>
              <w:right w:val="single" w:sz="8" w:color="2360A6"/>
            </w:tcBorders>
          </w:tcPr>
          <w:p>
            <w:pPr>
              <w:spacing w:after="0" w:line="20" w:lineRule="exact"/>
              <w:rPr>
                <w:sz w:val="1"/>
                <w:szCs w:val="1"/>
                <w:color w:val="auto"/>
              </w:rPr>
            </w:pPr>
          </w:p>
        </w:tc>
        <w:tc>
          <w:tcPr>
            <w:tcW w:w="540" w:type="dxa"/>
            <w:vAlign w:val="bottom"/>
            <w:tcBorders>
              <w:bottom w:val="single" w:sz="8" w:color="2360A6"/>
            </w:tcBorders>
          </w:tcPr>
          <w:p>
            <w:pPr>
              <w:spacing w:after="0" w:line="20" w:lineRule="exact"/>
              <w:rPr>
                <w:sz w:val="1"/>
                <w:szCs w:val="1"/>
                <w:color w:val="auto"/>
              </w:rPr>
            </w:pPr>
          </w:p>
        </w:tc>
        <w:tc>
          <w:tcPr>
            <w:tcW w:w="540" w:type="dxa"/>
            <w:vAlign w:val="bottom"/>
            <w:tcBorders>
              <w:bottom w:val="single" w:sz="8" w:color="2360A6"/>
              <w:right w:val="single" w:sz="8" w:color="2360A6"/>
            </w:tcBorders>
          </w:tcPr>
          <w:p>
            <w:pPr>
              <w:spacing w:after="0" w:line="20" w:lineRule="exact"/>
              <w:rPr>
                <w:sz w:val="1"/>
                <w:szCs w:val="1"/>
                <w:color w:val="auto"/>
              </w:rPr>
            </w:pPr>
          </w:p>
        </w:tc>
        <w:tc>
          <w:tcPr>
            <w:tcW w:w="540" w:type="dxa"/>
            <w:vAlign w:val="bottom"/>
            <w:tcBorders>
              <w:bottom w:val="single" w:sz="8" w:color="2360A6"/>
            </w:tcBorders>
          </w:tcPr>
          <w:p>
            <w:pPr>
              <w:spacing w:after="0" w:line="20" w:lineRule="exact"/>
              <w:rPr>
                <w:sz w:val="1"/>
                <w:szCs w:val="1"/>
                <w:color w:val="auto"/>
              </w:rPr>
            </w:pPr>
          </w:p>
        </w:tc>
        <w:tc>
          <w:tcPr>
            <w:tcW w:w="520" w:type="dxa"/>
            <w:vAlign w:val="bottom"/>
            <w:tcBorders>
              <w:bottom w:val="single" w:sz="8" w:color="2360A6"/>
              <w:right w:val="single" w:sz="8" w:color="2360A6"/>
            </w:tcBorders>
          </w:tcPr>
          <w:p>
            <w:pPr>
              <w:spacing w:after="0" w:line="20" w:lineRule="exact"/>
              <w:rPr>
                <w:sz w:val="1"/>
                <w:szCs w:val="1"/>
                <w:color w:val="auto"/>
              </w:rPr>
            </w:pPr>
          </w:p>
        </w:tc>
        <w:tc>
          <w:tcPr>
            <w:tcW w:w="380" w:type="dxa"/>
            <w:vAlign w:val="bottom"/>
            <w:tcBorders>
              <w:bottom w:val="single" w:sz="8" w:color="2360A6"/>
              <w:right w:val="single" w:sz="8" w:color="2360A6"/>
            </w:tcBorders>
          </w:tcPr>
          <w:p>
            <w:pPr>
              <w:spacing w:after="0" w:line="20" w:lineRule="exact"/>
              <w:rPr>
                <w:sz w:val="1"/>
                <w:szCs w:val="1"/>
                <w:color w:val="auto"/>
              </w:rPr>
            </w:pPr>
          </w:p>
        </w:tc>
        <w:tc>
          <w:tcPr>
            <w:tcW w:w="500" w:type="dxa"/>
            <w:vAlign w:val="bottom"/>
            <w:tcBorders>
              <w:bottom w:val="single" w:sz="8" w:color="2360A6"/>
              <w:right w:val="single" w:sz="8" w:color="2360A6"/>
            </w:tcBorders>
          </w:tcPr>
          <w:p>
            <w:pPr>
              <w:spacing w:after="0" w:line="20" w:lineRule="exact"/>
              <w:rPr>
                <w:sz w:val="1"/>
                <w:szCs w:val="1"/>
                <w:color w:val="auto"/>
              </w:rPr>
            </w:pPr>
          </w:p>
        </w:tc>
        <w:tc>
          <w:tcPr>
            <w:tcW w:w="420" w:type="dxa"/>
            <w:vAlign w:val="bottom"/>
            <w:tcBorders>
              <w:bottom w:val="single" w:sz="8" w:color="2360A6"/>
              <w:right w:val="single" w:sz="8" w:color="2360A6"/>
            </w:tcBorders>
            <w:shd w:val="clear" w:color="auto" w:fill="2360A6"/>
          </w:tcPr>
          <w:p>
            <w:pPr>
              <w:spacing w:after="0" w:line="20" w:lineRule="exact"/>
              <w:rPr>
                <w:sz w:val="1"/>
                <w:szCs w:val="1"/>
                <w:color w:val="auto"/>
              </w:rPr>
            </w:pPr>
          </w:p>
        </w:tc>
        <w:tc>
          <w:tcPr>
            <w:tcW w:w="380" w:type="dxa"/>
            <w:vAlign w:val="bottom"/>
            <w:tcBorders>
              <w:bottom w:val="single" w:sz="8" w:color="2360A6"/>
              <w:right w:val="single" w:sz="8" w:color="2360A6"/>
            </w:tcBorders>
            <w:shd w:val="clear" w:color="auto" w:fill="2360A6"/>
          </w:tcPr>
          <w:p>
            <w:pPr>
              <w:spacing w:after="0" w:line="20" w:lineRule="exact"/>
              <w:rPr>
                <w:sz w:val="1"/>
                <w:szCs w:val="1"/>
                <w:color w:val="auto"/>
              </w:rPr>
            </w:pPr>
          </w:p>
        </w:tc>
        <w:tc>
          <w:tcPr>
            <w:tcW w:w="640" w:type="dxa"/>
            <w:vAlign w:val="bottom"/>
            <w:tcBorders>
              <w:bottom w:val="single" w:sz="8" w:color="2360A6"/>
              <w:right w:val="single" w:sz="8" w:color="2360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880" w:type="dxa"/>
            <w:vAlign w:val="bottom"/>
            <w:tcBorders>
              <w:left w:val="single" w:sz="8" w:color="2360A6"/>
              <w:right w:val="single" w:sz="8" w:color="2360A6"/>
            </w:tcBorders>
            <w:vMerge w:val="continue"/>
          </w:tcPr>
          <w:p>
            <w:pPr>
              <w:spacing w:after="0"/>
              <w:rPr>
                <w:sz w:val="8"/>
                <w:szCs w:val="8"/>
                <w:color w:val="auto"/>
              </w:rPr>
            </w:pPr>
          </w:p>
        </w:tc>
        <w:tc>
          <w:tcPr>
            <w:tcW w:w="540" w:type="dxa"/>
            <w:vAlign w:val="bottom"/>
            <w:tcBorders>
              <w:right w:val="single" w:sz="8" w:color="2360A6"/>
            </w:tcBorders>
          </w:tcPr>
          <w:p>
            <w:pPr>
              <w:spacing w:after="0"/>
              <w:rPr>
                <w:sz w:val="8"/>
                <w:szCs w:val="8"/>
                <w:color w:val="auto"/>
              </w:rPr>
            </w:pPr>
          </w:p>
        </w:tc>
        <w:tc>
          <w:tcPr>
            <w:tcW w:w="540" w:type="dxa"/>
            <w:vAlign w:val="bottom"/>
            <w:tcBorders>
              <w:right w:val="single" w:sz="8" w:color="2360A6"/>
            </w:tcBorders>
          </w:tcPr>
          <w:p>
            <w:pPr>
              <w:spacing w:after="0"/>
              <w:rPr>
                <w:sz w:val="8"/>
                <w:szCs w:val="8"/>
                <w:color w:val="auto"/>
              </w:rPr>
            </w:pPr>
          </w:p>
        </w:tc>
        <w:tc>
          <w:tcPr>
            <w:tcW w:w="500" w:type="dxa"/>
            <w:vAlign w:val="bottom"/>
            <w:tcBorders>
              <w:right w:val="single" w:sz="8" w:color="2360A6"/>
            </w:tcBorders>
          </w:tcPr>
          <w:p>
            <w:pPr>
              <w:spacing w:after="0"/>
              <w:rPr>
                <w:sz w:val="8"/>
                <w:szCs w:val="8"/>
                <w:color w:val="auto"/>
              </w:rPr>
            </w:pPr>
          </w:p>
        </w:tc>
        <w:tc>
          <w:tcPr>
            <w:tcW w:w="520" w:type="dxa"/>
            <w:vAlign w:val="bottom"/>
            <w:tcBorders>
              <w:right w:val="single" w:sz="8" w:color="2360A6"/>
            </w:tcBorders>
          </w:tcPr>
          <w:p>
            <w:pPr>
              <w:spacing w:after="0"/>
              <w:rPr>
                <w:sz w:val="8"/>
                <w:szCs w:val="8"/>
                <w:color w:val="auto"/>
              </w:rPr>
            </w:pPr>
          </w:p>
        </w:tc>
        <w:tc>
          <w:tcPr>
            <w:tcW w:w="500" w:type="dxa"/>
            <w:vAlign w:val="bottom"/>
            <w:tcBorders>
              <w:right w:val="single" w:sz="8" w:color="2360A6"/>
            </w:tcBorders>
          </w:tcPr>
          <w:p>
            <w:pPr>
              <w:spacing w:after="0"/>
              <w:rPr>
                <w:sz w:val="8"/>
                <w:szCs w:val="8"/>
                <w:color w:val="auto"/>
              </w:rPr>
            </w:pPr>
          </w:p>
        </w:tc>
        <w:tc>
          <w:tcPr>
            <w:tcW w:w="480" w:type="dxa"/>
            <w:vAlign w:val="bottom"/>
            <w:tcBorders>
              <w:right w:val="single" w:sz="8" w:color="2360A6"/>
            </w:tcBorders>
          </w:tcPr>
          <w:p>
            <w:pPr>
              <w:spacing w:after="0"/>
              <w:rPr>
                <w:sz w:val="8"/>
                <w:szCs w:val="8"/>
                <w:color w:val="auto"/>
              </w:rPr>
            </w:pPr>
          </w:p>
        </w:tc>
        <w:tc>
          <w:tcPr>
            <w:tcW w:w="540" w:type="dxa"/>
            <w:vAlign w:val="bottom"/>
            <w:tcBorders>
              <w:right w:val="single" w:sz="8" w:color="2360A6"/>
            </w:tcBorders>
          </w:tcPr>
          <w:p>
            <w:pPr>
              <w:spacing w:after="0"/>
              <w:rPr>
                <w:sz w:val="8"/>
                <w:szCs w:val="8"/>
                <w:color w:val="auto"/>
              </w:rPr>
            </w:pPr>
          </w:p>
        </w:tc>
        <w:tc>
          <w:tcPr>
            <w:tcW w:w="500" w:type="dxa"/>
            <w:vAlign w:val="bottom"/>
            <w:tcBorders>
              <w:right w:val="single" w:sz="8" w:color="2360A6"/>
            </w:tcBorders>
          </w:tcPr>
          <w:p>
            <w:pPr>
              <w:spacing w:after="0"/>
              <w:rPr>
                <w:sz w:val="8"/>
                <w:szCs w:val="8"/>
                <w:color w:val="auto"/>
              </w:rPr>
            </w:pPr>
          </w:p>
        </w:tc>
        <w:tc>
          <w:tcPr>
            <w:tcW w:w="480" w:type="dxa"/>
            <w:vAlign w:val="bottom"/>
            <w:tcBorders>
              <w:right w:val="single" w:sz="8" w:color="2360A6"/>
            </w:tcBorders>
          </w:tcPr>
          <w:p>
            <w:pPr>
              <w:spacing w:after="0"/>
              <w:rPr>
                <w:sz w:val="8"/>
                <w:szCs w:val="8"/>
                <w:color w:val="auto"/>
              </w:rPr>
            </w:pPr>
          </w:p>
        </w:tc>
        <w:tc>
          <w:tcPr>
            <w:tcW w:w="540" w:type="dxa"/>
            <w:vAlign w:val="bottom"/>
            <w:tcBorders>
              <w:right w:val="single" w:sz="8" w:color="2360A6"/>
            </w:tcBorders>
          </w:tcPr>
          <w:p>
            <w:pPr>
              <w:spacing w:after="0"/>
              <w:rPr>
                <w:sz w:val="8"/>
                <w:szCs w:val="8"/>
                <w:color w:val="auto"/>
              </w:rPr>
            </w:pPr>
          </w:p>
        </w:tc>
        <w:tc>
          <w:tcPr>
            <w:tcW w:w="540" w:type="dxa"/>
            <w:vAlign w:val="bottom"/>
            <w:tcBorders>
              <w:right w:val="single" w:sz="8" w:color="2360A6"/>
            </w:tcBorders>
          </w:tcPr>
          <w:p>
            <w:pPr>
              <w:spacing w:after="0"/>
              <w:rPr>
                <w:sz w:val="8"/>
                <w:szCs w:val="8"/>
                <w:color w:val="auto"/>
              </w:rPr>
            </w:pPr>
          </w:p>
        </w:tc>
        <w:tc>
          <w:tcPr>
            <w:tcW w:w="540" w:type="dxa"/>
            <w:vAlign w:val="bottom"/>
            <w:tcBorders>
              <w:right w:val="single" w:sz="8" w:color="2360A6"/>
            </w:tcBorders>
          </w:tcPr>
          <w:p>
            <w:pPr>
              <w:spacing w:after="0"/>
              <w:rPr>
                <w:sz w:val="8"/>
                <w:szCs w:val="8"/>
                <w:color w:val="auto"/>
              </w:rPr>
            </w:pPr>
          </w:p>
        </w:tc>
        <w:tc>
          <w:tcPr>
            <w:tcW w:w="520" w:type="dxa"/>
            <w:vAlign w:val="bottom"/>
            <w:tcBorders>
              <w:right w:val="single" w:sz="8" w:color="2360A6"/>
            </w:tcBorders>
          </w:tcPr>
          <w:p>
            <w:pPr>
              <w:spacing w:after="0"/>
              <w:rPr>
                <w:sz w:val="8"/>
                <w:szCs w:val="8"/>
                <w:color w:val="auto"/>
              </w:rPr>
            </w:pPr>
          </w:p>
        </w:tc>
        <w:tc>
          <w:tcPr>
            <w:tcW w:w="380" w:type="dxa"/>
            <w:vAlign w:val="bottom"/>
            <w:tcBorders>
              <w:right w:val="single" w:sz="8" w:color="2360A6"/>
            </w:tcBorders>
          </w:tcPr>
          <w:p>
            <w:pPr>
              <w:spacing w:after="0"/>
              <w:rPr>
                <w:sz w:val="8"/>
                <w:szCs w:val="8"/>
                <w:color w:val="auto"/>
              </w:rPr>
            </w:pPr>
          </w:p>
        </w:tc>
        <w:tc>
          <w:tcPr>
            <w:tcW w:w="500" w:type="dxa"/>
            <w:vAlign w:val="bottom"/>
            <w:tcBorders>
              <w:right w:val="single" w:sz="8" w:color="2360A6"/>
            </w:tcBorders>
          </w:tcPr>
          <w:p>
            <w:pPr>
              <w:spacing w:after="0"/>
              <w:rPr>
                <w:sz w:val="8"/>
                <w:szCs w:val="8"/>
                <w:color w:val="auto"/>
              </w:rPr>
            </w:pPr>
          </w:p>
        </w:tc>
        <w:tc>
          <w:tcPr>
            <w:tcW w:w="420" w:type="dxa"/>
            <w:vAlign w:val="bottom"/>
            <w:tcBorders>
              <w:right w:val="single" w:sz="8" w:color="2360A6"/>
            </w:tcBorders>
            <w:shd w:val="clear" w:color="auto" w:fill="F2F2F2"/>
          </w:tcPr>
          <w:p>
            <w:pPr>
              <w:spacing w:after="0"/>
              <w:rPr>
                <w:sz w:val="8"/>
                <w:szCs w:val="8"/>
                <w:color w:val="auto"/>
              </w:rPr>
            </w:pPr>
          </w:p>
        </w:tc>
        <w:tc>
          <w:tcPr>
            <w:tcW w:w="380" w:type="dxa"/>
            <w:vAlign w:val="bottom"/>
            <w:tcBorders>
              <w:right w:val="single" w:sz="8" w:color="2360A6"/>
            </w:tcBorders>
            <w:shd w:val="clear" w:color="auto" w:fill="F2F2F2"/>
          </w:tcPr>
          <w:p>
            <w:pPr>
              <w:spacing w:after="0"/>
              <w:rPr>
                <w:sz w:val="8"/>
                <w:szCs w:val="8"/>
                <w:color w:val="auto"/>
              </w:rPr>
            </w:pPr>
          </w:p>
        </w:tc>
        <w:tc>
          <w:tcPr>
            <w:tcW w:w="640" w:type="dxa"/>
            <w:vAlign w:val="bottom"/>
            <w:tcBorders>
              <w:right w:val="single" w:sz="8" w:color="2360A6"/>
            </w:tcBorders>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8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Shares</w:t>
            </w:r>
          </w:p>
        </w:tc>
        <w:tc>
          <w:tcPr>
            <w:tcW w:w="540" w:type="dxa"/>
            <w:vAlign w:val="bottom"/>
            <w:tcBorders>
              <w:right w:val="single" w:sz="8" w:color="2360A6"/>
            </w:tcBorders>
          </w:tcPr>
          <w:p>
            <w:pPr>
              <w:jc w:val="center"/>
              <w:spacing w:after="0"/>
              <w:rPr>
                <w:sz w:val="20"/>
                <w:szCs w:val="20"/>
                <w:color w:val="auto"/>
              </w:rPr>
            </w:pPr>
            <w:r>
              <w:rPr>
                <w:rFonts w:ascii="Arial" w:cs="Arial" w:eastAsia="Arial" w:hAnsi="Arial"/>
                <w:sz w:val="11"/>
                <w:szCs w:val="11"/>
                <w:b w:val="1"/>
                <w:bCs w:val="1"/>
                <w:color w:val="2360A6"/>
                <w:w w:val="97"/>
              </w:rPr>
              <w:t>Part 3</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Part 1</w:t>
            </w:r>
          </w:p>
        </w:tc>
        <w:tc>
          <w:tcPr>
            <w:tcW w:w="5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Part 3</w:t>
            </w:r>
          </w:p>
        </w:tc>
        <w:tc>
          <w:tcPr>
            <w:tcW w:w="5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Part 1</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Part 2</w:t>
            </w:r>
          </w:p>
        </w:tc>
        <w:tc>
          <w:tcPr>
            <w:tcW w:w="48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Part 3</w:t>
            </w:r>
          </w:p>
        </w:tc>
        <w:tc>
          <w:tcPr>
            <w:tcW w:w="54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Part 1</w:t>
            </w:r>
          </w:p>
        </w:tc>
        <w:tc>
          <w:tcPr>
            <w:tcW w:w="50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Part 2</w:t>
            </w:r>
          </w:p>
        </w:tc>
        <w:tc>
          <w:tcPr>
            <w:tcW w:w="48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Part 3</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Part 1</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Part 1</w:t>
            </w:r>
          </w:p>
        </w:tc>
        <w:tc>
          <w:tcPr>
            <w:tcW w:w="540" w:type="dxa"/>
            <w:vAlign w:val="bottom"/>
            <w:tcBorders>
              <w:right w:val="single" w:sz="8" w:color="2360A6"/>
            </w:tcBorders>
          </w:tcPr>
          <w:p>
            <w:pPr>
              <w:jc w:val="right"/>
              <w:ind w:right="86"/>
              <w:spacing w:after="0"/>
              <w:rPr>
                <w:sz w:val="20"/>
                <w:szCs w:val="20"/>
                <w:color w:val="auto"/>
              </w:rPr>
            </w:pPr>
            <w:r>
              <w:rPr>
                <w:rFonts w:ascii="Arial" w:cs="Arial" w:eastAsia="Arial" w:hAnsi="Arial"/>
                <w:sz w:val="11"/>
                <w:szCs w:val="11"/>
                <w:b w:val="1"/>
                <w:bCs w:val="1"/>
                <w:color w:val="2360A6"/>
              </w:rPr>
              <w:t>Part 1</w:t>
            </w:r>
          </w:p>
        </w:tc>
        <w:tc>
          <w:tcPr>
            <w:tcW w:w="520" w:type="dxa"/>
            <w:vAlign w:val="bottom"/>
            <w:tcBorders>
              <w:right w:val="single" w:sz="8" w:color="2360A6"/>
            </w:tcBorders>
          </w:tcPr>
          <w:p>
            <w:pPr>
              <w:jc w:val="right"/>
              <w:ind w:right="66"/>
              <w:spacing w:after="0"/>
              <w:rPr>
                <w:sz w:val="20"/>
                <w:szCs w:val="20"/>
                <w:color w:val="auto"/>
              </w:rPr>
            </w:pPr>
            <w:r>
              <w:rPr>
                <w:rFonts w:ascii="Arial" w:cs="Arial" w:eastAsia="Arial" w:hAnsi="Arial"/>
                <w:sz w:val="11"/>
                <w:szCs w:val="11"/>
                <w:b w:val="1"/>
                <w:bCs w:val="1"/>
                <w:color w:val="2360A6"/>
              </w:rPr>
              <w:t>Part 2</w:t>
            </w:r>
          </w:p>
        </w:tc>
        <w:tc>
          <w:tcPr>
            <w:tcW w:w="380" w:type="dxa"/>
            <w:vAlign w:val="bottom"/>
            <w:tcBorders>
              <w:right w:val="single" w:sz="8" w:color="2360A6"/>
            </w:tcBorders>
          </w:tcPr>
          <w:p>
            <w:pPr>
              <w:jc w:val="center"/>
              <w:spacing w:after="0"/>
              <w:rPr>
                <w:sz w:val="20"/>
                <w:szCs w:val="20"/>
                <w:color w:val="auto"/>
              </w:rPr>
            </w:pPr>
            <w:r>
              <w:rPr>
                <w:rFonts w:ascii="Arial" w:cs="Arial" w:eastAsia="Arial" w:hAnsi="Arial"/>
                <w:sz w:val="11"/>
                <w:szCs w:val="11"/>
                <w:b w:val="1"/>
                <w:bCs w:val="1"/>
                <w:color w:val="2360A6"/>
                <w:w w:val="97"/>
              </w:rPr>
              <w:t>Part 1</w:t>
            </w:r>
          </w:p>
        </w:tc>
        <w:tc>
          <w:tcPr>
            <w:tcW w:w="500" w:type="dxa"/>
            <w:vAlign w:val="bottom"/>
            <w:tcBorders>
              <w:right w:val="single" w:sz="8" w:color="2360A6"/>
            </w:tcBorders>
          </w:tcPr>
          <w:p>
            <w:pPr>
              <w:jc w:val="center"/>
              <w:spacing w:after="0"/>
              <w:rPr>
                <w:sz w:val="20"/>
                <w:szCs w:val="20"/>
                <w:color w:val="auto"/>
              </w:rPr>
            </w:pPr>
            <w:r>
              <w:rPr>
                <w:rFonts w:ascii="Arial" w:cs="Arial" w:eastAsia="Arial" w:hAnsi="Arial"/>
                <w:sz w:val="11"/>
                <w:szCs w:val="11"/>
                <w:b w:val="1"/>
                <w:bCs w:val="1"/>
                <w:color w:val="2360A6"/>
                <w:w w:val="97"/>
              </w:rPr>
              <w:t>Part 1</w:t>
            </w:r>
          </w:p>
        </w:tc>
        <w:tc>
          <w:tcPr>
            <w:tcW w:w="420" w:type="dxa"/>
            <w:vAlign w:val="bottom"/>
            <w:tcBorders>
              <w:bottom w:val="single" w:sz="8" w:color="F2F2F2"/>
              <w:right w:val="single" w:sz="8" w:color="2360A6"/>
            </w:tcBorders>
            <w:shd w:val="clear" w:color="auto" w:fill="F2F2F2"/>
          </w:tcPr>
          <w:p>
            <w:pPr>
              <w:jc w:val="right"/>
              <w:ind w:right="26"/>
              <w:spacing w:after="0"/>
              <w:rPr>
                <w:sz w:val="20"/>
                <w:szCs w:val="20"/>
                <w:color w:val="auto"/>
              </w:rPr>
            </w:pPr>
            <w:r>
              <w:rPr>
                <w:rFonts w:ascii="Arial" w:cs="Arial" w:eastAsia="Arial" w:hAnsi="Arial"/>
                <w:sz w:val="11"/>
                <w:szCs w:val="11"/>
                <w:b w:val="1"/>
                <w:bCs w:val="1"/>
                <w:color w:val="2360A6"/>
              </w:rPr>
              <w:t>Part 1</w:t>
            </w:r>
          </w:p>
        </w:tc>
        <w:tc>
          <w:tcPr>
            <w:tcW w:w="38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b w:val="1"/>
                <w:bCs w:val="1"/>
                <w:color w:val="2360A6"/>
              </w:rPr>
              <w:t>Part 2</w:t>
            </w:r>
          </w:p>
        </w:tc>
        <w:tc>
          <w:tcPr>
            <w:tcW w:w="640" w:type="dxa"/>
            <w:vAlign w:val="bottom"/>
            <w:tcBorders>
              <w:right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Approval date</w:t>
            </w: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00" w:type="dxa"/>
            <w:vAlign w:val="bottom"/>
            <w:tcBorders>
              <w:top w:val="single" w:sz="8" w:color="2360A6"/>
              <w:right w:val="single" w:sz="8" w:color="2360A6"/>
            </w:tcBorders>
          </w:tcPr>
          <w:p>
            <w:pPr>
              <w:spacing w:after="0"/>
              <w:rPr>
                <w:sz w:val="12"/>
                <w:szCs w:val="12"/>
                <w:color w:val="auto"/>
              </w:rPr>
            </w:pPr>
          </w:p>
        </w:tc>
        <w:tc>
          <w:tcPr>
            <w:tcW w:w="520" w:type="dxa"/>
            <w:vAlign w:val="bottom"/>
            <w:tcBorders>
              <w:top w:val="single" w:sz="8" w:color="2360A6"/>
              <w:right w:val="single" w:sz="8" w:color="2360A6"/>
            </w:tcBorders>
          </w:tcPr>
          <w:p>
            <w:pPr>
              <w:spacing w:after="0"/>
              <w:rPr>
                <w:sz w:val="12"/>
                <w:szCs w:val="12"/>
                <w:color w:val="auto"/>
              </w:rPr>
            </w:pPr>
          </w:p>
        </w:tc>
        <w:tc>
          <w:tcPr>
            <w:tcW w:w="500" w:type="dxa"/>
            <w:vAlign w:val="bottom"/>
            <w:tcBorders>
              <w:top w:val="single" w:sz="8" w:color="2360A6"/>
              <w:right w:val="single" w:sz="8" w:color="2360A6"/>
            </w:tcBorders>
          </w:tcPr>
          <w:p>
            <w:pPr>
              <w:spacing w:after="0"/>
              <w:rPr>
                <w:sz w:val="12"/>
                <w:szCs w:val="12"/>
                <w:color w:val="auto"/>
              </w:rPr>
            </w:pPr>
          </w:p>
        </w:tc>
        <w:tc>
          <w:tcPr>
            <w:tcW w:w="48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00" w:type="dxa"/>
            <w:vAlign w:val="bottom"/>
            <w:tcBorders>
              <w:top w:val="single" w:sz="8" w:color="2360A6"/>
              <w:right w:val="single" w:sz="8" w:color="2360A6"/>
            </w:tcBorders>
          </w:tcPr>
          <w:p>
            <w:pPr>
              <w:spacing w:after="0"/>
              <w:rPr>
                <w:sz w:val="12"/>
                <w:szCs w:val="12"/>
                <w:color w:val="auto"/>
              </w:rPr>
            </w:pPr>
          </w:p>
        </w:tc>
        <w:tc>
          <w:tcPr>
            <w:tcW w:w="48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40" w:type="dxa"/>
            <w:vAlign w:val="bottom"/>
            <w:tcBorders>
              <w:top w:val="single" w:sz="8" w:color="2360A6"/>
              <w:right w:val="single" w:sz="8" w:color="2360A6"/>
            </w:tcBorders>
          </w:tcPr>
          <w:p>
            <w:pPr>
              <w:spacing w:after="0"/>
              <w:rPr>
                <w:sz w:val="12"/>
                <w:szCs w:val="12"/>
                <w:color w:val="auto"/>
              </w:rPr>
            </w:pPr>
          </w:p>
        </w:tc>
        <w:tc>
          <w:tcPr>
            <w:tcW w:w="520" w:type="dxa"/>
            <w:vAlign w:val="bottom"/>
            <w:tcBorders>
              <w:top w:val="single" w:sz="8" w:color="2360A6"/>
              <w:right w:val="single" w:sz="8" w:color="2360A6"/>
            </w:tcBorders>
          </w:tcPr>
          <w:p>
            <w:pPr>
              <w:spacing w:after="0"/>
              <w:rPr>
                <w:sz w:val="12"/>
                <w:szCs w:val="12"/>
                <w:color w:val="auto"/>
              </w:rPr>
            </w:pPr>
          </w:p>
        </w:tc>
        <w:tc>
          <w:tcPr>
            <w:tcW w:w="380" w:type="dxa"/>
            <w:vAlign w:val="bottom"/>
            <w:tcBorders>
              <w:top w:val="single" w:sz="8" w:color="2360A6"/>
              <w:right w:val="single" w:sz="8" w:color="2360A6"/>
            </w:tcBorders>
          </w:tcPr>
          <w:p>
            <w:pPr>
              <w:spacing w:after="0"/>
              <w:rPr>
                <w:sz w:val="12"/>
                <w:szCs w:val="12"/>
                <w:color w:val="auto"/>
              </w:rPr>
            </w:pPr>
          </w:p>
        </w:tc>
        <w:tc>
          <w:tcPr>
            <w:tcW w:w="500" w:type="dxa"/>
            <w:vAlign w:val="bottom"/>
            <w:tcBorders>
              <w:top w:val="single" w:sz="8" w:color="2360A6"/>
              <w:right w:val="single" w:sz="8" w:color="2360A6"/>
            </w:tcBorders>
          </w:tcPr>
          <w:p>
            <w:pPr>
              <w:spacing w:after="0"/>
              <w:rPr>
                <w:sz w:val="12"/>
                <w:szCs w:val="12"/>
                <w:color w:val="auto"/>
              </w:rPr>
            </w:pPr>
          </w:p>
        </w:tc>
        <w:tc>
          <w:tcPr>
            <w:tcW w:w="420" w:type="dxa"/>
            <w:vAlign w:val="bottom"/>
            <w:tcBorders>
              <w:top w:val="single" w:sz="8" w:color="2360A6"/>
              <w:right w:val="single" w:sz="8" w:color="2360A6"/>
            </w:tcBorders>
            <w:vMerge w:val="restart"/>
            <w:shd w:val="clear" w:color="auto" w:fill="F2F2F2"/>
          </w:tcPr>
          <w:p>
            <w:pPr>
              <w:jc w:val="right"/>
              <w:spacing w:after="0"/>
              <w:rPr>
                <w:sz w:val="20"/>
                <w:szCs w:val="20"/>
                <w:color w:val="auto"/>
              </w:rPr>
            </w:pPr>
            <w:r>
              <w:rPr>
                <w:rFonts w:ascii="Arial" w:cs="Arial" w:eastAsia="Arial" w:hAnsi="Arial"/>
                <w:sz w:val="11"/>
                <w:szCs w:val="11"/>
                <w:color w:val="231F20"/>
              </w:rPr>
              <w:t>April</w:t>
            </w:r>
          </w:p>
        </w:tc>
        <w:tc>
          <w:tcPr>
            <w:tcW w:w="380" w:type="dxa"/>
            <w:vAlign w:val="bottom"/>
            <w:tcBorders>
              <w:top w:val="single" w:sz="8" w:color="2360A6"/>
              <w:right w:val="single" w:sz="8" w:color="2360A6"/>
            </w:tcBorders>
            <w:shd w:val="clear" w:color="auto" w:fill="F2F2F2"/>
          </w:tcPr>
          <w:p>
            <w:pPr>
              <w:spacing w:after="0"/>
              <w:rPr>
                <w:sz w:val="12"/>
                <w:szCs w:val="12"/>
                <w:color w:val="auto"/>
              </w:rPr>
            </w:pPr>
          </w:p>
        </w:tc>
        <w:tc>
          <w:tcPr>
            <w:tcW w:w="640" w:type="dxa"/>
            <w:vAlign w:val="bottom"/>
            <w:tcBorders>
              <w:top w:val="single" w:sz="8" w:color="2360A6"/>
              <w:right w:val="single" w:sz="8" w:color="2360A6"/>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80" w:type="dxa"/>
            <w:vAlign w:val="bottom"/>
            <w:tcBorders>
              <w:left w:val="single" w:sz="8" w:color="2360A6"/>
              <w:right w:val="single" w:sz="8" w:color="2360A6"/>
            </w:tcBorders>
          </w:tcPr>
          <w:p>
            <w:pPr>
              <w:ind w:left="40"/>
              <w:spacing w:after="0" w:line="109" w:lineRule="exact"/>
              <w:rPr>
                <w:sz w:val="20"/>
                <w:szCs w:val="20"/>
                <w:color w:val="auto"/>
              </w:rPr>
            </w:pPr>
            <w:r>
              <w:rPr>
                <w:rFonts w:ascii="Arial" w:cs="Arial" w:eastAsia="Arial" w:hAnsi="Arial"/>
                <w:sz w:val="11"/>
                <w:szCs w:val="11"/>
                <w:color w:val="231F20"/>
              </w:rPr>
              <w:t>by</w:t>
            </w:r>
          </w:p>
        </w:tc>
        <w:tc>
          <w:tcPr>
            <w:tcW w:w="540" w:type="dxa"/>
            <w:vAlign w:val="bottom"/>
            <w:tcBorders>
              <w:right w:val="single" w:sz="8" w:color="2360A6"/>
            </w:tcBorders>
          </w:tcPr>
          <w:p>
            <w:pPr>
              <w:jc w:val="right"/>
              <w:ind w:right="26"/>
              <w:spacing w:after="0" w:line="109" w:lineRule="exact"/>
              <w:rPr>
                <w:sz w:val="20"/>
                <w:szCs w:val="20"/>
                <w:color w:val="auto"/>
              </w:rPr>
            </w:pPr>
            <w:r>
              <w:rPr>
                <w:rFonts w:ascii="Arial" w:cs="Arial" w:eastAsia="Arial" w:hAnsi="Arial"/>
                <w:sz w:val="11"/>
                <w:szCs w:val="11"/>
                <w:color w:val="231F20"/>
              </w:rPr>
              <w:t>May</w:t>
            </w:r>
          </w:p>
        </w:tc>
        <w:tc>
          <w:tcPr>
            <w:tcW w:w="540" w:type="dxa"/>
            <w:vAlign w:val="bottom"/>
            <w:tcBorders>
              <w:right w:val="single" w:sz="8" w:color="2360A6"/>
            </w:tcBorders>
          </w:tcPr>
          <w:p>
            <w:pPr>
              <w:jc w:val="right"/>
              <w:ind w:right="26"/>
              <w:spacing w:after="0" w:line="109" w:lineRule="exact"/>
              <w:rPr>
                <w:sz w:val="20"/>
                <w:szCs w:val="20"/>
                <w:color w:val="auto"/>
              </w:rPr>
            </w:pPr>
            <w:r>
              <w:rPr>
                <w:rFonts w:ascii="Arial" w:cs="Arial" w:eastAsia="Arial" w:hAnsi="Arial"/>
                <w:sz w:val="11"/>
                <w:szCs w:val="11"/>
                <w:color w:val="231F20"/>
              </w:rPr>
              <w:t>Apr.</w:t>
            </w:r>
          </w:p>
        </w:tc>
        <w:tc>
          <w:tcPr>
            <w:tcW w:w="500" w:type="dxa"/>
            <w:vAlign w:val="bottom"/>
            <w:tcBorders>
              <w:right w:val="single" w:sz="8" w:color="2360A6"/>
            </w:tcBorders>
          </w:tcPr>
          <w:p>
            <w:pPr>
              <w:jc w:val="right"/>
              <w:ind w:right="46"/>
              <w:spacing w:after="0" w:line="109" w:lineRule="exact"/>
              <w:rPr>
                <w:sz w:val="20"/>
                <w:szCs w:val="20"/>
                <w:color w:val="auto"/>
              </w:rPr>
            </w:pPr>
            <w:r>
              <w:rPr>
                <w:rFonts w:ascii="Arial" w:cs="Arial" w:eastAsia="Arial" w:hAnsi="Arial"/>
                <w:sz w:val="11"/>
                <w:szCs w:val="11"/>
                <w:color w:val="231F20"/>
              </w:rPr>
              <w:t>April</w:t>
            </w:r>
          </w:p>
        </w:tc>
        <w:tc>
          <w:tcPr>
            <w:tcW w:w="520" w:type="dxa"/>
            <w:vAlign w:val="bottom"/>
            <w:tcBorders>
              <w:right w:val="single" w:sz="8" w:color="2360A6"/>
            </w:tcBorders>
          </w:tcPr>
          <w:p>
            <w:pPr>
              <w:jc w:val="right"/>
              <w:ind w:right="26"/>
              <w:spacing w:after="0" w:line="109" w:lineRule="exact"/>
              <w:rPr>
                <w:sz w:val="20"/>
                <w:szCs w:val="20"/>
                <w:color w:val="auto"/>
              </w:rPr>
            </w:pPr>
            <w:r>
              <w:rPr>
                <w:rFonts w:ascii="Arial" w:cs="Arial" w:eastAsia="Arial" w:hAnsi="Arial"/>
                <w:sz w:val="11"/>
                <w:szCs w:val="11"/>
                <w:color w:val="231F20"/>
              </w:rPr>
              <w:t>April</w:t>
            </w:r>
          </w:p>
        </w:tc>
        <w:tc>
          <w:tcPr>
            <w:tcW w:w="500" w:type="dxa"/>
            <w:vAlign w:val="bottom"/>
            <w:tcBorders>
              <w:right w:val="single" w:sz="8" w:color="2360A6"/>
            </w:tcBorders>
          </w:tcPr>
          <w:p>
            <w:pPr>
              <w:jc w:val="right"/>
              <w:ind w:right="26"/>
              <w:spacing w:after="0" w:line="109" w:lineRule="exact"/>
              <w:rPr>
                <w:sz w:val="20"/>
                <w:szCs w:val="20"/>
                <w:color w:val="auto"/>
              </w:rPr>
            </w:pPr>
            <w:r>
              <w:rPr>
                <w:rFonts w:ascii="Arial" w:cs="Arial" w:eastAsia="Arial" w:hAnsi="Arial"/>
                <w:sz w:val="11"/>
                <w:szCs w:val="11"/>
                <w:color w:val="231F20"/>
              </w:rPr>
              <w:t>April</w:t>
            </w:r>
          </w:p>
        </w:tc>
        <w:tc>
          <w:tcPr>
            <w:tcW w:w="480" w:type="dxa"/>
            <w:vAlign w:val="bottom"/>
            <w:tcBorders>
              <w:right w:val="single" w:sz="8" w:color="2360A6"/>
            </w:tcBorders>
          </w:tcPr>
          <w:p>
            <w:pPr>
              <w:jc w:val="right"/>
              <w:ind w:right="26"/>
              <w:spacing w:after="0" w:line="109" w:lineRule="exact"/>
              <w:rPr>
                <w:sz w:val="20"/>
                <w:szCs w:val="20"/>
                <w:color w:val="auto"/>
              </w:rPr>
            </w:pPr>
            <w:r>
              <w:rPr>
                <w:rFonts w:ascii="Arial" w:cs="Arial" w:eastAsia="Arial" w:hAnsi="Arial"/>
                <w:sz w:val="11"/>
                <w:szCs w:val="11"/>
                <w:color w:val="231F20"/>
              </w:rPr>
              <w:t>April</w:t>
            </w:r>
          </w:p>
        </w:tc>
        <w:tc>
          <w:tcPr>
            <w:tcW w:w="540" w:type="dxa"/>
            <w:vAlign w:val="bottom"/>
            <w:tcBorders>
              <w:right w:val="single" w:sz="8" w:color="2360A6"/>
            </w:tcBorders>
          </w:tcPr>
          <w:p>
            <w:pPr>
              <w:jc w:val="right"/>
              <w:ind w:right="26"/>
              <w:spacing w:after="0" w:line="109" w:lineRule="exact"/>
              <w:rPr>
                <w:sz w:val="20"/>
                <w:szCs w:val="20"/>
                <w:color w:val="auto"/>
              </w:rPr>
            </w:pPr>
            <w:r>
              <w:rPr>
                <w:rFonts w:ascii="Arial" w:cs="Arial" w:eastAsia="Arial" w:hAnsi="Arial"/>
                <w:sz w:val="11"/>
                <w:szCs w:val="11"/>
                <w:color w:val="231F20"/>
              </w:rPr>
              <w:t>April</w:t>
            </w:r>
          </w:p>
        </w:tc>
        <w:tc>
          <w:tcPr>
            <w:tcW w:w="500" w:type="dxa"/>
            <w:vAlign w:val="bottom"/>
            <w:tcBorders>
              <w:right w:val="single" w:sz="8" w:color="2360A6"/>
            </w:tcBorders>
          </w:tcPr>
          <w:p>
            <w:pPr>
              <w:jc w:val="right"/>
              <w:ind w:right="46"/>
              <w:spacing w:after="0" w:line="109" w:lineRule="exact"/>
              <w:rPr>
                <w:sz w:val="20"/>
                <w:szCs w:val="20"/>
                <w:color w:val="auto"/>
              </w:rPr>
            </w:pPr>
            <w:r>
              <w:rPr>
                <w:rFonts w:ascii="Arial" w:cs="Arial" w:eastAsia="Arial" w:hAnsi="Arial"/>
                <w:sz w:val="11"/>
                <w:szCs w:val="11"/>
                <w:color w:val="231F20"/>
              </w:rPr>
              <w:t>April</w:t>
            </w:r>
          </w:p>
        </w:tc>
        <w:tc>
          <w:tcPr>
            <w:tcW w:w="480" w:type="dxa"/>
            <w:vAlign w:val="bottom"/>
            <w:tcBorders>
              <w:right w:val="single" w:sz="8" w:color="2360A6"/>
            </w:tcBorders>
          </w:tcPr>
          <w:p>
            <w:pPr>
              <w:jc w:val="right"/>
              <w:ind w:right="26"/>
              <w:spacing w:after="0" w:line="109" w:lineRule="exact"/>
              <w:rPr>
                <w:sz w:val="20"/>
                <w:szCs w:val="20"/>
                <w:color w:val="auto"/>
              </w:rPr>
            </w:pPr>
            <w:r>
              <w:rPr>
                <w:rFonts w:ascii="Arial" w:cs="Arial" w:eastAsia="Arial" w:hAnsi="Arial"/>
                <w:sz w:val="11"/>
                <w:szCs w:val="11"/>
                <w:color w:val="231F20"/>
              </w:rPr>
              <w:t>April</w:t>
            </w:r>
          </w:p>
        </w:tc>
        <w:tc>
          <w:tcPr>
            <w:tcW w:w="540" w:type="dxa"/>
            <w:vAlign w:val="bottom"/>
            <w:tcBorders>
              <w:right w:val="single" w:sz="8" w:color="2360A6"/>
            </w:tcBorders>
          </w:tcPr>
          <w:p>
            <w:pPr>
              <w:jc w:val="right"/>
              <w:ind w:right="26"/>
              <w:spacing w:after="0" w:line="109" w:lineRule="exact"/>
              <w:rPr>
                <w:sz w:val="20"/>
                <w:szCs w:val="20"/>
                <w:color w:val="auto"/>
              </w:rPr>
            </w:pPr>
            <w:r>
              <w:rPr>
                <w:rFonts w:ascii="Arial" w:cs="Arial" w:eastAsia="Arial" w:hAnsi="Arial"/>
                <w:sz w:val="11"/>
                <w:szCs w:val="11"/>
                <w:color w:val="231F20"/>
              </w:rPr>
              <w:t>April</w:t>
            </w:r>
          </w:p>
        </w:tc>
        <w:tc>
          <w:tcPr>
            <w:tcW w:w="540" w:type="dxa"/>
            <w:vAlign w:val="bottom"/>
            <w:tcBorders>
              <w:right w:val="single" w:sz="8" w:color="2360A6"/>
            </w:tcBorders>
          </w:tcPr>
          <w:p>
            <w:pPr>
              <w:jc w:val="right"/>
              <w:ind w:right="26"/>
              <w:spacing w:after="0" w:line="109" w:lineRule="exact"/>
              <w:rPr>
                <w:sz w:val="20"/>
                <w:szCs w:val="20"/>
                <w:color w:val="auto"/>
              </w:rPr>
            </w:pPr>
            <w:r>
              <w:rPr>
                <w:rFonts w:ascii="Arial" w:cs="Arial" w:eastAsia="Arial" w:hAnsi="Arial"/>
                <w:sz w:val="11"/>
                <w:szCs w:val="11"/>
                <w:color w:val="231F20"/>
              </w:rPr>
              <w:t>April</w:t>
            </w:r>
          </w:p>
        </w:tc>
        <w:tc>
          <w:tcPr>
            <w:tcW w:w="540" w:type="dxa"/>
            <w:vAlign w:val="bottom"/>
            <w:tcBorders>
              <w:right w:val="single" w:sz="8" w:color="2360A6"/>
            </w:tcBorders>
          </w:tcPr>
          <w:p>
            <w:pPr>
              <w:jc w:val="right"/>
              <w:ind w:right="26"/>
              <w:spacing w:after="0" w:line="109" w:lineRule="exact"/>
              <w:rPr>
                <w:sz w:val="20"/>
                <w:szCs w:val="20"/>
                <w:color w:val="auto"/>
              </w:rPr>
            </w:pPr>
            <w:r>
              <w:rPr>
                <w:rFonts w:ascii="Arial" w:cs="Arial" w:eastAsia="Arial" w:hAnsi="Arial"/>
                <w:sz w:val="11"/>
                <w:szCs w:val="11"/>
                <w:color w:val="231F20"/>
              </w:rPr>
              <w:t>April</w:t>
            </w:r>
          </w:p>
        </w:tc>
        <w:tc>
          <w:tcPr>
            <w:tcW w:w="520" w:type="dxa"/>
            <w:vAlign w:val="bottom"/>
            <w:tcBorders>
              <w:right w:val="single" w:sz="8" w:color="2360A6"/>
            </w:tcBorders>
          </w:tcPr>
          <w:p>
            <w:pPr>
              <w:jc w:val="right"/>
              <w:ind w:right="46"/>
              <w:spacing w:after="0" w:line="109" w:lineRule="exact"/>
              <w:rPr>
                <w:sz w:val="20"/>
                <w:szCs w:val="20"/>
                <w:color w:val="auto"/>
              </w:rPr>
            </w:pPr>
            <w:r>
              <w:rPr>
                <w:rFonts w:ascii="Arial" w:cs="Arial" w:eastAsia="Arial" w:hAnsi="Arial"/>
                <w:sz w:val="11"/>
                <w:szCs w:val="11"/>
                <w:color w:val="231F20"/>
              </w:rPr>
              <w:t>April</w:t>
            </w:r>
          </w:p>
        </w:tc>
        <w:tc>
          <w:tcPr>
            <w:tcW w:w="380" w:type="dxa"/>
            <w:vAlign w:val="bottom"/>
            <w:tcBorders>
              <w:right w:val="single" w:sz="8" w:color="2360A6"/>
            </w:tcBorders>
          </w:tcPr>
          <w:p>
            <w:pPr>
              <w:jc w:val="right"/>
              <w:spacing w:after="0" w:line="109" w:lineRule="exact"/>
              <w:rPr>
                <w:sz w:val="20"/>
                <w:szCs w:val="20"/>
                <w:color w:val="auto"/>
              </w:rPr>
            </w:pPr>
            <w:r>
              <w:rPr>
                <w:rFonts w:ascii="Arial" w:cs="Arial" w:eastAsia="Arial" w:hAnsi="Arial"/>
                <w:sz w:val="11"/>
                <w:szCs w:val="11"/>
                <w:color w:val="231F20"/>
              </w:rPr>
              <w:t>April</w:t>
            </w:r>
          </w:p>
        </w:tc>
        <w:tc>
          <w:tcPr>
            <w:tcW w:w="500" w:type="dxa"/>
            <w:vAlign w:val="bottom"/>
            <w:tcBorders>
              <w:right w:val="single" w:sz="8" w:color="2360A6"/>
            </w:tcBorders>
          </w:tcPr>
          <w:p>
            <w:pPr>
              <w:jc w:val="right"/>
              <w:ind w:right="46"/>
              <w:spacing w:after="0" w:line="109" w:lineRule="exact"/>
              <w:rPr>
                <w:sz w:val="20"/>
                <w:szCs w:val="20"/>
                <w:color w:val="auto"/>
              </w:rPr>
            </w:pPr>
            <w:r>
              <w:rPr>
                <w:rFonts w:ascii="Arial" w:cs="Arial" w:eastAsia="Arial" w:hAnsi="Arial"/>
                <w:sz w:val="11"/>
                <w:szCs w:val="11"/>
                <w:color w:val="231F20"/>
              </w:rPr>
              <w:t>April</w:t>
            </w:r>
          </w:p>
        </w:tc>
        <w:tc>
          <w:tcPr>
            <w:tcW w:w="420" w:type="dxa"/>
            <w:vAlign w:val="bottom"/>
            <w:tcBorders>
              <w:right w:val="single" w:sz="8" w:color="2360A6"/>
            </w:tcBorders>
            <w:vMerge w:val="continue"/>
            <w:shd w:val="clear" w:color="auto" w:fill="F2F2F2"/>
          </w:tcPr>
          <w:p>
            <w:pPr>
              <w:spacing w:after="0"/>
              <w:rPr>
                <w:sz w:val="9"/>
                <w:szCs w:val="9"/>
                <w:color w:val="auto"/>
              </w:rPr>
            </w:pPr>
          </w:p>
        </w:tc>
        <w:tc>
          <w:tcPr>
            <w:tcW w:w="380" w:type="dxa"/>
            <w:vAlign w:val="bottom"/>
            <w:tcBorders>
              <w:right w:val="single" w:sz="8" w:color="2360A6"/>
            </w:tcBorders>
            <w:shd w:val="clear" w:color="auto" w:fill="F2F2F2"/>
          </w:tcPr>
          <w:p>
            <w:pPr>
              <w:jc w:val="right"/>
              <w:spacing w:after="0" w:line="109" w:lineRule="exact"/>
              <w:rPr>
                <w:sz w:val="20"/>
                <w:szCs w:val="20"/>
                <w:color w:val="auto"/>
              </w:rPr>
            </w:pPr>
            <w:r>
              <w:rPr>
                <w:rFonts w:ascii="Arial" w:cs="Arial" w:eastAsia="Arial" w:hAnsi="Arial"/>
                <w:sz w:val="11"/>
                <w:szCs w:val="11"/>
                <w:color w:val="231F20"/>
              </w:rPr>
              <w:t>April</w:t>
            </w:r>
          </w:p>
        </w:tc>
        <w:tc>
          <w:tcPr>
            <w:tcW w:w="640" w:type="dxa"/>
            <w:vAlign w:val="bottom"/>
            <w:tcBorders>
              <w:right w:val="single" w:sz="8" w:color="2360A6"/>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Shareholders’</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06,</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30,</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30,</w:t>
            </w:r>
          </w:p>
        </w:tc>
        <w:tc>
          <w:tcPr>
            <w:tcW w:w="5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29,</w:t>
            </w:r>
          </w:p>
        </w:tc>
        <w:tc>
          <w:tcPr>
            <w:tcW w:w="50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29,</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29,</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28,</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28,</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28,</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26,</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26,</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25,</w:t>
            </w:r>
          </w:p>
        </w:tc>
        <w:tc>
          <w:tcPr>
            <w:tcW w:w="52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25,</w:t>
            </w:r>
          </w:p>
        </w:tc>
        <w:tc>
          <w:tcPr>
            <w:tcW w:w="3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24,</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24,</w:t>
            </w:r>
          </w:p>
        </w:tc>
        <w:tc>
          <w:tcPr>
            <w:tcW w:w="420" w:type="dxa"/>
            <w:vAlign w:val="bottom"/>
            <w:tcBorders>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28,</w:t>
            </w:r>
          </w:p>
        </w:tc>
        <w:tc>
          <w:tcPr>
            <w:tcW w:w="380" w:type="dxa"/>
            <w:vAlign w:val="bottom"/>
            <w:tcBorders>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28,</w:t>
            </w:r>
          </w:p>
        </w:tc>
        <w:tc>
          <w:tcPr>
            <w:tcW w:w="640" w:type="dxa"/>
            <w:vAlign w:val="bottom"/>
            <w:tcBorders>
              <w:right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w w:val="98"/>
              </w:rPr>
              <w:t>General Meeting</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2008</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2009</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2009</w:t>
            </w:r>
          </w:p>
        </w:tc>
        <w:tc>
          <w:tcPr>
            <w:tcW w:w="5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2010</w:t>
            </w:r>
          </w:p>
        </w:tc>
        <w:tc>
          <w:tcPr>
            <w:tcW w:w="50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2010</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2011</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2011</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2011</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2012</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2012</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2013</w:t>
            </w:r>
          </w:p>
        </w:tc>
        <w:tc>
          <w:tcPr>
            <w:tcW w:w="52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2013</w:t>
            </w:r>
          </w:p>
        </w:tc>
        <w:tc>
          <w:tcPr>
            <w:tcW w:w="3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2014</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2014</w:t>
            </w:r>
          </w:p>
        </w:tc>
        <w:tc>
          <w:tcPr>
            <w:tcW w:w="42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2016</w:t>
            </w:r>
          </w:p>
        </w:tc>
        <w:tc>
          <w:tcPr>
            <w:tcW w:w="38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2016</w:t>
            </w:r>
          </w:p>
        </w:tc>
        <w:tc>
          <w:tcPr>
            <w:tcW w:w="640" w:type="dxa"/>
            <w:vAlign w:val="bottom"/>
            <w:tcBorders>
              <w:right w:val="single" w:sz="8" w:color="2360A6"/>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Grant Date by</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Feb</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June</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Feb.</w:t>
            </w:r>
          </w:p>
        </w:tc>
        <w:tc>
          <w:tcPr>
            <w:tcW w:w="52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June</w:t>
            </w:r>
          </w:p>
        </w:tc>
        <w:tc>
          <w:tcPr>
            <w:tcW w:w="50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Dec.</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March</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June</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Dec.</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March</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June</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Dec.</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June</w:t>
            </w:r>
          </w:p>
        </w:tc>
        <w:tc>
          <w:tcPr>
            <w:tcW w:w="52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January</w:t>
            </w:r>
          </w:p>
        </w:tc>
        <w:tc>
          <w:tcPr>
            <w:tcW w:w="3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Dec.</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Sept.</w:t>
            </w:r>
          </w:p>
        </w:tc>
        <w:tc>
          <w:tcPr>
            <w:tcW w:w="420" w:type="dxa"/>
            <w:vAlign w:val="bottom"/>
            <w:tcBorders>
              <w:top w:val="single" w:sz="8" w:color="2360A6"/>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July</w:t>
            </w:r>
          </w:p>
        </w:tc>
        <w:tc>
          <w:tcPr>
            <w:tcW w:w="380" w:type="dxa"/>
            <w:vAlign w:val="bottom"/>
            <w:tcBorders>
              <w:top w:val="single" w:sz="8" w:color="2360A6"/>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Dec.</w:t>
            </w:r>
          </w:p>
        </w:tc>
        <w:tc>
          <w:tcPr>
            <w:tcW w:w="640" w:type="dxa"/>
            <w:vAlign w:val="bottom"/>
            <w:tcBorders>
              <w:top w:val="single" w:sz="8" w:color="2360A6"/>
              <w:right w:val="single" w:sz="8" w:color="2360A6"/>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the Board of</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18,</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15,</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16,</w:t>
            </w:r>
          </w:p>
        </w:tc>
        <w:tc>
          <w:tcPr>
            <w:tcW w:w="5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23,</w:t>
            </w:r>
          </w:p>
        </w:tc>
        <w:tc>
          <w:tcPr>
            <w:tcW w:w="50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15,</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04,</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17,</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14,</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02,</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15,</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12,</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14,</w:t>
            </w:r>
          </w:p>
        </w:tc>
        <w:tc>
          <w:tcPr>
            <w:tcW w:w="52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10,</w:t>
            </w:r>
          </w:p>
        </w:tc>
        <w:tc>
          <w:tcPr>
            <w:tcW w:w="3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10,</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07,</w:t>
            </w:r>
          </w:p>
        </w:tc>
        <w:tc>
          <w:tcPr>
            <w:tcW w:w="420" w:type="dxa"/>
            <w:vAlign w:val="bottom"/>
            <w:tcBorders>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1,</w:t>
            </w:r>
          </w:p>
        </w:tc>
        <w:tc>
          <w:tcPr>
            <w:tcW w:w="380" w:type="dxa"/>
            <w:vAlign w:val="bottom"/>
            <w:tcBorders>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06,</w:t>
            </w:r>
          </w:p>
        </w:tc>
        <w:tc>
          <w:tcPr>
            <w:tcW w:w="640" w:type="dxa"/>
            <w:vAlign w:val="bottom"/>
            <w:tcBorders>
              <w:right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Directors</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2009</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2009</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2010</w:t>
            </w:r>
          </w:p>
        </w:tc>
        <w:tc>
          <w:tcPr>
            <w:tcW w:w="5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2010</w:t>
            </w:r>
          </w:p>
        </w:tc>
        <w:tc>
          <w:tcPr>
            <w:tcW w:w="50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2010</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2011</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2011</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2011</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2012</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2012</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2012</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2013</w:t>
            </w:r>
          </w:p>
        </w:tc>
        <w:tc>
          <w:tcPr>
            <w:tcW w:w="52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2014</w:t>
            </w:r>
          </w:p>
        </w:tc>
        <w:tc>
          <w:tcPr>
            <w:tcW w:w="3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2014</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2015</w:t>
            </w:r>
          </w:p>
        </w:tc>
        <w:tc>
          <w:tcPr>
            <w:tcW w:w="42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2016</w:t>
            </w:r>
          </w:p>
        </w:tc>
        <w:tc>
          <w:tcPr>
            <w:tcW w:w="38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2016</w:t>
            </w:r>
          </w:p>
        </w:tc>
        <w:tc>
          <w:tcPr>
            <w:tcW w:w="640" w:type="dxa"/>
            <w:vAlign w:val="bottom"/>
            <w:tcBorders>
              <w:right w:val="single" w:sz="8" w:color="2360A6"/>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Outstanding</w:t>
            </w:r>
          </w:p>
        </w:tc>
        <w:tc>
          <w:tcPr>
            <w:tcW w:w="54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00" w:type="dxa"/>
            <w:vAlign w:val="bottom"/>
            <w:tcBorders>
              <w:top w:val="single" w:sz="8" w:color="2360A6"/>
              <w:right w:val="single" w:sz="8" w:color="2360A6"/>
            </w:tcBorders>
          </w:tcPr>
          <w:p>
            <w:pPr>
              <w:spacing w:after="0"/>
              <w:rPr>
                <w:sz w:val="11"/>
                <w:szCs w:val="11"/>
                <w:color w:val="auto"/>
              </w:rPr>
            </w:pPr>
          </w:p>
        </w:tc>
        <w:tc>
          <w:tcPr>
            <w:tcW w:w="520" w:type="dxa"/>
            <w:vAlign w:val="bottom"/>
            <w:tcBorders>
              <w:top w:val="single" w:sz="8" w:color="2360A6"/>
              <w:right w:val="single" w:sz="8" w:color="2360A6"/>
            </w:tcBorders>
          </w:tcPr>
          <w:p>
            <w:pPr>
              <w:spacing w:after="0"/>
              <w:rPr>
                <w:sz w:val="11"/>
                <w:szCs w:val="11"/>
                <w:color w:val="auto"/>
              </w:rPr>
            </w:pPr>
          </w:p>
        </w:tc>
        <w:tc>
          <w:tcPr>
            <w:tcW w:w="500" w:type="dxa"/>
            <w:vAlign w:val="bottom"/>
            <w:tcBorders>
              <w:top w:val="single" w:sz="8" w:color="2360A6"/>
              <w:right w:val="single" w:sz="8" w:color="2360A6"/>
            </w:tcBorders>
          </w:tcPr>
          <w:p>
            <w:pPr>
              <w:spacing w:after="0"/>
              <w:rPr>
                <w:sz w:val="11"/>
                <w:szCs w:val="11"/>
                <w:color w:val="auto"/>
              </w:rPr>
            </w:pPr>
          </w:p>
        </w:tc>
        <w:tc>
          <w:tcPr>
            <w:tcW w:w="48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00" w:type="dxa"/>
            <w:vAlign w:val="bottom"/>
            <w:tcBorders>
              <w:top w:val="single" w:sz="8" w:color="2360A6"/>
              <w:right w:val="single" w:sz="8" w:color="2360A6"/>
            </w:tcBorders>
          </w:tcPr>
          <w:p>
            <w:pPr>
              <w:spacing w:after="0"/>
              <w:rPr>
                <w:sz w:val="11"/>
                <w:szCs w:val="11"/>
                <w:color w:val="auto"/>
              </w:rPr>
            </w:pPr>
          </w:p>
        </w:tc>
        <w:tc>
          <w:tcPr>
            <w:tcW w:w="48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40" w:type="dxa"/>
            <w:vAlign w:val="bottom"/>
            <w:tcBorders>
              <w:top w:val="single" w:sz="8" w:color="2360A6"/>
              <w:right w:val="single" w:sz="8" w:color="2360A6"/>
            </w:tcBorders>
          </w:tcPr>
          <w:p>
            <w:pPr>
              <w:spacing w:after="0"/>
              <w:rPr>
                <w:sz w:val="11"/>
                <w:szCs w:val="11"/>
                <w:color w:val="auto"/>
              </w:rPr>
            </w:pPr>
          </w:p>
        </w:tc>
        <w:tc>
          <w:tcPr>
            <w:tcW w:w="520" w:type="dxa"/>
            <w:vAlign w:val="bottom"/>
            <w:tcBorders>
              <w:top w:val="single" w:sz="8" w:color="2360A6"/>
              <w:right w:val="single" w:sz="8" w:color="2360A6"/>
            </w:tcBorders>
          </w:tcPr>
          <w:p>
            <w:pPr>
              <w:spacing w:after="0"/>
              <w:rPr>
                <w:sz w:val="11"/>
                <w:szCs w:val="11"/>
                <w:color w:val="auto"/>
              </w:rPr>
            </w:pPr>
          </w:p>
        </w:tc>
        <w:tc>
          <w:tcPr>
            <w:tcW w:w="380" w:type="dxa"/>
            <w:vAlign w:val="bottom"/>
            <w:tcBorders>
              <w:top w:val="single" w:sz="8" w:color="2360A6"/>
              <w:right w:val="single" w:sz="8" w:color="2360A6"/>
            </w:tcBorders>
          </w:tcPr>
          <w:p>
            <w:pPr>
              <w:spacing w:after="0"/>
              <w:rPr>
                <w:sz w:val="11"/>
                <w:szCs w:val="11"/>
                <w:color w:val="auto"/>
              </w:rPr>
            </w:pPr>
          </w:p>
        </w:tc>
        <w:tc>
          <w:tcPr>
            <w:tcW w:w="500" w:type="dxa"/>
            <w:vAlign w:val="bottom"/>
            <w:tcBorders>
              <w:top w:val="single" w:sz="8" w:color="2360A6"/>
              <w:right w:val="single" w:sz="8" w:color="2360A6"/>
            </w:tcBorders>
          </w:tcPr>
          <w:p>
            <w:pPr>
              <w:spacing w:after="0"/>
              <w:rPr>
                <w:sz w:val="11"/>
                <w:szCs w:val="11"/>
                <w:color w:val="auto"/>
              </w:rPr>
            </w:pPr>
          </w:p>
        </w:tc>
        <w:tc>
          <w:tcPr>
            <w:tcW w:w="420" w:type="dxa"/>
            <w:vAlign w:val="bottom"/>
            <w:tcBorders>
              <w:top w:val="single" w:sz="8" w:color="2360A6"/>
              <w:right w:val="single" w:sz="8" w:color="2360A6"/>
            </w:tcBorders>
            <w:shd w:val="clear" w:color="auto" w:fill="F2F2F2"/>
          </w:tcPr>
          <w:p>
            <w:pPr>
              <w:spacing w:after="0"/>
              <w:rPr>
                <w:sz w:val="11"/>
                <w:szCs w:val="11"/>
                <w:color w:val="auto"/>
              </w:rPr>
            </w:pPr>
          </w:p>
        </w:tc>
        <w:tc>
          <w:tcPr>
            <w:tcW w:w="380" w:type="dxa"/>
            <w:vAlign w:val="bottom"/>
            <w:tcBorders>
              <w:top w:val="single" w:sz="8" w:color="2360A6"/>
              <w:right w:val="single" w:sz="8" w:color="2360A6"/>
            </w:tcBorders>
            <w:shd w:val="clear" w:color="auto" w:fill="F2F2F2"/>
          </w:tcPr>
          <w:p>
            <w:pPr>
              <w:spacing w:after="0"/>
              <w:rPr>
                <w:sz w:val="11"/>
                <w:szCs w:val="11"/>
                <w:color w:val="auto"/>
              </w:rPr>
            </w:pPr>
          </w:p>
        </w:tc>
        <w:tc>
          <w:tcPr>
            <w:tcW w:w="640" w:type="dxa"/>
            <w:vAlign w:val="bottom"/>
            <w:tcBorders>
              <w:top w:val="single" w:sz="8" w:color="2360A6"/>
              <w:right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80" w:type="dxa"/>
            <w:vAlign w:val="bottom"/>
            <w:tcBorders>
              <w:left w:val="single" w:sz="8" w:color="2360A6"/>
              <w:right w:val="single" w:sz="8" w:color="2360A6"/>
            </w:tcBorders>
          </w:tcPr>
          <w:p>
            <w:pPr>
              <w:ind w:left="40"/>
              <w:spacing w:after="0" w:line="122" w:lineRule="exact"/>
              <w:rPr>
                <w:sz w:val="20"/>
                <w:szCs w:val="20"/>
                <w:color w:val="auto"/>
              </w:rPr>
            </w:pPr>
            <w:r>
              <w:rPr>
                <w:rFonts w:ascii="Arial" w:cs="Arial" w:eastAsia="Arial" w:hAnsi="Arial"/>
                <w:sz w:val="11"/>
                <w:szCs w:val="11"/>
                <w:b w:val="1"/>
                <w:bCs w:val="1"/>
                <w:color w:val="2360A6"/>
              </w:rPr>
              <w:t>Shares as of</w:t>
            </w: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38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20" w:type="dxa"/>
            <w:vAlign w:val="bottom"/>
            <w:tcBorders>
              <w:right w:val="single" w:sz="8" w:color="2360A6"/>
            </w:tcBorders>
            <w:shd w:val="clear" w:color="auto" w:fill="F2F2F2"/>
          </w:tcPr>
          <w:p>
            <w:pPr>
              <w:spacing w:after="0"/>
              <w:rPr>
                <w:sz w:val="10"/>
                <w:szCs w:val="10"/>
                <w:color w:val="auto"/>
              </w:rPr>
            </w:pPr>
          </w:p>
        </w:tc>
        <w:tc>
          <w:tcPr>
            <w:tcW w:w="380" w:type="dxa"/>
            <w:vAlign w:val="bottom"/>
            <w:tcBorders>
              <w:right w:val="single" w:sz="8" w:color="2360A6"/>
            </w:tcBorders>
            <w:shd w:val="clear" w:color="auto" w:fill="F2F2F2"/>
          </w:tcPr>
          <w:p>
            <w:pPr>
              <w:spacing w:after="0"/>
              <w:rPr>
                <w:sz w:val="10"/>
                <w:szCs w:val="10"/>
                <w:color w:val="auto"/>
              </w:rPr>
            </w:pPr>
          </w:p>
        </w:tc>
        <w:tc>
          <w:tcPr>
            <w:tcW w:w="640" w:type="dxa"/>
            <w:vAlign w:val="bottom"/>
            <w:tcBorders>
              <w:right w:val="single" w:sz="8" w:color="2360A6"/>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1"/>
                <w:szCs w:val="11"/>
                <w:b w:val="1"/>
                <w:bCs w:val="1"/>
                <w:color w:val="2360A6"/>
                <w:w w:val="97"/>
              </w:rPr>
              <w:t>January 1, 2013</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118,650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584,900</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94,550</w:t>
            </w:r>
          </w:p>
        </w:tc>
        <w:tc>
          <w:tcPr>
            <w:tcW w:w="5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834,300</w:t>
            </w:r>
          </w:p>
        </w:tc>
        <w:tc>
          <w:tcPr>
            <w:tcW w:w="50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12,300</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81,900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348,450</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33,750</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47,807</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426,800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126,892</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52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w:t>
            </w:r>
          </w:p>
        </w:tc>
        <w:tc>
          <w:tcPr>
            <w:tcW w:w="38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w:t>
            </w:r>
          </w:p>
        </w:tc>
        <w:tc>
          <w:tcPr>
            <w:tcW w:w="42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b w:val="1"/>
                <w:bCs w:val="1"/>
                <w:color w:val="2360A6"/>
              </w:rPr>
              <w:t>—</w:t>
            </w:r>
          </w:p>
        </w:tc>
        <w:tc>
          <w:tcPr>
            <w:tcW w:w="38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b w:val="1"/>
                <w:bCs w:val="1"/>
                <w:color w:val="2360A6"/>
              </w:rPr>
              <w:t>—</w:t>
            </w:r>
          </w:p>
        </w:tc>
        <w:tc>
          <w:tcPr>
            <w:tcW w:w="64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2,710,299</w:t>
            </w:r>
          </w:p>
        </w:tc>
        <w:tc>
          <w:tcPr>
            <w:tcW w:w="0" w:type="dxa"/>
            <w:vAlign w:val="bottom"/>
          </w:tcPr>
          <w:p>
            <w:pPr>
              <w:spacing w:after="0"/>
              <w:rPr>
                <w:sz w:val="1"/>
                <w:szCs w:val="1"/>
                <w:color w:val="auto"/>
              </w:rPr>
            </w:pPr>
          </w:p>
        </w:tc>
      </w:tr>
      <w:tr>
        <w:trPr>
          <w:trHeight w:val="210"/>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Shares Granted</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2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492,500</w:t>
            </w:r>
          </w:p>
        </w:tc>
        <w:tc>
          <w:tcPr>
            <w:tcW w:w="52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3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20" w:type="dxa"/>
            <w:vAlign w:val="bottom"/>
            <w:tcBorders>
              <w:top w:val="single" w:sz="8" w:color="2360A6"/>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w:t>
            </w:r>
          </w:p>
        </w:tc>
        <w:tc>
          <w:tcPr>
            <w:tcW w:w="380" w:type="dxa"/>
            <w:vAlign w:val="bottom"/>
            <w:tcBorders>
              <w:top w:val="single" w:sz="8" w:color="2360A6"/>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w:t>
            </w:r>
          </w:p>
        </w:tc>
        <w:tc>
          <w:tcPr>
            <w:tcW w:w="64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492,500</w:t>
            </w:r>
          </w:p>
        </w:tc>
        <w:tc>
          <w:tcPr>
            <w:tcW w:w="0" w:type="dxa"/>
            <w:vAlign w:val="bottom"/>
          </w:tcPr>
          <w:p>
            <w:pPr>
              <w:spacing w:after="0"/>
              <w:rPr>
                <w:sz w:val="1"/>
                <w:szCs w:val="1"/>
                <w:color w:val="auto"/>
              </w:rPr>
            </w:pPr>
          </w:p>
        </w:tc>
      </w:tr>
      <w:tr>
        <w:trPr>
          <w:trHeight w:val="210"/>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w w:val="99"/>
              </w:rPr>
              <w:t>Share Exercised</w:t>
            </w:r>
          </w:p>
        </w:tc>
        <w:tc>
          <w:tcPr>
            <w:tcW w:w="54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(117,750)</w:t>
            </w:r>
          </w:p>
        </w:tc>
        <w:tc>
          <w:tcPr>
            <w:tcW w:w="54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(575,300)</w:t>
            </w:r>
          </w:p>
        </w:tc>
        <w:tc>
          <w:tcPr>
            <w:tcW w:w="50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(35,050)</w:t>
            </w:r>
          </w:p>
        </w:tc>
        <w:tc>
          <w:tcPr>
            <w:tcW w:w="52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w w:val="97"/>
              </w:rPr>
              <w:t>(290,700)</w:t>
            </w:r>
          </w:p>
        </w:tc>
        <w:tc>
          <w:tcPr>
            <w:tcW w:w="50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(1,500)</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2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3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20" w:type="dxa"/>
            <w:vAlign w:val="bottom"/>
            <w:tcBorders>
              <w:top w:val="single" w:sz="8" w:color="2360A6"/>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w:t>
            </w:r>
          </w:p>
        </w:tc>
        <w:tc>
          <w:tcPr>
            <w:tcW w:w="380" w:type="dxa"/>
            <w:vAlign w:val="bottom"/>
            <w:tcBorders>
              <w:top w:val="single" w:sz="8" w:color="2360A6"/>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w:t>
            </w:r>
          </w:p>
        </w:tc>
        <w:tc>
          <w:tcPr>
            <w:tcW w:w="64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w w:val="99"/>
              </w:rPr>
              <w:t>(1,020,300)</w:t>
            </w:r>
          </w:p>
        </w:tc>
        <w:tc>
          <w:tcPr>
            <w:tcW w:w="0" w:type="dxa"/>
            <w:vAlign w:val="bottom"/>
          </w:tcPr>
          <w:p>
            <w:pPr>
              <w:spacing w:after="0"/>
              <w:rPr>
                <w:sz w:val="1"/>
                <w:szCs w:val="1"/>
                <w:color w:val="auto"/>
              </w:rPr>
            </w:pPr>
          </w:p>
        </w:tc>
      </w:tr>
      <w:tr>
        <w:trPr>
          <w:trHeight w:val="152"/>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Shares</w:t>
            </w: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52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8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8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20" w:type="dxa"/>
            <w:vAlign w:val="bottom"/>
            <w:tcBorders>
              <w:top w:val="single" w:sz="8" w:color="2360A6"/>
              <w:right w:val="single" w:sz="8" w:color="2360A6"/>
            </w:tcBorders>
          </w:tcPr>
          <w:p>
            <w:pPr>
              <w:spacing w:after="0"/>
              <w:rPr>
                <w:sz w:val="13"/>
                <w:szCs w:val="13"/>
                <w:color w:val="auto"/>
              </w:rPr>
            </w:pPr>
          </w:p>
        </w:tc>
        <w:tc>
          <w:tcPr>
            <w:tcW w:w="38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20" w:type="dxa"/>
            <w:vAlign w:val="bottom"/>
            <w:tcBorders>
              <w:top w:val="single" w:sz="8" w:color="2360A6"/>
              <w:right w:val="single" w:sz="8" w:color="2360A6"/>
            </w:tcBorders>
            <w:shd w:val="clear" w:color="auto" w:fill="F2F2F2"/>
          </w:tcPr>
          <w:p>
            <w:pPr>
              <w:spacing w:after="0"/>
              <w:rPr>
                <w:sz w:val="13"/>
                <w:szCs w:val="13"/>
                <w:color w:val="auto"/>
              </w:rPr>
            </w:pPr>
          </w:p>
        </w:tc>
        <w:tc>
          <w:tcPr>
            <w:tcW w:w="380" w:type="dxa"/>
            <w:vAlign w:val="bottom"/>
            <w:tcBorders>
              <w:top w:val="single" w:sz="8" w:color="2360A6"/>
              <w:right w:val="single" w:sz="8" w:color="2360A6"/>
            </w:tcBorders>
            <w:shd w:val="clear" w:color="auto" w:fill="F2F2F2"/>
          </w:tcPr>
          <w:p>
            <w:pPr>
              <w:spacing w:after="0"/>
              <w:rPr>
                <w:sz w:val="13"/>
                <w:szCs w:val="13"/>
                <w:color w:val="auto"/>
              </w:rPr>
            </w:pPr>
          </w:p>
        </w:tc>
        <w:tc>
          <w:tcPr>
            <w:tcW w:w="640" w:type="dxa"/>
            <w:vAlign w:val="bottom"/>
            <w:tcBorders>
              <w:top w:val="single" w:sz="8" w:color="2360A6"/>
              <w:right w:val="single" w:sz="8" w:color="2360A6"/>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Cancelled</w:t>
            </w:r>
          </w:p>
        </w:tc>
        <w:tc>
          <w:tcPr>
            <w:tcW w:w="54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(900)</w:t>
            </w:r>
          </w:p>
        </w:tc>
        <w:tc>
          <w:tcPr>
            <w:tcW w:w="54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(9,600)</w:t>
            </w:r>
          </w:p>
        </w:tc>
        <w:tc>
          <w:tcPr>
            <w:tcW w:w="50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(6,400)</w:t>
            </w:r>
          </w:p>
        </w:tc>
        <w:tc>
          <w:tcPr>
            <w:tcW w:w="52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(32,000)</w:t>
            </w:r>
          </w:p>
        </w:tc>
        <w:tc>
          <w:tcPr>
            <w:tcW w:w="50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4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(6,400)</w:t>
            </w:r>
          </w:p>
        </w:tc>
        <w:tc>
          <w:tcPr>
            <w:tcW w:w="54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(10,400)</w:t>
            </w:r>
          </w:p>
        </w:tc>
        <w:tc>
          <w:tcPr>
            <w:tcW w:w="50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(3,700)</w:t>
            </w:r>
          </w:p>
        </w:tc>
        <w:tc>
          <w:tcPr>
            <w:tcW w:w="4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(1,650)</w:t>
            </w:r>
          </w:p>
        </w:tc>
        <w:tc>
          <w:tcPr>
            <w:tcW w:w="5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(13,700)</w:t>
            </w:r>
          </w:p>
        </w:tc>
        <w:tc>
          <w:tcPr>
            <w:tcW w:w="5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(4,700)</w:t>
            </w:r>
          </w:p>
        </w:tc>
        <w:tc>
          <w:tcPr>
            <w:tcW w:w="5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(3,350)</w:t>
            </w:r>
          </w:p>
        </w:tc>
        <w:tc>
          <w:tcPr>
            <w:tcW w:w="52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3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w:t>
            </w:r>
          </w:p>
        </w:tc>
        <w:tc>
          <w:tcPr>
            <w:tcW w:w="500" w:type="dxa"/>
            <w:vAlign w:val="bottom"/>
            <w:tcBorders>
              <w:right w:val="single" w:sz="8" w:color="2360A6"/>
            </w:tcBorders>
          </w:tcPr>
          <w:p>
            <w:pPr>
              <w:spacing w:after="0"/>
              <w:rPr>
                <w:sz w:val="13"/>
                <w:szCs w:val="13"/>
                <w:color w:val="auto"/>
              </w:rPr>
            </w:pPr>
          </w:p>
        </w:tc>
        <w:tc>
          <w:tcPr>
            <w:tcW w:w="420" w:type="dxa"/>
            <w:vAlign w:val="bottom"/>
            <w:tcBorders>
              <w:bottom w:val="single" w:sz="8" w:color="F2F2F2"/>
              <w:right w:val="single" w:sz="8" w:color="2360A6"/>
            </w:tcBorders>
            <w:shd w:val="clear" w:color="auto" w:fill="F2F2F2"/>
          </w:tcPr>
          <w:p>
            <w:pPr>
              <w:spacing w:after="0"/>
              <w:rPr>
                <w:sz w:val="13"/>
                <w:szCs w:val="13"/>
                <w:color w:val="auto"/>
              </w:rPr>
            </w:pPr>
          </w:p>
        </w:tc>
        <w:tc>
          <w:tcPr>
            <w:tcW w:w="380" w:type="dxa"/>
            <w:vAlign w:val="bottom"/>
            <w:tcBorders>
              <w:bottom w:val="single" w:sz="8" w:color="F2F2F2"/>
              <w:right w:val="single" w:sz="8" w:color="2360A6"/>
            </w:tcBorders>
            <w:shd w:val="clear" w:color="auto" w:fill="F2F2F2"/>
          </w:tcPr>
          <w:p>
            <w:pPr>
              <w:spacing w:after="0"/>
              <w:rPr>
                <w:sz w:val="13"/>
                <w:szCs w:val="13"/>
                <w:color w:val="auto"/>
              </w:rPr>
            </w:pPr>
          </w:p>
        </w:tc>
        <w:tc>
          <w:tcPr>
            <w:tcW w:w="6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(92,800)</w:t>
            </w:r>
          </w:p>
        </w:tc>
        <w:tc>
          <w:tcPr>
            <w:tcW w:w="0" w:type="dxa"/>
            <w:vAlign w:val="bottom"/>
          </w:tcPr>
          <w:p>
            <w:pPr>
              <w:spacing w:after="0"/>
              <w:rPr>
                <w:sz w:val="1"/>
                <w:szCs w:val="1"/>
                <w:color w:val="auto"/>
              </w:rPr>
            </w:pPr>
          </w:p>
        </w:tc>
      </w:tr>
      <w:tr>
        <w:trPr>
          <w:trHeight w:val="154"/>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Outstanding</w:t>
            </w: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52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8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8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20" w:type="dxa"/>
            <w:vAlign w:val="bottom"/>
            <w:tcBorders>
              <w:top w:val="single" w:sz="8" w:color="2360A6"/>
              <w:right w:val="single" w:sz="8" w:color="2360A6"/>
            </w:tcBorders>
          </w:tcPr>
          <w:p>
            <w:pPr>
              <w:spacing w:after="0"/>
              <w:rPr>
                <w:sz w:val="13"/>
                <w:szCs w:val="13"/>
                <w:color w:val="auto"/>
              </w:rPr>
            </w:pPr>
          </w:p>
        </w:tc>
        <w:tc>
          <w:tcPr>
            <w:tcW w:w="38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20" w:type="dxa"/>
            <w:vAlign w:val="bottom"/>
            <w:tcBorders>
              <w:top w:val="single" w:sz="8" w:color="2360A6"/>
              <w:right w:val="single" w:sz="8" w:color="2360A6"/>
            </w:tcBorders>
            <w:shd w:val="clear" w:color="auto" w:fill="F2F2F2"/>
          </w:tcPr>
          <w:p>
            <w:pPr>
              <w:spacing w:after="0"/>
              <w:rPr>
                <w:sz w:val="13"/>
                <w:szCs w:val="13"/>
                <w:color w:val="auto"/>
              </w:rPr>
            </w:pPr>
          </w:p>
        </w:tc>
        <w:tc>
          <w:tcPr>
            <w:tcW w:w="380" w:type="dxa"/>
            <w:vAlign w:val="bottom"/>
            <w:tcBorders>
              <w:top w:val="single" w:sz="8" w:color="2360A6"/>
              <w:right w:val="single" w:sz="8" w:color="2360A6"/>
            </w:tcBorders>
            <w:shd w:val="clear" w:color="auto" w:fill="F2F2F2"/>
          </w:tcPr>
          <w:p>
            <w:pPr>
              <w:spacing w:after="0"/>
              <w:rPr>
                <w:sz w:val="13"/>
                <w:szCs w:val="13"/>
                <w:color w:val="auto"/>
              </w:rPr>
            </w:pPr>
          </w:p>
        </w:tc>
        <w:tc>
          <w:tcPr>
            <w:tcW w:w="640" w:type="dxa"/>
            <w:vAlign w:val="bottom"/>
            <w:tcBorders>
              <w:top w:val="single" w:sz="8" w:color="2360A6"/>
              <w:right w:val="single" w:sz="8" w:color="2360A6"/>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tcBorders>
              <w:left w:val="single" w:sz="8" w:color="2360A6"/>
              <w:right w:val="single" w:sz="8" w:color="2360A6"/>
            </w:tcBorders>
          </w:tcPr>
          <w:p>
            <w:pPr>
              <w:ind w:left="40"/>
              <w:spacing w:after="0" w:line="122" w:lineRule="exact"/>
              <w:rPr>
                <w:sz w:val="20"/>
                <w:szCs w:val="20"/>
                <w:color w:val="auto"/>
              </w:rPr>
            </w:pPr>
            <w:r>
              <w:rPr>
                <w:rFonts w:ascii="Arial" w:cs="Arial" w:eastAsia="Arial" w:hAnsi="Arial"/>
                <w:sz w:val="11"/>
                <w:szCs w:val="11"/>
                <w:b w:val="1"/>
                <w:bCs w:val="1"/>
                <w:color w:val="2360A6"/>
              </w:rPr>
              <w:t>Shares as of</w:t>
            </w: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38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20" w:type="dxa"/>
            <w:vAlign w:val="bottom"/>
            <w:tcBorders>
              <w:right w:val="single" w:sz="8" w:color="2360A6"/>
            </w:tcBorders>
            <w:shd w:val="clear" w:color="auto" w:fill="F2F2F2"/>
          </w:tcPr>
          <w:p>
            <w:pPr>
              <w:spacing w:after="0"/>
              <w:rPr>
                <w:sz w:val="10"/>
                <w:szCs w:val="10"/>
                <w:color w:val="auto"/>
              </w:rPr>
            </w:pPr>
          </w:p>
        </w:tc>
        <w:tc>
          <w:tcPr>
            <w:tcW w:w="380" w:type="dxa"/>
            <w:vAlign w:val="bottom"/>
            <w:tcBorders>
              <w:right w:val="single" w:sz="8" w:color="2360A6"/>
            </w:tcBorders>
            <w:shd w:val="clear" w:color="auto" w:fill="F2F2F2"/>
          </w:tcPr>
          <w:p>
            <w:pPr>
              <w:spacing w:after="0"/>
              <w:rPr>
                <w:sz w:val="10"/>
                <w:szCs w:val="10"/>
                <w:color w:val="auto"/>
              </w:rPr>
            </w:pPr>
          </w:p>
        </w:tc>
        <w:tc>
          <w:tcPr>
            <w:tcW w:w="640" w:type="dxa"/>
            <w:vAlign w:val="bottom"/>
            <w:tcBorders>
              <w:right w:val="single" w:sz="8" w:color="2360A6"/>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80" w:type="dxa"/>
            <w:vAlign w:val="bottom"/>
            <w:tcBorders>
              <w:left w:val="single" w:sz="8" w:color="2360A6"/>
              <w:right w:val="single" w:sz="8" w:color="2360A6"/>
            </w:tcBorders>
          </w:tcPr>
          <w:p>
            <w:pPr>
              <w:ind w:left="40"/>
              <w:spacing w:after="0" w:line="122" w:lineRule="exact"/>
              <w:rPr>
                <w:sz w:val="20"/>
                <w:szCs w:val="20"/>
                <w:color w:val="auto"/>
              </w:rPr>
            </w:pPr>
            <w:r>
              <w:rPr>
                <w:rFonts w:ascii="Arial" w:cs="Arial" w:eastAsia="Arial" w:hAnsi="Arial"/>
                <w:sz w:val="11"/>
                <w:szCs w:val="11"/>
                <w:b w:val="1"/>
                <w:bCs w:val="1"/>
                <w:color w:val="2360A6"/>
              </w:rPr>
              <w:t>December 31,</w:t>
            </w: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38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20" w:type="dxa"/>
            <w:vAlign w:val="bottom"/>
            <w:tcBorders>
              <w:right w:val="single" w:sz="8" w:color="2360A6"/>
            </w:tcBorders>
            <w:shd w:val="clear" w:color="auto" w:fill="F2F2F2"/>
          </w:tcPr>
          <w:p>
            <w:pPr>
              <w:spacing w:after="0"/>
              <w:rPr>
                <w:sz w:val="10"/>
                <w:szCs w:val="10"/>
                <w:color w:val="auto"/>
              </w:rPr>
            </w:pPr>
          </w:p>
        </w:tc>
        <w:tc>
          <w:tcPr>
            <w:tcW w:w="380" w:type="dxa"/>
            <w:vAlign w:val="bottom"/>
            <w:tcBorders>
              <w:right w:val="single" w:sz="8" w:color="2360A6"/>
            </w:tcBorders>
            <w:shd w:val="clear" w:color="auto" w:fill="F2F2F2"/>
          </w:tcPr>
          <w:p>
            <w:pPr>
              <w:spacing w:after="0"/>
              <w:rPr>
                <w:sz w:val="10"/>
                <w:szCs w:val="10"/>
                <w:color w:val="auto"/>
              </w:rPr>
            </w:pPr>
          </w:p>
        </w:tc>
        <w:tc>
          <w:tcPr>
            <w:tcW w:w="640" w:type="dxa"/>
            <w:vAlign w:val="bottom"/>
            <w:tcBorders>
              <w:right w:val="single" w:sz="8" w:color="2360A6"/>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2013</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53,100</w:t>
            </w:r>
          </w:p>
        </w:tc>
        <w:tc>
          <w:tcPr>
            <w:tcW w:w="5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511,600</w:t>
            </w:r>
          </w:p>
        </w:tc>
        <w:tc>
          <w:tcPr>
            <w:tcW w:w="50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10,800</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75,500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338,050</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30,050</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46,157</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413,100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122,192</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489,150</w:t>
            </w:r>
          </w:p>
        </w:tc>
        <w:tc>
          <w:tcPr>
            <w:tcW w:w="52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w:t>
            </w:r>
          </w:p>
        </w:tc>
        <w:tc>
          <w:tcPr>
            <w:tcW w:w="38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w:t>
            </w:r>
          </w:p>
        </w:tc>
        <w:tc>
          <w:tcPr>
            <w:tcW w:w="42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b w:val="1"/>
                <w:bCs w:val="1"/>
                <w:color w:val="2360A6"/>
              </w:rPr>
              <w:t>—</w:t>
            </w:r>
          </w:p>
        </w:tc>
        <w:tc>
          <w:tcPr>
            <w:tcW w:w="38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b w:val="1"/>
                <w:bCs w:val="1"/>
                <w:color w:val="2360A6"/>
              </w:rPr>
              <w:t>—</w:t>
            </w:r>
          </w:p>
        </w:tc>
        <w:tc>
          <w:tcPr>
            <w:tcW w:w="64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2,089,699</w:t>
            </w:r>
          </w:p>
        </w:tc>
        <w:tc>
          <w:tcPr>
            <w:tcW w:w="0" w:type="dxa"/>
            <w:vAlign w:val="bottom"/>
          </w:tcPr>
          <w:p>
            <w:pPr>
              <w:spacing w:after="0"/>
              <w:rPr>
                <w:sz w:val="1"/>
                <w:szCs w:val="1"/>
                <w:color w:val="auto"/>
              </w:rPr>
            </w:pPr>
          </w:p>
        </w:tc>
      </w:tr>
      <w:tr>
        <w:trPr>
          <w:trHeight w:val="210"/>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Shares Granted</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2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2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73,700</w:t>
            </w:r>
          </w:p>
        </w:tc>
        <w:tc>
          <w:tcPr>
            <w:tcW w:w="3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50,400</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20" w:type="dxa"/>
            <w:vAlign w:val="bottom"/>
            <w:tcBorders>
              <w:top w:val="single" w:sz="8" w:color="2360A6"/>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w:t>
            </w:r>
          </w:p>
        </w:tc>
        <w:tc>
          <w:tcPr>
            <w:tcW w:w="380" w:type="dxa"/>
            <w:vAlign w:val="bottom"/>
            <w:tcBorders>
              <w:top w:val="single" w:sz="8" w:color="2360A6"/>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w:t>
            </w:r>
          </w:p>
        </w:tc>
        <w:tc>
          <w:tcPr>
            <w:tcW w:w="64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124,100</w:t>
            </w:r>
          </w:p>
        </w:tc>
        <w:tc>
          <w:tcPr>
            <w:tcW w:w="0" w:type="dxa"/>
            <w:vAlign w:val="bottom"/>
          </w:tcPr>
          <w:p>
            <w:pPr>
              <w:spacing w:after="0"/>
              <w:rPr>
                <w:sz w:val="1"/>
                <w:szCs w:val="1"/>
                <w:color w:val="auto"/>
              </w:rPr>
            </w:pPr>
          </w:p>
        </w:tc>
      </w:tr>
      <w:tr>
        <w:trPr>
          <w:trHeight w:val="210"/>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w w:val="99"/>
              </w:rPr>
              <w:t>Share Exercised</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(51,300)</w:t>
            </w:r>
          </w:p>
        </w:tc>
        <w:tc>
          <w:tcPr>
            <w:tcW w:w="52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w w:val="97"/>
              </w:rPr>
              <w:t>(505,800)</w:t>
            </w:r>
          </w:p>
        </w:tc>
        <w:tc>
          <w:tcPr>
            <w:tcW w:w="50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(10,800)</w:t>
            </w:r>
          </w:p>
        </w:tc>
        <w:tc>
          <w:tcPr>
            <w:tcW w:w="4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(22,600)</w:t>
            </w:r>
          </w:p>
        </w:tc>
        <w:tc>
          <w:tcPr>
            <w:tcW w:w="54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(124,200)</w:t>
            </w:r>
          </w:p>
        </w:tc>
        <w:tc>
          <w:tcPr>
            <w:tcW w:w="50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(6,400)</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(550)</w:t>
            </w:r>
          </w:p>
        </w:tc>
        <w:tc>
          <w:tcPr>
            <w:tcW w:w="54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(150)</w:t>
            </w:r>
          </w:p>
        </w:tc>
        <w:tc>
          <w:tcPr>
            <w:tcW w:w="52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3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20" w:type="dxa"/>
            <w:vAlign w:val="bottom"/>
            <w:tcBorders>
              <w:top w:val="single" w:sz="8" w:color="2360A6"/>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w:t>
            </w:r>
          </w:p>
        </w:tc>
        <w:tc>
          <w:tcPr>
            <w:tcW w:w="380" w:type="dxa"/>
            <w:vAlign w:val="bottom"/>
            <w:tcBorders>
              <w:top w:val="single" w:sz="8" w:color="2360A6"/>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w:t>
            </w:r>
          </w:p>
        </w:tc>
        <w:tc>
          <w:tcPr>
            <w:tcW w:w="64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(721,800)</w:t>
            </w:r>
          </w:p>
        </w:tc>
        <w:tc>
          <w:tcPr>
            <w:tcW w:w="0" w:type="dxa"/>
            <w:vAlign w:val="bottom"/>
          </w:tcPr>
          <w:p>
            <w:pPr>
              <w:spacing w:after="0"/>
              <w:rPr>
                <w:sz w:val="1"/>
                <w:szCs w:val="1"/>
                <w:color w:val="auto"/>
              </w:rPr>
            </w:pPr>
          </w:p>
        </w:tc>
      </w:tr>
      <w:tr>
        <w:trPr>
          <w:trHeight w:val="152"/>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Shares</w:t>
            </w: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52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8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8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20" w:type="dxa"/>
            <w:vAlign w:val="bottom"/>
            <w:tcBorders>
              <w:top w:val="single" w:sz="8" w:color="2360A6"/>
              <w:right w:val="single" w:sz="8" w:color="2360A6"/>
            </w:tcBorders>
          </w:tcPr>
          <w:p>
            <w:pPr>
              <w:spacing w:after="0"/>
              <w:rPr>
                <w:sz w:val="13"/>
                <w:szCs w:val="13"/>
                <w:color w:val="auto"/>
              </w:rPr>
            </w:pPr>
          </w:p>
        </w:tc>
        <w:tc>
          <w:tcPr>
            <w:tcW w:w="38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20" w:type="dxa"/>
            <w:vAlign w:val="bottom"/>
            <w:tcBorders>
              <w:top w:val="single" w:sz="8" w:color="2360A6"/>
              <w:right w:val="single" w:sz="8" w:color="2360A6"/>
            </w:tcBorders>
            <w:shd w:val="clear" w:color="auto" w:fill="F2F2F2"/>
          </w:tcPr>
          <w:p>
            <w:pPr>
              <w:spacing w:after="0"/>
              <w:rPr>
                <w:sz w:val="13"/>
                <w:szCs w:val="13"/>
                <w:color w:val="auto"/>
              </w:rPr>
            </w:pPr>
          </w:p>
        </w:tc>
        <w:tc>
          <w:tcPr>
            <w:tcW w:w="380" w:type="dxa"/>
            <w:vAlign w:val="bottom"/>
            <w:tcBorders>
              <w:top w:val="single" w:sz="8" w:color="2360A6"/>
              <w:right w:val="single" w:sz="8" w:color="2360A6"/>
            </w:tcBorders>
            <w:shd w:val="clear" w:color="auto" w:fill="F2F2F2"/>
          </w:tcPr>
          <w:p>
            <w:pPr>
              <w:spacing w:after="0"/>
              <w:rPr>
                <w:sz w:val="13"/>
                <w:szCs w:val="13"/>
                <w:color w:val="auto"/>
              </w:rPr>
            </w:pPr>
          </w:p>
        </w:tc>
        <w:tc>
          <w:tcPr>
            <w:tcW w:w="640" w:type="dxa"/>
            <w:vAlign w:val="bottom"/>
            <w:tcBorders>
              <w:top w:val="single" w:sz="8" w:color="2360A6"/>
              <w:right w:val="single" w:sz="8" w:color="2360A6"/>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Cancelled</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(1,800)</w:t>
            </w:r>
          </w:p>
        </w:tc>
        <w:tc>
          <w:tcPr>
            <w:tcW w:w="52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(5,800)</w:t>
            </w:r>
          </w:p>
        </w:tc>
        <w:tc>
          <w:tcPr>
            <w:tcW w:w="50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4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(1,400)</w:t>
            </w:r>
          </w:p>
        </w:tc>
        <w:tc>
          <w:tcPr>
            <w:tcW w:w="54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(5,300)</w:t>
            </w:r>
          </w:p>
        </w:tc>
        <w:tc>
          <w:tcPr>
            <w:tcW w:w="50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(900)</w:t>
            </w:r>
          </w:p>
        </w:tc>
        <w:tc>
          <w:tcPr>
            <w:tcW w:w="4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(550)</w:t>
            </w:r>
          </w:p>
        </w:tc>
        <w:tc>
          <w:tcPr>
            <w:tcW w:w="5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(6,850)</w:t>
            </w:r>
          </w:p>
        </w:tc>
        <w:tc>
          <w:tcPr>
            <w:tcW w:w="5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(3,503)</w:t>
            </w:r>
          </w:p>
        </w:tc>
        <w:tc>
          <w:tcPr>
            <w:tcW w:w="5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(7,800)</w:t>
            </w:r>
          </w:p>
        </w:tc>
        <w:tc>
          <w:tcPr>
            <w:tcW w:w="5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(2,250)</w:t>
            </w:r>
          </w:p>
        </w:tc>
        <w:tc>
          <w:tcPr>
            <w:tcW w:w="3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2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w:t>
            </w:r>
          </w:p>
        </w:tc>
        <w:tc>
          <w:tcPr>
            <w:tcW w:w="38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w:t>
            </w:r>
          </w:p>
        </w:tc>
        <w:tc>
          <w:tcPr>
            <w:tcW w:w="6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(36,153)</w:t>
            </w:r>
          </w:p>
        </w:tc>
        <w:tc>
          <w:tcPr>
            <w:tcW w:w="0" w:type="dxa"/>
            <w:vAlign w:val="bottom"/>
          </w:tcPr>
          <w:p>
            <w:pPr>
              <w:spacing w:after="0"/>
              <w:rPr>
                <w:sz w:val="1"/>
                <w:szCs w:val="1"/>
                <w:color w:val="auto"/>
              </w:rPr>
            </w:pPr>
          </w:p>
        </w:tc>
      </w:tr>
      <w:tr>
        <w:trPr>
          <w:trHeight w:val="154"/>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Outstanding</w:t>
            </w: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52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8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8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20" w:type="dxa"/>
            <w:vAlign w:val="bottom"/>
            <w:tcBorders>
              <w:top w:val="single" w:sz="8" w:color="2360A6"/>
              <w:right w:val="single" w:sz="8" w:color="2360A6"/>
            </w:tcBorders>
          </w:tcPr>
          <w:p>
            <w:pPr>
              <w:spacing w:after="0"/>
              <w:rPr>
                <w:sz w:val="13"/>
                <w:szCs w:val="13"/>
                <w:color w:val="auto"/>
              </w:rPr>
            </w:pPr>
          </w:p>
        </w:tc>
        <w:tc>
          <w:tcPr>
            <w:tcW w:w="38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20" w:type="dxa"/>
            <w:vAlign w:val="bottom"/>
            <w:tcBorders>
              <w:top w:val="single" w:sz="8" w:color="2360A6"/>
              <w:right w:val="single" w:sz="8" w:color="2360A6"/>
            </w:tcBorders>
            <w:shd w:val="clear" w:color="auto" w:fill="F2F2F2"/>
          </w:tcPr>
          <w:p>
            <w:pPr>
              <w:spacing w:after="0"/>
              <w:rPr>
                <w:sz w:val="13"/>
                <w:szCs w:val="13"/>
                <w:color w:val="auto"/>
              </w:rPr>
            </w:pPr>
          </w:p>
        </w:tc>
        <w:tc>
          <w:tcPr>
            <w:tcW w:w="380" w:type="dxa"/>
            <w:vAlign w:val="bottom"/>
            <w:tcBorders>
              <w:top w:val="single" w:sz="8" w:color="2360A6"/>
              <w:right w:val="single" w:sz="8" w:color="2360A6"/>
            </w:tcBorders>
            <w:shd w:val="clear" w:color="auto" w:fill="F2F2F2"/>
          </w:tcPr>
          <w:p>
            <w:pPr>
              <w:spacing w:after="0"/>
              <w:rPr>
                <w:sz w:val="13"/>
                <w:szCs w:val="13"/>
                <w:color w:val="auto"/>
              </w:rPr>
            </w:pPr>
          </w:p>
        </w:tc>
        <w:tc>
          <w:tcPr>
            <w:tcW w:w="640" w:type="dxa"/>
            <w:vAlign w:val="bottom"/>
            <w:tcBorders>
              <w:top w:val="single" w:sz="8" w:color="2360A6"/>
              <w:right w:val="single" w:sz="8" w:color="2360A6"/>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tcBorders>
              <w:left w:val="single" w:sz="8" w:color="2360A6"/>
              <w:right w:val="single" w:sz="8" w:color="2360A6"/>
            </w:tcBorders>
          </w:tcPr>
          <w:p>
            <w:pPr>
              <w:ind w:left="40"/>
              <w:spacing w:after="0" w:line="122" w:lineRule="exact"/>
              <w:rPr>
                <w:sz w:val="20"/>
                <w:szCs w:val="20"/>
                <w:color w:val="auto"/>
              </w:rPr>
            </w:pPr>
            <w:r>
              <w:rPr>
                <w:rFonts w:ascii="Arial" w:cs="Arial" w:eastAsia="Arial" w:hAnsi="Arial"/>
                <w:sz w:val="11"/>
                <w:szCs w:val="11"/>
                <w:b w:val="1"/>
                <w:bCs w:val="1"/>
                <w:color w:val="2360A6"/>
              </w:rPr>
              <w:t>Shares as of</w:t>
            </w: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38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20" w:type="dxa"/>
            <w:vAlign w:val="bottom"/>
            <w:tcBorders>
              <w:right w:val="single" w:sz="8" w:color="2360A6"/>
            </w:tcBorders>
            <w:shd w:val="clear" w:color="auto" w:fill="F2F2F2"/>
          </w:tcPr>
          <w:p>
            <w:pPr>
              <w:spacing w:after="0"/>
              <w:rPr>
                <w:sz w:val="10"/>
                <w:szCs w:val="10"/>
                <w:color w:val="auto"/>
              </w:rPr>
            </w:pPr>
          </w:p>
        </w:tc>
        <w:tc>
          <w:tcPr>
            <w:tcW w:w="380" w:type="dxa"/>
            <w:vAlign w:val="bottom"/>
            <w:tcBorders>
              <w:right w:val="single" w:sz="8" w:color="2360A6"/>
            </w:tcBorders>
            <w:shd w:val="clear" w:color="auto" w:fill="F2F2F2"/>
          </w:tcPr>
          <w:p>
            <w:pPr>
              <w:spacing w:after="0"/>
              <w:rPr>
                <w:sz w:val="10"/>
                <w:szCs w:val="10"/>
                <w:color w:val="auto"/>
              </w:rPr>
            </w:pPr>
          </w:p>
        </w:tc>
        <w:tc>
          <w:tcPr>
            <w:tcW w:w="640" w:type="dxa"/>
            <w:vAlign w:val="bottom"/>
            <w:tcBorders>
              <w:right w:val="single" w:sz="8" w:color="2360A6"/>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80" w:type="dxa"/>
            <w:vAlign w:val="bottom"/>
            <w:tcBorders>
              <w:left w:val="single" w:sz="8" w:color="2360A6"/>
              <w:right w:val="single" w:sz="8" w:color="2360A6"/>
            </w:tcBorders>
          </w:tcPr>
          <w:p>
            <w:pPr>
              <w:ind w:left="40"/>
              <w:spacing w:after="0" w:line="122" w:lineRule="exact"/>
              <w:rPr>
                <w:sz w:val="20"/>
                <w:szCs w:val="20"/>
                <w:color w:val="auto"/>
              </w:rPr>
            </w:pPr>
            <w:r>
              <w:rPr>
                <w:rFonts w:ascii="Arial" w:cs="Arial" w:eastAsia="Arial" w:hAnsi="Arial"/>
                <w:sz w:val="11"/>
                <w:szCs w:val="11"/>
                <w:b w:val="1"/>
                <w:bCs w:val="1"/>
                <w:color w:val="2360A6"/>
              </w:rPr>
              <w:t>December 31,</w:t>
            </w: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38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20" w:type="dxa"/>
            <w:vAlign w:val="bottom"/>
            <w:tcBorders>
              <w:right w:val="single" w:sz="8" w:color="2360A6"/>
            </w:tcBorders>
            <w:shd w:val="clear" w:color="auto" w:fill="F2F2F2"/>
          </w:tcPr>
          <w:p>
            <w:pPr>
              <w:spacing w:after="0"/>
              <w:rPr>
                <w:sz w:val="10"/>
                <w:szCs w:val="10"/>
                <w:color w:val="auto"/>
              </w:rPr>
            </w:pPr>
          </w:p>
        </w:tc>
        <w:tc>
          <w:tcPr>
            <w:tcW w:w="380" w:type="dxa"/>
            <w:vAlign w:val="bottom"/>
            <w:tcBorders>
              <w:right w:val="single" w:sz="8" w:color="2360A6"/>
            </w:tcBorders>
            <w:shd w:val="clear" w:color="auto" w:fill="F2F2F2"/>
          </w:tcPr>
          <w:p>
            <w:pPr>
              <w:spacing w:after="0"/>
              <w:rPr>
                <w:sz w:val="10"/>
                <w:szCs w:val="10"/>
                <w:color w:val="auto"/>
              </w:rPr>
            </w:pPr>
          </w:p>
        </w:tc>
        <w:tc>
          <w:tcPr>
            <w:tcW w:w="640" w:type="dxa"/>
            <w:vAlign w:val="bottom"/>
            <w:tcBorders>
              <w:right w:val="single" w:sz="8" w:color="2360A6"/>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2014</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w:t>
            </w:r>
          </w:p>
        </w:tc>
        <w:tc>
          <w:tcPr>
            <w:tcW w:w="5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50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51,500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208,550</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22,750</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45,607</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406,250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118,139</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481,200</w:t>
            </w:r>
          </w:p>
        </w:tc>
        <w:tc>
          <w:tcPr>
            <w:tcW w:w="52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71,450</w:t>
            </w:r>
          </w:p>
        </w:tc>
        <w:tc>
          <w:tcPr>
            <w:tcW w:w="38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50,400</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w:t>
            </w:r>
          </w:p>
        </w:tc>
        <w:tc>
          <w:tcPr>
            <w:tcW w:w="42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b w:val="1"/>
                <w:bCs w:val="1"/>
                <w:color w:val="2360A6"/>
              </w:rPr>
              <w:t>—</w:t>
            </w:r>
          </w:p>
        </w:tc>
        <w:tc>
          <w:tcPr>
            <w:tcW w:w="38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b w:val="1"/>
                <w:bCs w:val="1"/>
                <w:color w:val="2360A6"/>
              </w:rPr>
              <w:t>—</w:t>
            </w:r>
          </w:p>
        </w:tc>
        <w:tc>
          <w:tcPr>
            <w:tcW w:w="64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1,455,846</w:t>
            </w:r>
          </w:p>
        </w:tc>
        <w:tc>
          <w:tcPr>
            <w:tcW w:w="0" w:type="dxa"/>
            <w:vAlign w:val="bottom"/>
          </w:tcPr>
          <w:p>
            <w:pPr>
              <w:spacing w:after="0"/>
              <w:rPr>
                <w:sz w:val="1"/>
                <w:szCs w:val="1"/>
                <w:color w:val="auto"/>
              </w:rPr>
            </w:pPr>
          </w:p>
        </w:tc>
      </w:tr>
      <w:tr>
        <w:trPr>
          <w:trHeight w:val="210"/>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Shares Granted</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2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2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3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w w:val="95"/>
              </w:rPr>
              <w:t>290,736</w:t>
            </w:r>
          </w:p>
        </w:tc>
        <w:tc>
          <w:tcPr>
            <w:tcW w:w="420" w:type="dxa"/>
            <w:vAlign w:val="bottom"/>
            <w:tcBorders>
              <w:top w:val="single" w:sz="8" w:color="2360A6"/>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b w:val="1"/>
                <w:bCs w:val="1"/>
                <w:color w:val="2360A6"/>
              </w:rPr>
              <w:t>—</w:t>
            </w:r>
          </w:p>
        </w:tc>
        <w:tc>
          <w:tcPr>
            <w:tcW w:w="380" w:type="dxa"/>
            <w:vAlign w:val="bottom"/>
            <w:tcBorders>
              <w:top w:val="single" w:sz="8" w:color="2360A6"/>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b w:val="1"/>
                <w:bCs w:val="1"/>
                <w:color w:val="2360A6"/>
              </w:rPr>
              <w:t>—</w:t>
            </w:r>
          </w:p>
        </w:tc>
        <w:tc>
          <w:tcPr>
            <w:tcW w:w="64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290,736</w:t>
            </w:r>
          </w:p>
        </w:tc>
        <w:tc>
          <w:tcPr>
            <w:tcW w:w="0" w:type="dxa"/>
            <w:vAlign w:val="bottom"/>
          </w:tcPr>
          <w:p>
            <w:pPr>
              <w:spacing w:after="0"/>
              <w:rPr>
                <w:sz w:val="1"/>
                <w:szCs w:val="1"/>
                <w:color w:val="auto"/>
              </w:rPr>
            </w:pPr>
          </w:p>
        </w:tc>
      </w:tr>
      <w:tr>
        <w:trPr>
          <w:trHeight w:val="264"/>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w w:val="99"/>
              </w:rPr>
              <w:t>Share Exercised</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2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4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(51,300)</w:t>
            </w:r>
          </w:p>
        </w:tc>
        <w:tc>
          <w:tcPr>
            <w:tcW w:w="54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(207,650)</w:t>
            </w:r>
          </w:p>
        </w:tc>
        <w:tc>
          <w:tcPr>
            <w:tcW w:w="50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(22,250)</w:t>
            </w:r>
          </w:p>
        </w:tc>
        <w:tc>
          <w:tcPr>
            <w:tcW w:w="4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w w:val="97"/>
              </w:rPr>
              <w:t>(12,900)</w:t>
            </w:r>
          </w:p>
        </w:tc>
        <w:tc>
          <w:tcPr>
            <w:tcW w:w="54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w w:val="97"/>
              </w:rPr>
              <w:t>(151,450)</w:t>
            </w:r>
          </w:p>
        </w:tc>
        <w:tc>
          <w:tcPr>
            <w:tcW w:w="54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(11,850)</w:t>
            </w:r>
          </w:p>
        </w:tc>
        <w:tc>
          <w:tcPr>
            <w:tcW w:w="54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(50)</w:t>
            </w:r>
          </w:p>
        </w:tc>
        <w:tc>
          <w:tcPr>
            <w:tcW w:w="52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3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20" w:type="dxa"/>
            <w:vAlign w:val="bottom"/>
            <w:tcBorders>
              <w:top w:val="single" w:sz="8" w:color="2360A6"/>
              <w:bottom w:val="single" w:sz="8" w:color="F2F2F2"/>
              <w:right w:val="single" w:sz="8" w:color="2360A6"/>
            </w:tcBorders>
            <w:shd w:val="clear" w:color="auto" w:fill="F2F2F2"/>
          </w:tcPr>
          <w:p>
            <w:pPr>
              <w:spacing w:after="0"/>
              <w:rPr>
                <w:sz w:val="22"/>
                <w:szCs w:val="22"/>
                <w:color w:val="auto"/>
              </w:rPr>
            </w:pPr>
          </w:p>
        </w:tc>
        <w:tc>
          <w:tcPr>
            <w:tcW w:w="380" w:type="dxa"/>
            <w:vAlign w:val="bottom"/>
            <w:tcBorders>
              <w:top w:val="single" w:sz="8" w:color="2360A6"/>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w:t>
            </w:r>
          </w:p>
        </w:tc>
        <w:tc>
          <w:tcPr>
            <w:tcW w:w="64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(457,450)</w:t>
            </w:r>
          </w:p>
        </w:tc>
        <w:tc>
          <w:tcPr>
            <w:tcW w:w="0" w:type="dxa"/>
            <w:vAlign w:val="bottom"/>
          </w:tcPr>
          <w:p>
            <w:pPr>
              <w:spacing w:after="0"/>
              <w:rPr>
                <w:sz w:val="1"/>
                <w:szCs w:val="1"/>
                <w:color w:val="auto"/>
              </w:rPr>
            </w:pPr>
          </w:p>
        </w:tc>
      </w:tr>
      <w:tr>
        <w:trPr>
          <w:trHeight w:val="152"/>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Shares</w:t>
            </w: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52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8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8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20" w:type="dxa"/>
            <w:vAlign w:val="bottom"/>
            <w:tcBorders>
              <w:top w:val="single" w:sz="8" w:color="2360A6"/>
              <w:right w:val="single" w:sz="8" w:color="2360A6"/>
            </w:tcBorders>
          </w:tcPr>
          <w:p>
            <w:pPr>
              <w:spacing w:after="0"/>
              <w:rPr>
                <w:sz w:val="13"/>
                <w:szCs w:val="13"/>
                <w:color w:val="auto"/>
              </w:rPr>
            </w:pPr>
          </w:p>
        </w:tc>
        <w:tc>
          <w:tcPr>
            <w:tcW w:w="38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20" w:type="dxa"/>
            <w:vAlign w:val="bottom"/>
            <w:tcBorders>
              <w:top w:val="single" w:sz="8" w:color="2360A6"/>
              <w:right w:val="single" w:sz="8" w:color="2360A6"/>
            </w:tcBorders>
            <w:vMerge w:val="restart"/>
            <w:shd w:val="clear" w:color="auto" w:fill="F2F2F2"/>
          </w:tcPr>
          <w:p>
            <w:pPr>
              <w:jc w:val="right"/>
              <w:spacing w:after="0"/>
              <w:rPr>
                <w:sz w:val="20"/>
                <w:szCs w:val="20"/>
                <w:color w:val="auto"/>
              </w:rPr>
            </w:pPr>
            <w:r>
              <w:rPr>
                <w:rFonts w:ascii="Arial" w:cs="Arial" w:eastAsia="Arial" w:hAnsi="Arial"/>
                <w:sz w:val="11"/>
                <w:szCs w:val="11"/>
                <w:b w:val="1"/>
                <w:bCs w:val="1"/>
                <w:color w:val="2360A6"/>
              </w:rPr>
              <w:t>—</w:t>
            </w:r>
          </w:p>
        </w:tc>
        <w:tc>
          <w:tcPr>
            <w:tcW w:w="380" w:type="dxa"/>
            <w:vAlign w:val="bottom"/>
            <w:tcBorders>
              <w:top w:val="single" w:sz="8" w:color="2360A6"/>
              <w:right w:val="single" w:sz="8" w:color="2360A6"/>
            </w:tcBorders>
            <w:vMerge w:val="restart"/>
            <w:shd w:val="clear" w:color="auto" w:fill="F2F2F2"/>
          </w:tcPr>
          <w:p>
            <w:pPr>
              <w:jc w:val="right"/>
              <w:spacing w:after="0"/>
              <w:rPr>
                <w:sz w:val="20"/>
                <w:szCs w:val="20"/>
                <w:color w:val="auto"/>
              </w:rPr>
            </w:pPr>
            <w:r>
              <w:rPr>
                <w:rFonts w:ascii="Arial" w:cs="Arial" w:eastAsia="Arial" w:hAnsi="Arial"/>
                <w:sz w:val="11"/>
                <w:szCs w:val="11"/>
                <w:b w:val="1"/>
                <w:bCs w:val="1"/>
                <w:color w:val="2360A6"/>
              </w:rPr>
              <w:t>—</w:t>
            </w:r>
          </w:p>
        </w:tc>
        <w:tc>
          <w:tcPr>
            <w:tcW w:w="640" w:type="dxa"/>
            <w:vAlign w:val="bottom"/>
            <w:tcBorders>
              <w:top w:val="single" w:sz="8" w:color="2360A6"/>
              <w:right w:val="single" w:sz="8" w:color="2360A6"/>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Cancelled</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4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(200)</w:t>
            </w:r>
          </w:p>
        </w:tc>
        <w:tc>
          <w:tcPr>
            <w:tcW w:w="54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(900)</w:t>
            </w:r>
          </w:p>
        </w:tc>
        <w:tc>
          <w:tcPr>
            <w:tcW w:w="50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(500)</w:t>
            </w:r>
          </w:p>
        </w:tc>
        <w:tc>
          <w:tcPr>
            <w:tcW w:w="4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(600)</w:t>
            </w:r>
          </w:p>
        </w:tc>
        <w:tc>
          <w:tcPr>
            <w:tcW w:w="5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(7,500)</w:t>
            </w:r>
          </w:p>
        </w:tc>
        <w:tc>
          <w:tcPr>
            <w:tcW w:w="5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(3,550)</w:t>
            </w:r>
          </w:p>
        </w:tc>
        <w:tc>
          <w:tcPr>
            <w:tcW w:w="5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(23,750)</w:t>
            </w:r>
          </w:p>
        </w:tc>
        <w:tc>
          <w:tcPr>
            <w:tcW w:w="5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(300)</w:t>
            </w:r>
          </w:p>
        </w:tc>
        <w:tc>
          <w:tcPr>
            <w:tcW w:w="3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w:t>
            </w:r>
          </w:p>
        </w:tc>
        <w:tc>
          <w:tcPr>
            <w:tcW w:w="50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(120)</w:t>
            </w:r>
          </w:p>
        </w:tc>
        <w:tc>
          <w:tcPr>
            <w:tcW w:w="420" w:type="dxa"/>
            <w:vAlign w:val="bottom"/>
            <w:tcBorders>
              <w:bottom w:val="single" w:sz="8" w:color="F2F2F2"/>
              <w:right w:val="single" w:sz="8" w:color="2360A6"/>
            </w:tcBorders>
            <w:vMerge w:val="continue"/>
            <w:shd w:val="clear" w:color="auto" w:fill="F2F2F2"/>
          </w:tcPr>
          <w:p>
            <w:pPr>
              <w:spacing w:after="0"/>
              <w:rPr>
                <w:sz w:val="13"/>
                <w:szCs w:val="13"/>
                <w:color w:val="auto"/>
              </w:rPr>
            </w:pPr>
          </w:p>
        </w:tc>
        <w:tc>
          <w:tcPr>
            <w:tcW w:w="380" w:type="dxa"/>
            <w:vAlign w:val="bottom"/>
            <w:tcBorders>
              <w:bottom w:val="single" w:sz="8" w:color="F2F2F2"/>
              <w:right w:val="single" w:sz="8" w:color="2360A6"/>
            </w:tcBorders>
            <w:vMerge w:val="continue"/>
            <w:shd w:val="clear" w:color="auto" w:fill="F2F2F2"/>
          </w:tcPr>
          <w:p>
            <w:pPr>
              <w:spacing w:after="0"/>
              <w:rPr>
                <w:sz w:val="13"/>
                <w:szCs w:val="13"/>
                <w:color w:val="auto"/>
              </w:rPr>
            </w:pPr>
          </w:p>
        </w:tc>
        <w:tc>
          <w:tcPr>
            <w:tcW w:w="6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(37,420)</w:t>
            </w:r>
          </w:p>
        </w:tc>
        <w:tc>
          <w:tcPr>
            <w:tcW w:w="0" w:type="dxa"/>
            <w:vAlign w:val="bottom"/>
          </w:tcPr>
          <w:p>
            <w:pPr>
              <w:spacing w:after="0"/>
              <w:rPr>
                <w:sz w:val="1"/>
                <w:szCs w:val="1"/>
                <w:color w:val="auto"/>
              </w:rPr>
            </w:pPr>
          </w:p>
        </w:tc>
      </w:tr>
      <w:tr>
        <w:trPr>
          <w:trHeight w:val="248"/>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Outstanding</w:t>
            </w:r>
          </w:p>
        </w:tc>
        <w:tc>
          <w:tcPr>
            <w:tcW w:w="540" w:type="dxa"/>
            <w:vAlign w:val="bottom"/>
            <w:tcBorders>
              <w:top w:val="single" w:sz="8" w:color="2360A6"/>
              <w:right w:val="single" w:sz="8" w:color="2360A6"/>
            </w:tcBorders>
          </w:tcPr>
          <w:p>
            <w:pPr>
              <w:spacing w:after="0"/>
              <w:rPr>
                <w:sz w:val="21"/>
                <w:szCs w:val="21"/>
                <w:color w:val="auto"/>
              </w:rPr>
            </w:pPr>
          </w:p>
        </w:tc>
        <w:tc>
          <w:tcPr>
            <w:tcW w:w="540" w:type="dxa"/>
            <w:vAlign w:val="bottom"/>
            <w:tcBorders>
              <w:top w:val="single" w:sz="8" w:color="2360A6"/>
              <w:right w:val="single" w:sz="8" w:color="2360A6"/>
            </w:tcBorders>
          </w:tcPr>
          <w:p>
            <w:pPr>
              <w:spacing w:after="0"/>
              <w:rPr>
                <w:sz w:val="21"/>
                <w:szCs w:val="21"/>
                <w:color w:val="auto"/>
              </w:rPr>
            </w:pPr>
          </w:p>
        </w:tc>
        <w:tc>
          <w:tcPr>
            <w:tcW w:w="500" w:type="dxa"/>
            <w:vAlign w:val="bottom"/>
            <w:tcBorders>
              <w:top w:val="single" w:sz="8" w:color="2360A6"/>
              <w:right w:val="single" w:sz="8" w:color="2360A6"/>
            </w:tcBorders>
          </w:tcPr>
          <w:p>
            <w:pPr>
              <w:spacing w:after="0"/>
              <w:rPr>
                <w:sz w:val="21"/>
                <w:szCs w:val="21"/>
                <w:color w:val="auto"/>
              </w:rPr>
            </w:pPr>
          </w:p>
        </w:tc>
        <w:tc>
          <w:tcPr>
            <w:tcW w:w="520" w:type="dxa"/>
            <w:vAlign w:val="bottom"/>
            <w:tcBorders>
              <w:top w:val="single" w:sz="8" w:color="2360A6"/>
              <w:right w:val="single" w:sz="8" w:color="2360A6"/>
            </w:tcBorders>
          </w:tcPr>
          <w:p>
            <w:pPr>
              <w:spacing w:after="0"/>
              <w:rPr>
                <w:sz w:val="21"/>
                <w:szCs w:val="21"/>
                <w:color w:val="auto"/>
              </w:rPr>
            </w:pPr>
          </w:p>
        </w:tc>
        <w:tc>
          <w:tcPr>
            <w:tcW w:w="500" w:type="dxa"/>
            <w:vAlign w:val="bottom"/>
            <w:tcBorders>
              <w:top w:val="single" w:sz="8" w:color="2360A6"/>
              <w:right w:val="single" w:sz="8" w:color="2360A6"/>
            </w:tcBorders>
          </w:tcPr>
          <w:p>
            <w:pPr>
              <w:spacing w:after="0"/>
              <w:rPr>
                <w:sz w:val="21"/>
                <w:szCs w:val="21"/>
                <w:color w:val="auto"/>
              </w:rPr>
            </w:pPr>
          </w:p>
        </w:tc>
        <w:tc>
          <w:tcPr>
            <w:tcW w:w="480" w:type="dxa"/>
            <w:vAlign w:val="bottom"/>
            <w:tcBorders>
              <w:top w:val="single" w:sz="8" w:color="2360A6"/>
              <w:right w:val="single" w:sz="8" w:color="2360A6"/>
            </w:tcBorders>
          </w:tcPr>
          <w:p>
            <w:pPr>
              <w:spacing w:after="0"/>
              <w:rPr>
                <w:sz w:val="21"/>
                <w:szCs w:val="21"/>
                <w:color w:val="auto"/>
              </w:rPr>
            </w:pPr>
          </w:p>
        </w:tc>
        <w:tc>
          <w:tcPr>
            <w:tcW w:w="540" w:type="dxa"/>
            <w:vAlign w:val="bottom"/>
            <w:tcBorders>
              <w:top w:val="single" w:sz="8" w:color="2360A6"/>
              <w:right w:val="single" w:sz="8" w:color="2360A6"/>
            </w:tcBorders>
          </w:tcPr>
          <w:p>
            <w:pPr>
              <w:spacing w:after="0"/>
              <w:rPr>
                <w:sz w:val="21"/>
                <w:szCs w:val="21"/>
                <w:color w:val="auto"/>
              </w:rPr>
            </w:pPr>
          </w:p>
        </w:tc>
        <w:tc>
          <w:tcPr>
            <w:tcW w:w="500" w:type="dxa"/>
            <w:vAlign w:val="bottom"/>
            <w:tcBorders>
              <w:top w:val="single" w:sz="8" w:color="2360A6"/>
              <w:right w:val="single" w:sz="8" w:color="2360A6"/>
            </w:tcBorders>
          </w:tcPr>
          <w:p>
            <w:pPr>
              <w:spacing w:after="0"/>
              <w:rPr>
                <w:sz w:val="21"/>
                <w:szCs w:val="21"/>
                <w:color w:val="auto"/>
              </w:rPr>
            </w:pPr>
          </w:p>
        </w:tc>
        <w:tc>
          <w:tcPr>
            <w:tcW w:w="480" w:type="dxa"/>
            <w:vAlign w:val="bottom"/>
            <w:tcBorders>
              <w:top w:val="single" w:sz="8" w:color="2360A6"/>
              <w:right w:val="single" w:sz="8" w:color="2360A6"/>
            </w:tcBorders>
          </w:tcPr>
          <w:p>
            <w:pPr>
              <w:spacing w:after="0"/>
              <w:rPr>
                <w:sz w:val="21"/>
                <w:szCs w:val="21"/>
                <w:color w:val="auto"/>
              </w:rPr>
            </w:pPr>
          </w:p>
        </w:tc>
        <w:tc>
          <w:tcPr>
            <w:tcW w:w="540" w:type="dxa"/>
            <w:vAlign w:val="bottom"/>
            <w:tcBorders>
              <w:top w:val="single" w:sz="8" w:color="2360A6"/>
              <w:right w:val="single" w:sz="8" w:color="2360A6"/>
            </w:tcBorders>
          </w:tcPr>
          <w:p>
            <w:pPr>
              <w:spacing w:after="0"/>
              <w:rPr>
                <w:sz w:val="21"/>
                <w:szCs w:val="21"/>
                <w:color w:val="auto"/>
              </w:rPr>
            </w:pPr>
          </w:p>
        </w:tc>
        <w:tc>
          <w:tcPr>
            <w:tcW w:w="540" w:type="dxa"/>
            <w:vAlign w:val="bottom"/>
            <w:tcBorders>
              <w:top w:val="single" w:sz="8" w:color="2360A6"/>
              <w:right w:val="single" w:sz="8" w:color="2360A6"/>
            </w:tcBorders>
          </w:tcPr>
          <w:p>
            <w:pPr>
              <w:spacing w:after="0"/>
              <w:rPr>
                <w:sz w:val="21"/>
                <w:szCs w:val="21"/>
                <w:color w:val="auto"/>
              </w:rPr>
            </w:pPr>
          </w:p>
        </w:tc>
        <w:tc>
          <w:tcPr>
            <w:tcW w:w="540" w:type="dxa"/>
            <w:vAlign w:val="bottom"/>
            <w:tcBorders>
              <w:top w:val="single" w:sz="8" w:color="2360A6"/>
              <w:right w:val="single" w:sz="8" w:color="2360A6"/>
            </w:tcBorders>
          </w:tcPr>
          <w:p>
            <w:pPr>
              <w:spacing w:after="0"/>
              <w:rPr>
                <w:sz w:val="21"/>
                <w:szCs w:val="21"/>
                <w:color w:val="auto"/>
              </w:rPr>
            </w:pPr>
          </w:p>
        </w:tc>
        <w:tc>
          <w:tcPr>
            <w:tcW w:w="520" w:type="dxa"/>
            <w:vAlign w:val="bottom"/>
            <w:tcBorders>
              <w:top w:val="single" w:sz="8" w:color="2360A6"/>
              <w:right w:val="single" w:sz="8" w:color="2360A6"/>
            </w:tcBorders>
          </w:tcPr>
          <w:p>
            <w:pPr>
              <w:spacing w:after="0"/>
              <w:rPr>
                <w:sz w:val="21"/>
                <w:szCs w:val="21"/>
                <w:color w:val="auto"/>
              </w:rPr>
            </w:pPr>
          </w:p>
        </w:tc>
        <w:tc>
          <w:tcPr>
            <w:tcW w:w="380" w:type="dxa"/>
            <w:vAlign w:val="bottom"/>
            <w:tcBorders>
              <w:top w:val="single" w:sz="8" w:color="2360A6"/>
              <w:right w:val="single" w:sz="8" w:color="2360A6"/>
            </w:tcBorders>
          </w:tcPr>
          <w:p>
            <w:pPr>
              <w:spacing w:after="0"/>
              <w:rPr>
                <w:sz w:val="21"/>
                <w:szCs w:val="21"/>
                <w:color w:val="auto"/>
              </w:rPr>
            </w:pPr>
          </w:p>
        </w:tc>
        <w:tc>
          <w:tcPr>
            <w:tcW w:w="500" w:type="dxa"/>
            <w:vAlign w:val="bottom"/>
            <w:tcBorders>
              <w:top w:val="single" w:sz="8" w:color="2360A6"/>
              <w:right w:val="single" w:sz="8" w:color="2360A6"/>
            </w:tcBorders>
          </w:tcPr>
          <w:p>
            <w:pPr>
              <w:spacing w:after="0"/>
              <w:rPr>
                <w:sz w:val="21"/>
                <w:szCs w:val="21"/>
                <w:color w:val="auto"/>
              </w:rPr>
            </w:pPr>
          </w:p>
        </w:tc>
        <w:tc>
          <w:tcPr>
            <w:tcW w:w="420" w:type="dxa"/>
            <w:vAlign w:val="bottom"/>
            <w:tcBorders>
              <w:top w:val="single" w:sz="8" w:color="2360A6"/>
              <w:right w:val="single" w:sz="8" w:color="2360A6"/>
            </w:tcBorders>
            <w:shd w:val="clear" w:color="auto" w:fill="F2F2F2"/>
          </w:tcPr>
          <w:p>
            <w:pPr>
              <w:spacing w:after="0"/>
              <w:rPr>
                <w:sz w:val="21"/>
                <w:szCs w:val="21"/>
                <w:color w:val="auto"/>
              </w:rPr>
            </w:pPr>
          </w:p>
        </w:tc>
        <w:tc>
          <w:tcPr>
            <w:tcW w:w="380" w:type="dxa"/>
            <w:vAlign w:val="bottom"/>
            <w:tcBorders>
              <w:top w:val="single" w:sz="8" w:color="2360A6"/>
              <w:right w:val="single" w:sz="8" w:color="2360A6"/>
            </w:tcBorders>
            <w:shd w:val="clear" w:color="auto" w:fill="F2F2F2"/>
          </w:tcPr>
          <w:p>
            <w:pPr>
              <w:spacing w:after="0"/>
              <w:rPr>
                <w:sz w:val="21"/>
                <w:szCs w:val="21"/>
                <w:color w:val="auto"/>
              </w:rPr>
            </w:pPr>
          </w:p>
        </w:tc>
        <w:tc>
          <w:tcPr>
            <w:tcW w:w="640" w:type="dxa"/>
            <w:vAlign w:val="bottom"/>
            <w:tcBorders>
              <w:top w:val="single" w:sz="8" w:color="2360A6"/>
              <w:right w:val="single" w:sz="8" w:color="2360A6"/>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880" w:type="dxa"/>
            <w:vAlign w:val="bottom"/>
            <w:tcBorders>
              <w:left w:val="single" w:sz="8" w:color="2360A6"/>
              <w:right w:val="single" w:sz="8" w:color="2360A6"/>
            </w:tcBorders>
          </w:tcPr>
          <w:p>
            <w:pPr>
              <w:ind w:left="40"/>
              <w:spacing w:after="0" w:line="122" w:lineRule="exact"/>
              <w:rPr>
                <w:sz w:val="20"/>
                <w:szCs w:val="20"/>
                <w:color w:val="auto"/>
              </w:rPr>
            </w:pPr>
            <w:r>
              <w:rPr>
                <w:rFonts w:ascii="Arial" w:cs="Arial" w:eastAsia="Arial" w:hAnsi="Arial"/>
                <w:sz w:val="11"/>
                <w:szCs w:val="11"/>
                <w:b w:val="1"/>
                <w:bCs w:val="1"/>
                <w:color w:val="2360A6"/>
              </w:rPr>
              <w:t>Shares as of</w:t>
            </w: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38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20" w:type="dxa"/>
            <w:vAlign w:val="bottom"/>
            <w:tcBorders>
              <w:right w:val="single" w:sz="8" w:color="2360A6"/>
            </w:tcBorders>
            <w:shd w:val="clear" w:color="auto" w:fill="F2F2F2"/>
          </w:tcPr>
          <w:p>
            <w:pPr>
              <w:spacing w:after="0"/>
              <w:rPr>
                <w:sz w:val="10"/>
                <w:szCs w:val="10"/>
                <w:color w:val="auto"/>
              </w:rPr>
            </w:pPr>
          </w:p>
        </w:tc>
        <w:tc>
          <w:tcPr>
            <w:tcW w:w="380" w:type="dxa"/>
            <w:vAlign w:val="bottom"/>
            <w:tcBorders>
              <w:right w:val="single" w:sz="8" w:color="2360A6"/>
            </w:tcBorders>
            <w:shd w:val="clear" w:color="auto" w:fill="F2F2F2"/>
          </w:tcPr>
          <w:p>
            <w:pPr>
              <w:spacing w:after="0"/>
              <w:rPr>
                <w:sz w:val="10"/>
                <w:szCs w:val="10"/>
                <w:color w:val="auto"/>
              </w:rPr>
            </w:pPr>
          </w:p>
        </w:tc>
        <w:tc>
          <w:tcPr>
            <w:tcW w:w="640" w:type="dxa"/>
            <w:vAlign w:val="bottom"/>
            <w:tcBorders>
              <w:right w:val="single" w:sz="8" w:color="2360A6"/>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80" w:type="dxa"/>
            <w:vAlign w:val="bottom"/>
            <w:tcBorders>
              <w:left w:val="single" w:sz="8" w:color="2360A6"/>
              <w:right w:val="single" w:sz="8" w:color="2360A6"/>
            </w:tcBorders>
          </w:tcPr>
          <w:p>
            <w:pPr>
              <w:ind w:left="40"/>
              <w:spacing w:after="0" w:line="122" w:lineRule="exact"/>
              <w:rPr>
                <w:sz w:val="20"/>
                <w:szCs w:val="20"/>
                <w:color w:val="auto"/>
              </w:rPr>
            </w:pPr>
            <w:r>
              <w:rPr>
                <w:rFonts w:ascii="Arial" w:cs="Arial" w:eastAsia="Arial" w:hAnsi="Arial"/>
                <w:sz w:val="11"/>
                <w:szCs w:val="11"/>
                <w:b w:val="1"/>
                <w:bCs w:val="1"/>
                <w:color w:val="2360A6"/>
              </w:rPr>
              <w:t>December 31,</w:t>
            </w: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8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40" w:type="dxa"/>
            <w:vAlign w:val="bottom"/>
            <w:tcBorders>
              <w:right w:val="single" w:sz="8" w:color="2360A6"/>
            </w:tcBorders>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380" w:type="dxa"/>
            <w:vAlign w:val="bottom"/>
            <w:tcBorders>
              <w:right w:val="single" w:sz="8" w:color="2360A6"/>
            </w:tcBorders>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20" w:type="dxa"/>
            <w:vAlign w:val="bottom"/>
            <w:tcBorders>
              <w:right w:val="single" w:sz="8" w:color="2360A6"/>
            </w:tcBorders>
            <w:shd w:val="clear" w:color="auto" w:fill="F2F2F2"/>
          </w:tcPr>
          <w:p>
            <w:pPr>
              <w:spacing w:after="0"/>
              <w:rPr>
                <w:sz w:val="10"/>
                <w:szCs w:val="10"/>
                <w:color w:val="auto"/>
              </w:rPr>
            </w:pPr>
          </w:p>
        </w:tc>
        <w:tc>
          <w:tcPr>
            <w:tcW w:w="380" w:type="dxa"/>
            <w:vAlign w:val="bottom"/>
            <w:tcBorders>
              <w:right w:val="single" w:sz="8" w:color="2360A6"/>
            </w:tcBorders>
            <w:shd w:val="clear" w:color="auto" w:fill="F2F2F2"/>
          </w:tcPr>
          <w:p>
            <w:pPr>
              <w:spacing w:after="0"/>
              <w:rPr>
                <w:sz w:val="10"/>
                <w:szCs w:val="10"/>
                <w:color w:val="auto"/>
              </w:rPr>
            </w:pPr>
          </w:p>
        </w:tc>
        <w:tc>
          <w:tcPr>
            <w:tcW w:w="640" w:type="dxa"/>
            <w:vAlign w:val="bottom"/>
            <w:tcBorders>
              <w:right w:val="single" w:sz="8" w:color="2360A6"/>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8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1"/>
                <w:szCs w:val="11"/>
                <w:b w:val="1"/>
                <w:bCs w:val="1"/>
                <w:color w:val="2360A6"/>
              </w:rPr>
              <w:t>2015</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w:t>
            </w:r>
          </w:p>
        </w:tc>
        <w:tc>
          <w:tcPr>
            <w:tcW w:w="5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50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32,107</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247,300</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102,739</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b w:val="1"/>
                <w:bCs w:val="1"/>
                <w:color w:val="2360A6"/>
              </w:rPr>
              <w:t>457,400</w:t>
            </w:r>
          </w:p>
        </w:tc>
        <w:tc>
          <w:tcPr>
            <w:tcW w:w="52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71,150</w:t>
            </w:r>
          </w:p>
        </w:tc>
        <w:tc>
          <w:tcPr>
            <w:tcW w:w="38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50,400</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w w:val="95"/>
              </w:rPr>
              <w:t>290,616</w:t>
            </w:r>
          </w:p>
        </w:tc>
        <w:tc>
          <w:tcPr>
            <w:tcW w:w="420" w:type="dxa"/>
            <w:vAlign w:val="bottom"/>
            <w:tcBorders>
              <w:bottom w:val="single" w:sz="8" w:color="F2F2F2"/>
              <w:right w:val="single" w:sz="8" w:color="2360A6"/>
            </w:tcBorders>
            <w:shd w:val="clear" w:color="auto" w:fill="F2F2F2"/>
          </w:tcPr>
          <w:p>
            <w:pPr>
              <w:spacing w:after="0"/>
              <w:rPr>
                <w:sz w:val="14"/>
                <w:szCs w:val="14"/>
                <w:color w:val="auto"/>
              </w:rPr>
            </w:pPr>
          </w:p>
        </w:tc>
        <w:tc>
          <w:tcPr>
            <w:tcW w:w="380" w:type="dxa"/>
            <w:vAlign w:val="bottom"/>
            <w:tcBorders>
              <w:bottom w:val="single" w:sz="8" w:color="F2F2F2"/>
              <w:right w:val="single" w:sz="8" w:color="2360A6"/>
            </w:tcBorders>
            <w:shd w:val="clear" w:color="auto" w:fill="F2F2F2"/>
          </w:tcPr>
          <w:p>
            <w:pPr>
              <w:spacing w:after="0"/>
              <w:rPr>
                <w:sz w:val="14"/>
                <w:szCs w:val="14"/>
                <w:color w:val="auto"/>
              </w:rPr>
            </w:pPr>
          </w:p>
        </w:tc>
        <w:tc>
          <w:tcPr>
            <w:tcW w:w="64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rPr>
              <w:t>1,251,712</w:t>
            </w:r>
          </w:p>
        </w:tc>
        <w:tc>
          <w:tcPr>
            <w:tcW w:w="0" w:type="dxa"/>
            <w:vAlign w:val="bottom"/>
          </w:tcPr>
          <w:p>
            <w:pPr>
              <w:spacing w:after="0"/>
              <w:rPr>
                <w:sz w:val="1"/>
                <w:szCs w:val="1"/>
                <w:color w:val="auto"/>
              </w:rPr>
            </w:pPr>
          </w:p>
        </w:tc>
      </w:tr>
      <w:tr>
        <w:trPr>
          <w:trHeight w:val="210"/>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Shares Granted</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2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2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3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20" w:type="dxa"/>
            <w:vAlign w:val="bottom"/>
            <w:tcBorders>
              <w:top w:val="single" w:sz="8" w:color="2360A6"/>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auto"/>
                <w:w w:val="95"/>
              </w:rPr>
              <w:t>556,826</w:t>
            </w:r>
          </w:p>
        </w:tc>
        <w:tc>
          <w:tcPr>
            <w:tcW w:w="380" w:type="dxa"/>
            <w:vAlign w:val="bottom"/>
            <w:tcBorders>
              <w:top w:val="single" w:sz="8" w:color="2360A6"/>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auto"/>
              </w:rPr>
              <w:t>29,000</w:t>
            </w:r>
          </w:p>
        </w:tc>
        <w:tc>
          <w:tcPr>
            <w:tcW w:w="64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585,826</w:t>
            </w:r>
          </w:p>
        </w:tc>
        <w:tc>
          <w:tcPr>
            <w:tcW w:w="0" w:type="dxa"/>
            <w:vAlign w:val="bottom"/>
          </w:tcPr>
          <w:p>
            <w:pPr>
              <w:spacing w:after="0"/>
              <w:rPr>
                <w:sz w:val="1"/>
                <w:szCs w:val="1"/>
                <w:color w:val="auto"/>
              </w:rPr>
            </w:pPr>
          </w:p>
        </w:tc>
      </w:tr>
      <w:tr>
        <w:trPr>
          <w:trHeight w:val="264"/>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w w:val="99"/>
              </w:rPr>
              <w:t>Share Exercised</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2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48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top w:val="single" w:sz="8" w:color="2360A6"/>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8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w w:val="97"/>
              </w:rPr>
              <w:t>(31,307)</w:t>
            </w:r>
          </w:p>
        </w:tc>
        <w:tc>
          <w:tcPr>
            <w:tcW w:w="54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w w:val="97"/>
              </w:rPr>
              <w:t>(245,550)</w:t>
            </w:r>
          </w:p>
        </w:tc>
        <w:tc>
          <w:tcPr>
            <w:tcW w:w="54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w w:val="97"/>
              </w:rPr>
              <w:t>(102,539)</w:t>
            </w:r>
          </w:p>
        </w:tc>
        <w:tc>
          <w:tcPr>
            <w:tcW w:w="54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w w:val="97"/>
              </w:rPr>
              <w:t>(131,600)</w:t>
            </w:r>
          </w:p>
        </w:tc>
        <w:tc>
          <w:tcPr>
            <w:tcW w:w="52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3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1"/>
                <w:szCs w:val="11"/>
                <w:color w:val="231F20"/>
              </w:rPr>
              <w:t>—</w:t>
            </w:r>
          </w:p>
        </w:tc>
        <w:tc>
          <w:tcPr>
            <w:tcW w:w="500" w:type="dxa"/>
            <w:vAlign w:val="bottom"/>
            <w:tcBorders>
              <w:top w:val="single" w:sz="8" w:color="2360A6"/>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20" w:type="dxa"/>
            <w:vAlign w:val="bottom"/>
            <w:tcBorders>
              <w:top w:val="single" w:sz="8" w:color="2360A6"/>
              <w:bottom w:val="single" w:sz="8" w:color="F2F2F2"/>
              <w:right w:val="single" w:sz="8" w:color="2360A6"/>
            </w:tcBorders>
            <w:shd w:val="clear" w:color="auto" w:fill="F2F2F2"/>
          </w:tcPr>
          <w:p>
            <w:pPr>
              <w:spacing w:after="0"/>
              <w:rPr>
                <w:sz w:val="22"/>
                <w:szCs w:val="22"/>
                <w:color w:val="auto"/>
              </w:rPr>
            </w:pPr>
          </w:p>
        </w:tc>
        <w:tc>
          <w:tcPr>
            <w:tcW w:w="380" w:type="dxa"/>
            <w:vAlign w:val="bottom"/>
            <w:tcBorders>
              <w:top w:val="single" w:sz="8" w:color="2360A6"/>
              <w:bottom w:val="single" w:sz="8" w:color="F2F2F2"/>
              <w:right w:val="single" w:sz="8" w:color="2360A6"/>
            </w:tcBorders>
            <w:shd w:val="clear" w:color="auto" w:fill="F2F2F2"/>
          </w:tcPr>
          <w:p>
            <w:pPr>
              <w:spacing w:after="0"/>
              <w:rPr>
                <w:sz w:val="22"/>
                <w:szCs w:val="22"/>
                <w:color w:val="auto"/>
              </w:rPr>
            </w:pPr>
          </w:p>
        </w:tc>
        <w:tc>
          <w:tcPr>
            <w:tcW w:w="640" w:type="dxa"/>
            <w:vAlign w:val="bottom"/>
            <w:tcBorders>
              <w:top w:val="single" w:sz="8" w:color="2360A6"/>
              <w:right w:val="single" w:sz="8" w:color="2360A6"/>
            </w:tcBorders>
          </w:tcPr>
          <w:p>
            <w:pPr>
              <w:jc w:val="right"/>
              <w:ind w:right="6"/>
              <w:spacing w:after="0"/>
              <w:rPr>
                <w:sz w:val="20"/>
                <w:szCs w:val="20"/>
                <w:color w:val="auto"/>
              </w:rPr>
            </w:pPr>
            <w:r>
              <w:rPr>
                <w:rFonts w:ascii="Arial" w:cs="Arial" w:eastAsia="Arial" w:hAnsi="Arial"/>
                <w:sz w:val="11"/>
                <w:szCs w:val="11"/>
                <w:color w:val="231F20"/>
              </w:rPr>
              <w:t>(510,996)</w:t>
            </w:r>
          </w:p>
        </w:tc>
        <w:tc>
          <w:tcPr>
            <w:tcW w:w="0" w:type="dxa"/>
            <w:vAlign w:val="bottom"/>
          </w:tcPr>
          <w:p>
            <w:pPr>
              <w:spacing w:after="0"/>
              <w:rPr>
                <w:sz w:val="1"/>
                <w:szCs w:val="1"/>
                <w:color w:val="auto"/>
              </w:rPr>
            </w:pPr>
          </w:p>
        </w:tc>
      </w:tr>
      <w:tr>
        <w:trPr>
          <w:trHeight w:val="152"/>
        </w:trPr>
        <w:tc>
          <w:tcPr>
            <w:tcW w:w="880" w:type="dxa"/>
            <w:vAlign w:val="bottom"/>
            <w:tcBorders>
              <w:top w:val="single" w:sz="8" w:color="2360A6"/>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Shares</w:t>
            </w: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52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8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8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40" w:type="dxa"/>
            <w:vAlign w:val="bottom"/>
            <w:tcBorders>
              <w:top w:val="single" w:sz="8" w:color="2360A6"/>
              <w:right w:val="single" w:sz="8" w:color="2360A6"/>
            </w:tcBorders>
          </w:tcPr>
          <w:p>
            <w:pPr>
              <w:spacing w:after="0"/>
              <w:rPr>
                <w:sz w:val="13"/>
                <w:szCs w:val="13"/>
                <w:color w:val="auto"/>
              </w:rPr>
            </w:pPr>
          </w:p>
        </w:tc>
        <w:tc>
          <w:tcPr>
            <w:tcW w:w="520" w:type="dxa"/>
            <w:vAlign w:val="bottom"/>
            <w:tcBorders>
              <w:top w:val="single" w:sz="8" w:color="2360A6"/>
              <w:right w:val="single" w:sz="8" w:color="2360A6"/>
            </w:tcBorders>
          </w:tcPr>
          <w:p>
            <w:pPr>
              <w:spacing w:after="0"/>
              <w:rPr>
                <w:sz w:val="13"/>
                <w:szCs w:val="13"/>
                <w:color w:val="auto"/>
              </w:rPr>
            </w:pPr>
          </w:p>
        </w:tc>
        <w:tc>
          <w:tcPr>
            <w:tcW w:w="380" w:type="dxa"/>
            <w:vAlign w:val="bottom"/>
            <w:tcBorders>
              <w:top w:val="single" w:sz="8" w:color="2360A6"/>
              <w:right w:val="single" w:sz="8" w:color="2360A6"/>
            </w:tcBorders>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20" w:type="dxa"/>
            <w:vAlign w:val="bottom"/>
            <w:tcBorders>
              <w:top w:val="single" w:sz="8" w:color="2360A6"/>
              <w:right w:val="single" w:sz="8" w:color="2360A6"/>
            </w:tcBorders>
            <w:shd w:val="clear" w:color="auto" w:fill="F2F2F2"/>
          </w:tcPr>
          <w:p>
            <w:pPr>
              <w:spacing w:after="0"/>
              <w:rPr>
                <w:sz w:val="13"/>
                <w:szCs w:val="13"/>
                <w:color w:val="auto"/>
              </w:rPr>
            </w:pPr>
          </w:p>
        </w:tc>
        <w:tc>
          <w:tcPr>
            <w:tcW w:w="380" w:type="dxa"/>
            <w:vAlign w:val="bottom"/>
            <w:tcBorders>
              <w:top w:val="single" w:sz="8" w:color="2360A6"/>
              <w:right w:val="single" w:sz="8" w:color="2360A6"/>
            </w:tcBorders>
            <w:shd w:val="clear" w:color="auto" w:fill="F2F2F2"/>
          </w:tcPr>
          <w:p>
            <w:pPr>
              <w:spacing w:after="0"/>
              <w:rPr>
                <w:sz w:val="13"/>
                <w:szCs w:val="13"/>
                <w:color w:val="auto"/>
              </w:rPr>
            </w:pPr>
          </w:p>
        </w:tc>
        <w:tc>
          <w:tcPr>
            <w:tcW w:w="640" w:type="dxa"/>
            <w:vAlign w:val="bottom"/>
            <w:tcBorders>
              <w:top w:val="single" w:sz="8" w:color="2360A6"/>
              <w:right w:val="single" w:sz="8" w:color="2360A6"/>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1"/>
                <w:szCs w:val="11"/>
                <w:color w:val="231F20"/>
              </w:rPr>
              <w:t>Cancelled</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52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48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40" w:type="dxa"/>
            <w:vAlign w:val="bottom"/>
            <w:tcBorders>
              <w:right w:val="single" w:sz="8" w:color="2360A6"/>
            </w:tcBorders>
          </w:tcPr>
          <w:p>
            <w:pPr>
              <w:jc w:val="right"/>
              <w:ind w:right="26"/>
              <w:spacing w:after="0"/>
              <w:rPr>
                <w:sz w:val="20"/>
                <w:szCs w:val="20"/>
                <w:color w:val="auto"/>
              </w:rPr>
            </w:pPr>
            <w:r>
              <w:rPr>
                <w:rFonts w:ascii="Arial" w:cs="Arial" w:eastAsia="Arial" w:hAnsi="Arial"/>
                <w:sz w:val="11"/>
                <w:szCs w:val="11"/>
                <w:color w:val="231F20"/>
              </w:rPr>
              <w:t>—</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color w:val="231F20"/>
              </w:rPr>
              <w:t>—</w:t>
            </w:r>
          </w:p>
        </w:tc>
        <w:tc>
          <w:tcPr>
            <w:tcW w:w="48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auto"/>
              </w:rPr>
              <w:t>(800)</w:t>
            </w:r>
          </w:p>
        </w:tc>
        <w:tc>
          <w:tcPr>
            <w:tcW w:w="5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(1,750)</w:t>
            </w:r>
          </w:p>
        </w:tc>
        <w:tc>
          <w:tcPr>
            <w:tcW w:w="5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(200)</w:t>
            </w:r>
          </w:p>
        </w:tc>
        <w:tc>
          <w:tcPr>
            <w:tcW w:w="5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(7,000)</w:t>
            </w:r>
          </w:p>
        </w:tc>
        <w:tc>
          <w:tcPr>
            <w:tcW w:w="52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(1,000)</w:t>
            </w:r>
          </w:p>
        </w:tc>
        <w:tc>
          <w:tcPr>
            <w:tcW w:w="380" w:type="dxa"/>
            <w:vAlign w:val="bottom"/>
            <w:tcBorders>
              <w:right w:val="single" w:sz="8" w:color="2360A6"/>
            </w:tcBorders>
          </w:tcPr>
          <w:p>
            <w:pPr>
              <w:jc w:val="right"/>
              <w:spacing w:after="0"/>
              <w:rPr>
                <w:sz w:val="20"/>
                <w:szCs w:val="20"/>
                <w:color w:val="auto"/>
              </w:rPr>
            </w:pPr>
            <w:r>
              <w:rPr>
                <w:rFonts w:ascii="Arial" w:cs="Arial" w:eastAsia="Arial" w:hAnsi="Arial"/>
                <w:sz w:val="11"/>
                <w:szCs w:val="11"/>
                <w:color w:val="231F20"/>
              </w:rPr>
              <w:t>—</w:t>
            </w:r>
          </w:p>
        </w:tc>
        <w:tc>
          <w:tcPr>
            <w:tcW w:w="50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(1,225)</w:t>
            </w:r>
          </w:p>
        </w:tc>
        <w:tc>
          <w:tcPr>
            <w:tcW w:w="42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color w:val="231F20"/>
              </w:rPr>
              <w:t>—</w:t>
            </w:r>
          </w:p>
        </w:tc>
        <w:tc>
          <w:tcPr>
            <w:tcW w:w="380" w:type="dxa"/>
            <w:vAlign w:val="bottom"/>
            <w:tcBorders>
              <w:bottom w:val="single" w:sz="8" w:color="F2F2F2"/>
              <w:right w:val="single" w:sz="8" w:color="2360A6"/>
            </w:tcBorders>
            <w:shd w:val="clear" w:color="auto" w:fill="F2F2F2"/>
          </w:tcPr>
          <w:p>
            <w:pPr>
              <w:spacing w:after="0"/>
              <w:rPr>
                <w:sz w:val="13"/>
                <w:szCs w:val="13"/>
                <w:color w:val="auto"/>
              </w:rPr>
            </w:pPr>
          </w:p>
        </w:tc>
        <w:tc>
          <w:tcPr>
            <w:tcW w:w="640" w:type="dxa"/>
            <w:vAlign w:val="bottom"/>
            <w:tcBorders>
              <w:right w:val="single" w:sz="8" w:color="2360A6"/>
            </w:tcBorders>
          </w:tcPr>
          <w:p>
            <w:pPr>
              <w:jc w:val="right"/>
              <w:ind w:right="6"/>
              <w:spacing w:after="0"/>
              <w:rPr>
                <w:sz w:val="20"/>
                <w:szCs w:val="20"/>
                <w:color w:val="auto"/>
              </w:rPr>
            </w:pPr>
            <w:r>
              <w:rPr>
                <w:rFonts w:ascii="Arial" w:cs="Arial" w:eastAsia="Arial" w:hAnsi="Arial"/>
                <w:sz w:val="11"/>
                <w:szCs w:val="11"/>
                <w:color w:val="231F20"/>
              </w:rPr>
              <w:t>(11,975)</w:t>
            </w:r>
          </w:p>
        </w:tc>
        <w:tc>
          <w:tcPr>
            <w:tcW w:w="0" w:type="dxa"/>
            <w:vAlign w:val="bottom"/>
          </w:tcPr>
          <w:p>
            <w:pPr>
              <w:spacing w:after="0"/>
              <w:rPr>
                <w:sz w:val="1"/>
                <w:szCs w:val="1"/>
                <w:color w:val="auto"/>
              </w:rPr>
            </w:pPr>
          </w:p>
        </w:tc>
      </w:tr>
      <w:tr>
        <w:trPr>
          <w:trHeight w:val="154"/>
        </w:trPr>
        <w:tc>
          <w:tcPr>
            <w:tcW w:w="880" w:type="dxa"/>
            <w:vAlign w:val="bottom"/>
            <w:tcBorders>
              <w:top w:val="single" w:sz="8" w:color="2360A6"/>
              <w:left w:val="single" w:sz="8" w:color="2360A6"/>
              <w:right w:val="single" w:sz="8" w:color="2360A6"/>
            </w:tcBorders>
            <w:shd w:val="clear" w:color="auto" w:fill="EDEDEE"/>
          </w:tcPr>
          <w:p>
            <w:pPr>
              <w:ind w:left="40"/>
              <w:spacing w:after="0"/>
              <w:rPr>
                <w:sz w:val="20"/>
                <w:szCs w:val="20"/>
                <w:color w:val="auto"/>
              </w:rPr>
            </w:pPr>
            <w:r>
              <w:rPr>
                <w:rFonts w:ascii="Arial" w:cs="Arial" w:eastAsia="Arial" w:hAnsi="Arial"/>
                <w:sz w:val="11"/>
                <w:szCs w:val="11"/>
                <w:b w:val="1"/>
                <w:bCs w:val="1"/>
                <w:color w:val="2360A6"/>
                <w:w w:val="99"/>
              </w:rPr>
              <w:t>OUTSTANDING</w:t>
            </w:r>
          </w:p>
        </w:tc>
        <w:tc>
          <w:tcPr>
            <w:tcW w:w="540" w:type="dxa"/>
            <w:vAlign w:val="bottom"/>
            <w:tcBorders>
              <w:top w:val="single" w:sz="8" w:color="2360A6"/>
              <w:right w:val="single" w:sz="8" w:color="2360A6"/>
            </w:tcBorders>
            <w:shd w:val="clear" w:color="auto" w:fill="EDEDEE"/>
          </w:tcPr>
          <w:p>
            <w:pPr>
              <w:spacing w:after="0"/>
              <w:rPr>
                <w:sz w:val="13"/>
                <w:szCs w:val="13"/>
                <w:color w:val="auto"/>
              </w:rPr>
            </w:pPr>
          </w:p>
        </w:tc>
        <w:tc>
          <w:tcPr>
            <w:tcW w:w="540" w:type="dxa"/>
            <w:vAlign w:val="bottom"/>
            <w:tcBorders>
              <w:top w:val="single" w:sz="8" w:color="2360A6"/>
              <w:right w:val="single" w:sz="8" w:color="2360A6"/>
            </w:tcBorders>
            <w:shd w:val="clear" w:color="auto" w:fill="EDEDEE"/>
          </w:tcPr>
          <w:p>
            <w:pPr>
              <w:spacing w:after="0"/>
              <w:rPr>
                <w:sz w:val="13"/>
                <w:szCs w:val="13"/>
                <w:color w:val="auto"/>
              </w:rPr>
            </w:pPr>
          </w:p>
        </w:tc>
        <w:tc>
          <w:tcPr>
            <w:tcW w:w="500" w:type="dxa"/>
            <w:vAlign w:val="bottom"/>
            <w:tcBorders>
              <w:top w:val="single" w:sz="8" w:color="2360A6"/>
              <w:right w:val="single" w:sz="8" w:color="2360A6"/>
            </w:tcBorders>
            <w:shd w:val="clear" w:color="auto" w:fill="EDEDEE"/>
          </w:tcPr>
          <w:p>
            <w:pPr>
              <w:spacing w:after="0"/>
              <w:rPr>
                <w:sz w:val="13"/>
                <w:szCs w:val="13"/>
                <w:color w:val="auto"/>
              </w:rPr>
            </w:pPr>
          </w:p>
        </w:tc>
        <w:tc>
          <w:tcPr>
            <w:tcW w:w="520" w:type="dxa"/>
            <w:vAlign w:val="bottom"/>
            <w:tcBorders>
              <w:top w:val="single" w:sz="8" w:color="2360A6"/>
              <w:right w:val="single" w:sz="8" w:color="2360A6"/>
            </w:tcBorders>
            <w:shd w:val="clear" w:color="auto" w:fill="EDEDEE"/>
          </w:tcPr>
          <w:p>
            <w:pPr>
              <w:spacing w:after="0"/>
              <w:rPr>
                <w:sz w:val="13"/>
                <w:szCs w:val="13"/>
                <w:color w:val="auto"/>
              </w:rPr>
            </w:pPr>
          </w:p>
        </w:tc>
        <w:tc>
          <w:tcPr>
            <w:tcW w:w="500" w:type="dxa"/>
            <w:vAlign w:val="bottom"/>
            <w:tcBorders>
              <w:top w:val="single" w:sz="8" w:color="2360A6"/>
              <w:right w:val="single" w:sz="8" w:color="2360A6"/>
            </w:tcBorders>
            <w:shd w:val="clear" w:color="auto" w:fill="EDEDEE"/>
          </w:tcPr>
          <w:p>
            <w:pPr>
              <w:spacing w:after="0"/>
              <w:rPr>
                <w:sz w:val="13"/>
                <w:szCs w:val="13"/>
                <w:color w:val="auto"/>
              </w:rPr>
            </w:pPr>
          </w:p>
        </w:tc>
        <w:tc>
          <w:tcPr>
            <w:tcW w:w="480" w:type="dxa"/>
            <w:vAlign w:val="bottom"/>
            <w:tcBorders>
              <w:top w:val="single" w:sz="8" w:color="2360A6"/>
              <w:right w:val="single" w:sz="8" w:color="2360A6"/>
            </w:tcBorders>
            <w:shd w:val="clear" w:color="auto" w:fill="EDEDEE"/>
          </w:tcPr>
          <w:p>
            <w:pPr>
              <w:spacing w:after="0"/>
              <w:rPr>
                <w:sz w:val="13"/>
                <w:szCs w:val="13"/>
                <w:color w:val="auto"/>
              </w:rPr>
            </w:pPr>
          </w:p>
        </w:tc>
        <w:tc>
          <w:tcPr>
            <w:tcW w:w="540" w:type="dxa"/>
            <w:vAlign w:val="bottom"/>
            <w:tcBorders>
              <w:top w:val="single" w:sz="8" w:color="2360A6"/>
              <w:right w:val="single" w:sz="8" w:color="2360A6"/>
            </w:tcBorders>
            <w:shd w:val="clear" w:color="auto" w:fill="EDEDEE"/>
          </w:tcPr>
          <w:p>
            <w:pPr>
              <w:spacing w:after="0"/>
              <w:rPr>
                <w:sz w:val="13"/>
                <w:szCs w:val="13"/>
                <w:color w:val="auto"/>
              </w:rPr>
            </w:pPr>
          </w:p>
        </w:tc>
        <w:tc>
          <w:tcPr>
            <w:tcW w:w="500" w:type="dxa"/>
            <w:vAlign w:val="bottom"/>
            <w:tcBorders>
              <w:top w:val="single" w:sz="8" w:color="2360A6"/>
              <w:right w:val="single" w:sz="8" w:color="2360A6"/>
            </w:tcBorders>
            <w:shd w:val="clear" w:color="auto" w:fill="EDEDEE"/>
          </w:tcPr>
          <w:p>
            <w:pPr>
              <w:spacing w:after="0"/>
              <w:rPr>
                <w:sz w:val="13"/>
                <w:szCs w:val="13"/>
                <w:color w:val="auto"/>
              </w:rPr>
            </w:pPr>
          </w:p>
        </w:tc>
        <w:tc>
          <w:tcPr>
            <w:tcW w:w="480" w:type="dxa"/>
            <w:vAlign w:val="bottom"/>
            <w:tcBorders>
              <w:top w:val="single" w:sz="8" w:color="2360A6"/>
              <w:right w:val="single" w:sz="8" w:color="2360A6"/>
            </w:tcBorders>
            <w:shd w:val="clear" w:color="auto" w:fill="EDEDEE"/>
          </w:tcPr>
          <w:p>
            <w:pPr>
              <w:spacing w:after="0"/>
              <w:rPr>
                <w:sz w:val="13"/>
                <w:szCs w:val="13"/>
                <w:color w:val="auto"/>
              </w:rPr>
            </w:pPr>
          </w:p>
        </w:tc>
        <w:tc>
          <w:tcPr>
            <w:tcW w:w="540" w:type="dxa"/>
            <w:vAlign w:val="bottom"/>
            <w:tcBorders>
              <w:top w:val="single" w:sz="8" w:color="2360A6"/>
              <w:right w:val="single" w:sz="8" w:color="2360A6"/>
            </w:tcBorders>
            <w:shd w:val="clear" w:color="auto" w:fill="EDEDEE"/>
          </w:tcPr>
          <w:p>
            <w:pPr>
              <w:spacing w:after="0"/>
              <w:rPr>
                <w:sz w:val="13"/>
                <w:szCs w:val="13"/>
                <w:color w:val="auto"/>
              </w:rPr>
            </w:pPr>
          </w:p>
        </w:tc>
        <w:tc>
          <w:tcPr>
            <w:tcW w:w="540" w:type="dxa"/>
            <w:vAlign w:val="bottom"/>
            <w:tcBorders>
              <w:top w:val="single" w:sz="8" w:color="2360A6"/>
              <w:right w:val="single" w:sz="8" w:color="2360A6"/>
            </w:tcBorders>
            <w:shd w:val="clear" w:color="auto" w:fill="EDEDEE"/>
          </w:tcPr>
          <w:p>
            <w:pPr>
              <w:spacing w:after="0"/>
              <w:rPr>
                <w:sz w:val="13"/>
                <w:szCs w:val="13"/>
                <w:color w:val="auto"/>
              </w:rPr>
            </w:pPr>
          </w:p>
        </w:tc>
        <w:tc>
          <w:tcPr>
            <w:tcW w:w="540" w:type="dxa"/>
            <w:vAlign w:val="bottom"/>
            <w:tcBorders>
              <w:top w:val="single" w:sz="8" w:color="2360A6"/>
              <w:right w:val="single" w:sz="8" w:color="2360A6"/>
            </w:tcBorders>
            <w:shd w:val="clear" w:color="auto" w:fill="EDEDEE"/>
          </w:tcPr>
          <w:p>
            <w:pPr>
              <w:spacing w:after="0"/>
              <w:rPr>
                <w:sz w:val="13"/>
                <w:szCs w:val="13"/>
                <w:color w:val="auto"/>
              </w:rPr>
            </w:pPr>
          </w:p>
        </w:tc>
        <w:tc>
          <w:tcPr>
            <w:tcW w:w="520" w:type="dxa"/>
            <w:vAlign w:val="bottom"/>
            <w:tcBorders>
              <w:top w:val="single" w:sz="8" w:color="2360A6"/>
              <w:right w:val="single" w:sz="8" w:color="2360A6"/>
            </w:tcBorders>
            <w:shd w:val="clear" w:color="auto" w:fill="EDEDEE"/>
          </w:tcPr>
          <w:p>
            <w:pPr>
              <w:spacing w:after="0"/>
              <w:rPr>
                <w:sz w:val="13"/>
                <w:szCs w:val="13"/>
                <w:color w:val="auto"/>
              </w:rPr>
            </w:pPr>
          </w:p>
        </w:tc>
        <w:tc>
          <w:tcPr>
            <w:tcW w:w="380" w:type="dxa"/>
            <w:vAlign w:val="bottom"/>
            <w:tcBorders>
              <w:top w:val="single" w:sz="8" w:color="2360A6"/>
              <w:right w:val="single" w:sz="8" w:color="2360A6"/>
            </w:tcBorders>
            <w:shd w:val="clear" w:color="auto" w:fill="EDEDEE"/>
          </w:tcPr>
          <w:p>
            <w:pPr>
              <w:spacing w:after="0"/>
              <w:rPr>
                <w:sz w:val="13"/>
                <w:szCs w:val="13"/>
                <w:color w:val="auto"/>
              </w:rPr>
            </w:pPr>
          </w:p>
        </w:tc>
        <w:tc>
          <w:tcPr>
            <w:tcW w:w="500" w:type="dxa"/>
            <w:vAlign w:val="bottom"/>
            <w:tcBorders>
              <w:top w:val="single" w:sz="8" w:color="2360A6"/>
              <w:right w:val="single" w:sz="8" w:color="2360A6"/>
            </w:tcBorders>
          </w:tcPr>
          <w:p>
            <w:pPr>
              <w:spacing w:after="0"/>
              <w:rPr>
                <w:sz w:val="13"/>
                <w:szCs w:val="13"/>
                <w:color w:val="auto"/>
              </w:rPr>
            </w:pPr>
          </w:p>
        </w:tc>
        <w:tc>
          <w:tcPr>
            <w:tcW w:w="420" w:type="dxa"/>
            <w:vAlign w:val="bottom"/>
            <w:tcBorders>
              <w:top w:val="single" w:sz="8" w:color="2360A6"/>
              <w:right w:val="single" w:sz="8" w:color="2360A6"/>
            </w:tcBorders>
            <w:shd w:val="clear" w:color="auto" w:fill="F2F2F2"/>
          </w:tcPr>
          <w:p>
            <w:pPr>
              <w:spacing w:after="0"/>
              <w:rPr>
                <w:sz w:val="13"/>
                <w:szCs w:val="13"/>
                <w:color w:val="auto"/>
              </w:rPr>
            </w:pPr>
          </w:p>
        </w:tc>
        <w:tc>
          <w:tcPr>
            <w:tcW w:w="380" w:type="dxa"/>
            <w:vAlign w:val="bottom"/>
            <w:tcBorders>
              <w:top w:val="single" w:sz="8" w:color="2360A6"/>
              <w:right w:val="single" w:sz="8" w:color="2360A6"/>
            </w:tcBorders>
            <w:shd w:val="clear" w:color="auto" w:fill="F2F2F2"/>
          </w:tcPr>
          <w:p>
            <w:pPr>
              <w:spacing w:after="0"/>
              <w:rPr>
                <w:sz w:val="13"/>
                <w:szCs w:val="13"/>
                <w:color w:val="auto"/>
              </w:rPr>
            </w:pPr>
          </w:p>
        </w:tc>
        <w:tc>
          <w:tcPr>
            <w:tcW w:w="640" w:type="dxa"/>
            <w:vAlign w:val="bottom"/>
            <w:tcBorders>
              <w:top w:val="single" w:sz="8" w:color="2360A6"/>
              <w:right w:val="single" w:sz="8" w:color="2360A6"/>
            </w:tcBorders>
            <w:shd w:val="clear" w:color="auto" w:fill="EDEDE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80" w:type="dxa"/>
            <w:vAlign w:val="bottom"/>
            <w:tcBorders>
              <w:left w:val="single" w:sz="8" w:color="2360A6"/>
              <w:right w:val="single" w:sz="8" w:color="2360A6"/>
            </w:tcBorders>
            <w:shd w:val="clear" w:color="auto" w:fill="EDEDEE"/>
          </w:tcPr>
          <w:p>
            <w:pPr>
              <w:ind w:left="40"/>
              <w:spacing w:after="0" w:line="122" w:lineRule="exact"/>
              <w:rPr>
                <w:sz w:val="20"/>
                <w:szCs w:val="20"/>
                <w:color w:val="auto"/>
              </w:rPr>
            </w:pPr>
            <w:r>
              <w:rPr>
                <w:rFonts w:ascii="Arial" w:cs="Arial" w:eastAsia="Arial" w:hAnsi="Arial"/>
                <w:sz w:val="11"/>
                <w:szCs w:val="11"/>
                <w:b w:val="1"/>
                <w:bCs w:val="1"/>
                <w:color w:val="2360A6"/>
              </w:rPr>
              <w:t>SHARES   AS</w:t>
            </w:r>
          </w:p>
        </w:tc>
        <w:tc>
          <w:tcPr>
            <w:tcW w:w="54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shd w:val="clear" w:color="auto" w:fill="EDEDEE"/>
          </w:tcPr>
          <w:p>
            <w:pPr>
              <w:spacing w:after="0"/>
              <w:rPr>
                <w:sz w:val="10"/>
                <w:szCs w:val="10"/>
                <w:color w:val="auto"/>
              </w:rPr>
            </w:pPr>
          </w:p>
        </w:tc>
        <w:tc>
          <w:tcPr>
            <w:tcW w:w="52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shd w:val="clear" w:color="auto" w:fill="EDEDEE"/>
          </w:tcPr>
          <w:p>
            <w:pPr>
              <w:spacing w:after="0"/>
              <w:rPr>
                <w:sz w:val="10"/>
                <w:szCs w:val="10"/>
                <w:color w:val="auto"/>
              </w:rPr>
            </w:pPr>
          </w:p>
        </w:tc>
        <w:tc>
          <w:tcPr>
            <w:tcW w:w="48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shd w:val="clear" w:color="auto" w:fill="EDEDEE"/>
          </w:tcPr>
          <w:p>
            <w:pPr>
              <w:spacing w:after="0"/>
              <w:rPr>
                <w:sz w:val="10"/>
                <w:szCs w:val="10"/>
                <w:color w:val="auto"/>
              </w:rPr>
            </w:pPr>
          </w:p>
        </w:tc>
        <w:tc>
          <w:tcPr>
            <w:tcW w:w="48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20" w:type="dxa"/>
            <w:vAlign w:val="bottom"/>
            <w:tcBorders>
              <w:right w:val="single" w:sz="8" w:color="2360A6"/>
            </w:tcBorders>
            <w:shd w:val="clear" w:color="auto" w:fill="EDEDEE"/>
          </w:tcPr>
          <w:p>
            <w:pPr>
              <w:spacing w:after="0"/>
              <w:rPr>
                <w:sz w:val="10"/>
                <w:szCs w:val="10"/>
                <w:color w:val="auto"/>
              </w:rPr>
            </w:pPr>
          </w:p>
        </w:tc>
        <w:tc>
          <w:tcPr>
            <w:tcW w:w="38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20" w:type="dxa"/>
            <w:vAlign w:val="bottom"/>
            <w:tcBorders>
              <w:right w:val="single" w:sz="8" w:color="2360A6"/>
            </w:tcBorders>
            <w:shd w:val="clear" w:color="auto" w:fill="F2F2F2"/>
          </w:tcPr>
          <w:p>
            <w:pPr>
              <w:spacing w:after="0"/>
              <w:rPr>
                <w:sz w:val="10"/>
                <w:szCs w:val="10"/>
                <w:color w:val="auto"/>
              </w:rPr>
            </w:pPr>
          </w:p>
        </w:tc>
        <w:tc>
          <w:tcPr>
            <w:tcW w:w="380" w:type="dxa"/>
            <w:vAlign w:val="bottom"/>
            <w:tcBorders>
              <w:right w:val="single" w:sz="8" w:color="2360A6"/>
            </w:tcBorders>
            <w:shd w:val="clear" w:color="auto" w:fill="F2F2F2"/>
          </w:tcPr>
          <w:p>
            <w:pPr>
              <w:spacing w:after="0"/>
              <w:rPr>
                <w:sz w:val="10"/>
                <w:szCs w:val="10"/>
                <w:color w:val="auto"/>
              </w:rPr>
            </w:pPr>
          </w:p>
        </w:tc>
        <w:tc>
          <w:tcPr>
            <w:tcW w:w="640" w:type="dxa"/>
            <w:vAlign w:val="bottom"/>
            <w:tcBorders>
              <w:right w:val="single" w:sz="8" w:color="2360A6"/>
            </w:tcBorders>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80" w:type="dxa"/>
            <w:vAlign w:val="bottom"/>
            <w:tcBorders>
              <w:left w:val="single" w:sz="8" w:color="2360A6"/>
              <w:right w:val="single" w:sz="8" w:color="2360A6"/>
            </w:tcBorders>
            <w:shd w:val="clear" w:color="auto" w:fill="EDEDEE"/>
          </w:tcPr>
          <w:p>
            <w:pPr>
              <w:ind w:left="40"/>
              <w:spacing w:after="0" w:line="122" w:lineRule="exact"/>
              <w:rPr>
                <w:sz w:val="20"/>
                <w:szCs w:val="20"/>
                <w:color w:val="auto"/>
              </w:rPr>
            </w:pPr>
            <w:r>
              <w:rPr>
                <w:rFonts w:ascii="Arial" w:cs="Arial" w:eastAsia="Arial" w:hAnsi="Arial"/>
                <w:sz w:val="11"/>
                <w:szCs w:val="11"/>
                <w:b w:val="1"/>
                <w:bCs w:val="1"/>
                <w:color w:val="2360A6"/>
              </w:rPr>
              <w:t>OF</w:t>
            </w:r>
          </w:p>
        </w:tc>
        <w:tc>
          <w:tcPr>
            <w:tcW w:w="54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shd w:val="clear" w:color="auto" w:fill="EDEDEE"/>
          </w:tcPr>
          <w:p>
            <w:pPr>
              <w:spacing w:after="0"/>
              <w:rPr>
                <w:sz w:val="10"/>
                <w:szCs w:val="10"/>
                <w:color w:val="auto"/>
              </w:rPr>
            </w:pPr>
          </w:p>
        </w:tc>
        <w:tc>
          <w:tcPr>
            <w:tcW w:w="52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shd w:val="clear" w:color="auto" w:fill="EDEDEE"/>
          </w:tcPr>
          <w:p>
            <w:pPr>
              <w:spacing w:after="0"/>
              <w:rPr>
                <w:sz w:val="10"/>
                <w:szCs w:val="10"/>
                <w:color w:val="auto"/>
              </w:rPr>
            </w:pPr>
          </w:p>
        </w:tc>
        <w:tc>
          <w:tcPr>
            <w:tcW w:w="48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shd w:val="clear" w:color="auto" w:fill="EDEDEE"/>
          </w:tcPr>
          <w:p>
            <w:pPr>
              <w:spacing w:after="0"/>
              <w:rPr>
                <w:sz w:val="10"/>
                <w:szCs w:val="10"/>
                <w:color w:val="auto"/>
              </w:rPr>
            </w:pPr>
          </w:p>
        </w:tc>
        <w:tc>
          <w:tcPr>
            <w:tcW w:w="48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20" w:type="dxa"/>
            <w:vAlign w:val="bottom"/>
            <w:tcBorders>
              <w:right w:val="single" w:sz="8" w:color="2360A6"/>
            </w:tcBorders>
            <w:shd w:val="clear" w:color="auto" w:fill="EDEDEE"/>
          </w:tcPr>
          <w:p>
            <w:pPr>
              <w:spacing w:after="0"/>
              <w:rPr>
                <w:sz w:val="10"/>
                <w:szCs w:val="10"/>
                <w:color w:val="auto"/>
              </w:rPr>
            </w:pPr>
          </w:p>
        </w:tc>
        <w:tc>
          <w:tcPr>
            <w:tcW w:w="38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20" w:type="dxa"/>
            <w:vAlign w:val="bottom"/>
            <w:tcBorders>
              <w:right w:val="single" w:sz="8" w:color="2360A6"/>
            </w:tcBorders>
            <w:shd w:val="clear" w:color="auto" w:fill="F2F2F2"/>
          </w:tcPr>
          <w:p>
            <w:pPr>
              <w:spacing w:after="0"/>
              <w:rPr>
                <w:sz w:val="10"/>
                <w:szCs w:val="10"/>
                <w:color w:val="auto"/>
              </w:rPr>
            </w:pPr>
          </w:p>
        </w:tc>
        <w:tc>
          <w:tcPr>
            <w:tcW w:w="380" w:type="dxa"/>
            <w:vAlign w:val="bottom"/>
            <w:tcBorders>
              <w:right w:val="single" w:sz="8" w:color="2360A6"/>
            </w:tcBorders>
            <w:shd w:val="clear" w:color="auto" w:fill="F2F2F2"/>
          </w:tcPr>
          <w:p>
            <w:pPr>
              <w:spacing w:after="0"/>
              <w:rPr>
                <w:sz w:val="10"/>
                <w:szCs w:val="10"/>
                <w:color w:val="auto"/>
              </w:rPr>
            </w:pPr>
          </w:p>
        </w:tc>
        <w:tc>
          <w:tcPr>
            <w:tcW w:w="640" w:type="dxa"/>
            <w:vAlign w:val="bottom"/>
            <w:tcBorders>
              <w:right w:val="single" w:sz="8" w:color="2360A6"/>
            </w:tcBorders>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80" w:type="dxa"/>
            <w:vAlign w:val="bottom"/>
            <w:tcBorders>
              <w:left w:val="single" w:sz="8" w:color="2360A6"/>
              <w:right w:val="single" w:sz="8" w:color="2360A6"/>
            </w:tcBorders>
            <w:shd w:val="clear" w:color="auto" w:fill="EDEDEE"/>
          </w:tcPr>
          <w:p>
            <w:pPr>
              <w:ind w:left="40"/>
              <w:spacing w:after="0" w:line="122" w:lineRule="exact"/>
              <w:rPr>
                <w:sz w:val="20"/>
                <w:szCs w:val="20"/>
                <w:color w:val="auto"/>
              </w:rPr>
            </w:pPr>
            <w:r>
              <w:rPr>
                <w:rFonts w:ascii="Arial" w:cs="Arial" w:eastAsia="Arial" w:hAnsi="Arial"/>
                <w:sz w:val="11"/>
                <w:szCs w:val="11"/>
                <w:b w:val="1"/>
                <w:bCs w:val="1"/>
                <w:color w:val="2360A6"/>
              </w:rPr>
              <w:t>DECEMBER</w:t>
            </w:r>
          </w:p>
        </w:tc>
        <w:tc>
          <w:tcPr>
            <w:tcW w:w="54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shd w:val="clear" w:color="auto" w:fill="EDEDEE"/>
          </w:tcPr>
          <w:p>
            <w:pPr>
              <w:spacing w:after="0"/>
              <w:rPr>
                <w:sz w:val="10"/>
                <w:szCs w:val="10"/>
                <w:color w:val="auto"/>
              </w:rPr>
            </w:pPr>
          </w:p>
        </w:tc>
        <w:tc>
          <w:tcPr>
            <w:tcW w:w="52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shd w:val="clear" w:color="auto" w:fill="EDEDEE"/>
          </w:tcPr>
          <w:p>
            <w:pPr>
              <w:spacing w:after="0"/>
              <w:rPr>
                <w:sz w:val="10"/>
                <w:szCs w:val="10"/>
                <w:color w:val="auto"/>
              </w:rPr>
            </w:pPr>
          </w:p>
        </w:tc>
        <w:tc>
          <w:tcPr>
            <w:tcW w:w="48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shd w:val="clear" w:color="auto" w:fill="EDEDEE"/>
          </w:tcPr>
          <w:p>
            <w:pPr>
              <w:spacing w:after="0"/>
              <w:rPr>
                <w:sz w:val="10"/>
                <w:szCs w:val="10"/>
                <w:color w:val="auto"/>
              </w:rPr>
            </w:pPr>
          </w:p>
        </w:tc>
        <w:tc>
          <w:tcPr>
            <w:tcW w:w="48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20" w:type="dxa"/>
            <w:vAlign w:val="bottom"/>
            <w:tcBorders>
              <w:right w:val="single" w:sz="8" w:color="2360A6"/>
            </w:tcBorders>
            <w:shd w:val="clear" w:color="auto" w:fill="EDEDEE"/>
          </w:tcPr>
          <w:p>
            <w:pPr>
              <w:spacing w:after="0"/>
              <w:rPr>
                <w:sz w:val="10"/>
                <w:szCs w:val="10"/>
                <w:color w:val="auto"/>
              </w:rPr>
            </w:pPr>
          </w:p>
        </w:tc>
        <w:tc>
          <w:tcPr>
            <w:tcW w:w="38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20" w:type="dxa"/>
            <w:vAlign w:val="bottom"/>
            <w:tcBorders>
              <w:right w:val="single" w:sz="8" w:color="2360A6"/>
            </w:tcBorders>
            <w:shd w:val="clear" w:color="auto" w:fill="F2F2F2"/>
          </w:tcPr>
          <w:p>
            <w:pPr>
              <w:spacing w:after="0"/>
              <w:rPr>
                <w:sz w:val="10"/>
                <w:szCs w:val="10"/>
                <w:color w:val="auto"/>
              </w:rPr>
            </w:pPr>
          </w:p>
        </w:tc>
        <w:tc>
          <w:tcPr>
            <w:tcW w:w="380" w:type="dxa"/>
            <w:vAlign w:val="bottom"/>
            <w:tcBorders>
              <w:right w:val="single" w:sz="8" w:color="2360A6"/>
            </w:tcBorders>
            <w:shd w:val="clear" w:color="auto" w:fill="F2F2F2"/>
          </w:tcPr>
          <w:p>
            <w:pPr>
              <w:spacing w:after="0"/>
              <w:rPr>
                <w:sz w:val="10"/>
                <w:szCs w:val="10"/>
                <w:color w:val="auto"/>
              </w:rPr>
            </w:pPr>
          </w:p>
        </w:tc>
        <w:tc>
          <w:tcPr>
            <w:tcW w:w="640" w:type="dxa"/>
            <w:vAlign w:val="bottom"/>
            <w:tcBorders>
              <w:right w:val="single" w:sz="8" w:color="2360A6"/>
            </w:tcBorders>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80" w:type="dxa"/>
            <w:vAlign w:val="bottom"/>
            <w:tcBorders>
              <w:left w:val="single" w:sz="8" w:color="2360A6"/>
              <w:right w:val="single" w:sz="8" w:color="2360A6"/>
            </w:tcBorders>
            <w:shd w:val="clear" w:color="auto" w:fill="EDEDEE"/>
          </w:tcPr>
          <w:p>
            <w:pPr>
              <w:ind w:left="40"/>
              <w:spacing w:after="0" w:line="122" w:lineRule="exact"/>
              <w:rPr>
                <w:sz w:val="20"/>
                <w:szCs w:val="20"/>
                <w:color w:val="auto"/>
              </w:rPr>
            </w:pPr>
            <w:r>
              <w:rPr>
                <w:rFonts w:ascii="Arial" w:cs="Arial" w:eastAsia="Arial" w:hAnsi="Arial"/>
                <w:sz w:val="11"/>
                <w:szCs w:val="11"/>
                <w:b w:val="1"/>
                <w:bCs w:val="1"/>
                <w:color w:val="2360A6"/>
              </w:rPr>
              <w:t>31,</w:t>
            </w:r>
          </w:p>
        </w:tc>
        <w:tc>
          <w:tcPr>
            <w:tcW w:w="54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shd w:val="clear" w:color="auto" w:fill="EDEDEE"/>
          </w:tcPr>
          <w:p>
            <w:pPr>
              <w:spacing w:after="0"/>
              <w:rPr>
                <w:sz w:val="10"/>
                <w:szCs w:val="10"/>
                <w:color w:val="auto"/>
              </w:rPr>
            </w:pPr>
          </w:p>
        </w:tc>
        <w:tc>
          <w:tcPr>
            <w:tcW w:w="52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shd w:val="clear" w:color="auto" w:fill="EDEDEE"/>
          </w:tcPr>
          <w:p>
            <w:pPr>
              <w:spacing w:after="0"/>
              <w:rPr>
                <w:sz w:val="10"/>
                <w:szCs w:val="10"/>
                <w:color w:val="auto"/>
              </w:rPr>
            </w:pPr>
          </w:p>
        </w:tc>
        <w:tc>
          <w:tcPr>
            <w:tcW w:w="48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shd w:val="clear" w:color="auto" w:fill="EDEDEE"/>
          </w:tcPr>
          <w:p>
            <w:pPr>
              <w:spacing w:after="0"/>
              <w:rPr>
                <w:sz w:val="10"/>
                <w:szCs w:val="10"/>
                <w:color w:val="auto"/>
              </w:rPr>
            </w:pPr>
          </w:p>
        </w:tc>
        <w:tc>
          <w:tcPr>
            <w:tcW w:w="48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40" w:type="dxa"/>
            <w:vAlign w:val="bottom"/>
            <w:tcBorders>
              <w:right w:val="single" w:sz="8" w:color="2360A6"/>
            </w:tcBorders>
            <w:shd w:val="clear" w:color="auto" w:fill="EDEDEE"/>
          </w:tcPr>
          <w:p>
            <w:pPr>
              <w:spacing w:after="0"/>
              <w:rPr>
                <w:sz w:val="10"/>
                <w:szCs w:val="10"/>
                <w:color w:val="auto"/>
              </w:rPr>
            </w:pPr>
          </w:p>
        </w:tc>
        <w:tc>
          <w:tcPr>
            <w:tcW w:w="520" w:type="dxa"/>
            <w:vAlign w:val="bottom"/>
            <w:tcBorders>
              <w:right w:val="single" w:sz="8" w:color="2360A6"/>
            </w:tcBorders>
            <w:shd w:val="clear" w:color="auto" w:fill="EDEDEE"/>
          </w:tcPr>
          <w:p>
            <w:pPr>
              <w:spacing w:after="0"/>
              <w:rPr>
                <w:sz w:val="10"/>
                <w:szCs w:val="10"/>
                <w:color w:val="auto"/>
              </w:rPr>
            </w:pPr>
          </w:p>
        </w:tc>
        <w:tc>
          <w:tcPr>
            <w:tcW w:w="380" w:type="dxa"/>
            <w:vAlign w:val="bottom"/>
            <w:tcBorders>
              <w:right w:val="single" w:sz="8" w:color="2360A6"/>
            </w:tcBorders>
            <w:shd w:val="clear" w:color="auto" w:fill="EDEDEE"/>
          </w:tcPr>
          <w:p>
            <w:pPr>
              <w:spacing w:after="0"/>
              <w:rPr>
                <w:sz w:val="10"/>
                <w:szCs w:val="10"/>
                <w:color w:val="auto"/>
              </w:rPr>
            </w:pPr>
          </w:p>
        </w:tc>
        <w:tc>
          <w:tcPr>
            <w:tcW w:w="500" w:type="dxa"/>
            <w:vAlign w:val="bottom"/>
            <w:tcBorders>
              <w:right w:val="single" w:sz="8" w:color="2360A6"/>
            </w:tcBorders>
          </w:tcPr>
          <w:p>
            <w:pPr>
              <w:spacing w:after="0"/>
              <w:rPr>
                <w:sz w:val="10"/>
                <w:szCs w:val="10"/>
                <w:color w:val="auto"/>
              </w:rPr>
            </w:pPr>
          </w:p>
        </w:tc>
        <w:tc>
          <w:tcPr>
            <w:tcW w:w="420" w:type="dxa"/>
            <w:vAlign w:val="bottom"/>
            <w:tcBorders>
              <w:right w:val="single" w:sz="8" w:color="2360A6"/>
            </w:tcBorders>
            <w:shd w:val="clear" w:color="auto" w:fill="F2F2F2"/>
          </w:tcPr>
          <w:p>
            <w:pPr>
              <w:spacing w:after="0"/>
              <w:rPr>
                <w:sz w:val="10"/>
                <w:szCs w:val="10"/>
                <w:color w:val="auto"/>
              </w:rPr>
            </w:pPr>
          </w:p>
        </w:tc>
        <w:tc>
          <w:tcPr>
            <w:tcW w:w="380" w:type="dxa"/>
            <w:vAlign w:val="bottom"/>
            <w:tcBorders>
              <w:right w:val="single" w:sz="8" w:color="2360A6"/>
            </w:tcBorders>
            <w:shd w:val="clear" w:color="auto" w:fill="F2F2F2"/>
          </w:tcPr>
          <w:p>
            <w:pPr>
              <w:spacing w:after="0"/>
              <w:rPr>
                <w:sz w:val="10"/>
                <w:szCs w:val="10"/>
                <w:color w:val="auto"/>
              </w:rPr>
            </w:pPr>
          </w:p>
        </w:tc>
        <w:tc>
          <w:tcPr>
            <w:tcW w:w="640" w:type="dxa"/>
            <w:vAlign w:val="bottom"/>
            <w:tcBorders>
              <w:right w:val="single" w:sz="8" w:color="2360A6"/>
            </w:tcBorders>
            <w:shd w:val="clear" w:color="auto" w:fill="EDEDE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80" w:type="dxa"/>
            <w:vAlign w:val="bottom"/>
            <w:tcBorders>
              <w:left w:val="single" w:sz="8" w:color="2360A6"/>
              <w:bottom w:val="single" w:sz="8" w:color="EDEDEE"/>
              <w:right w:val="single" w:sz="8" w:color="2360A6"/>
            </w:tcBorders>
            <w:shd w:val="clear" w:color="auto" w:fill="EDEDEE"/>
          </w:tcPr>
          <w:p>
            <w:pPr>
              <w:ind w:left="40"/>
              <w:spacing w:after="0"/>
              <w:rPr>
                <w:sz w:val="20"/>
                <w:szCs w:val="20"/>
                <w:color w:val="auto"/>
              </w:rPr>
            </w:pPr>
            <w:r>
              <w:rPr>
                <w:rFonts w:ascii="Arial" w:cs="Arial" w:eastAsia="Arial" w:hAnsi="Arial"/>
                <w:sz w:val="11"/>
                <w:szCs w:val="11"/>
                <w:b w:val="1"/>
                <w:bCs w:val="1"/>
                <w:color w:val="2360A6"/>
              </w:rPr>
              <w:t>2016</w:t>
            </w:r>
          </w:p>
        </w:tc>
        <w:tc>
          <w:tcPr>
            <w:tcW w:w="540" w:type="dxa"/>
            <w:vAlign w:val="bottom"/>
            <w:tcBorders>
              <w:bottom w:val="single" w:sz="8" w:color="EDEDEE"/>
              <w:right w:val="single" w:sz="8" w:color="2360A6"/>
            </w:tcBorders>
            <w:shd w:val="clear" w:color="auto" w:fill="EDEDEE"/>
          </w:tcPr>
          <w:p>
            <w:pPr>
              <w:jc w:val="right"/>
              <w:ind w:right="26"/>
              <w:spacing w:after="0"/>
              <w:rPr>
                <w:sz w:val="20"/>
                <w:szCs w:val="20"/>
                <w:color w:val="auto"/>
              </w:rPr>
            </w:pPr>
            <w:r>
              <w:rPr>
                <w:rFonts w:ascii="Arial" w:cs="Arial" w:eastAsia="Arial" w:hAnsi="Arial"/>
                <w:sz w:val="11"/>
                <w:szCs w:val="11"/>
                <w:b w:val="1"/>
                <w:bCs w:val="1"/>
                <w:color w:val="2360A6"/>
              </w:rPr>
              <w:t>—</w:t>
            </w:r>
          </w:p>
        </w:tc>
        <w:tc>
          <w:tcPr>
            <w:tcW w:w="540" w:type="dxa"/>
            <w:vAlign w:val="bottom"/>
            <w:tcBorders>
              <w:bottom w:val="single" w:sz="8" w:color="EDEDEE"/>
              <w:right w:val="single" w:sz="8" w:color="2360A6"/>
            </w:tcBorders>
            <w:shd w:val="clear" w:color="auto" w:fill="EDEDEE"/>
          </w:tcPr>
          <w:p>
            <w:pPr>
              <w:jc w:val="right"/>
              <w:ind w:right="26"/>
              <w:spacing w:after="0"/>
              <w:rPr>
                <w:sz w:val="20"/>
                <w:szCs w:val="20"/>
                <w:color w:val="auto"/>
              </w:rPr>
            </w:pPr>
            <w:r>
              <w:rPr>
                <w:rFonts w:ascii="Arial" w:cs="Arial" w:eastAsia="Arial" w:hAnsi="Arial"/>
                <w:sz w:val="11"/>
                <w:szCs w:val="11"/>
                <w:b w:val="1"/>
                <w:bCs w:val="1"/>
                <w:color w:val="2360A6"/>
              </w:rPr>
              <w:t>—</w:t>
            </w:r>
          </w:p>
        </w:tc>
        <w:tc>
          <w:tcPr>
            <w:tcW w:w="500" w:type="dxa"/>
            <w:vAlign w:val="bottom"/>
            <w:tcBorders>
              <w:bottom w:val="single" w:sz="8" w:color="EDEDEE"/>
              <w:right w:val="single" w:sz="8" w:color="2360A6"/>
            </w:tcBorders>
            <w:shd w:val="clear" w:color="auto" w:fill="EDEDEE"/>
          </w:tcPr>
          <w:p>
            <w:pPr>
              <w:jc w:val="right"/>
              <w:ind w:right="46"/>
              <w:spacing w:after="0"/>
              <w:rPr>
                <w:sz w:val="20"/>
                <w:szCs w:val="20"/>
                <w:color w:val="auto"/>
              </w:rPr>
            </w:pPr>
            <w:r>
              <w:rPr>
                <w:rFonts w:ascii="Arial" w:cs="Arial" w:eastAsia="Arial" w:hAnsi="Arial"/>
                <w:sz w:val="11"/>
                <w:szCs w:val="11"/>
                <w:b w:val="1"/>
                <w:bCs w:val="1"/>
                <w:color w:val="2360A6"/>
              </w:rPr>
              <w:t>—</w:t>
            </w:r>
          </w:p>
        </w:tc>
        <w:tc>
          <w:tcPr>
            <w:tcW w:w="520" w:type="dxa"/>
            <w:vAlign w:val="bottom"/>
            <w:tcBorders>
              <w:bottom w:val="single" w:sz="8" w:color="EDEDEE"/>
              <w:right w:val="single" w:sz="8" w:color="2360A6"/>
            </w:tcBorders>
            <w:shd w:val="clear" w:color="auto" w:fill="EDEDEE"/>
          </w:tcPr>
          <w:p>
            <w:pPr>
              <w:jc w:val="right"/>
              <w:ind w:right="26"/>
              <w:spacing w:after="0"/>
              <w:rPr>
                <w:sz w:val="20"/>
                <w:szCs w:val="20"/>
                <w:color w:val="auto"/>
              </w:rPr>
            </w:pPr>
            <w:r>
              <w:rPr>
                <w:rFonts w:ascii="Arial" w:cs="Arial" w:eastAsia="Arial" w:hAnsi="Arial"/>
                <w:sz w:val="11"/>
                <w:szCs w:val="11"/>
                <w:b w:val="1"/>
                <w:bCs w:val="1"/>
                <w:color w:val="2360A6"/>
              </w:rPr>
              <w:t>—</w:t>
            </w:r>
          </w:p>
        </w:tc>
        <w:tc>
          <w:tcPr>
            <w:tcW w:w="500" w:type="dxa"/>
            <w:vAlign w:val="bottom"/>
            <w:tcBorders>
              <w:bottom w:val="single" w:sz="8" w:color="EDEDEE"/>
              <w:right w:val="single" w:sz="8" w:color="2360A6"/>
            </w:tcBorders>
            <w:shd w:val="clear" w:color="auto" w:fill="EDEDEE"/>
          </w:tcPr>
          <w:p>
            <w:pPr>
              <w:jc w:val="right"/>
              <w:ind w:right="26"/>
              <w:spacing w:after="0"/>
              <w:rPr>
                <w:sz w:val="20"/>
                <w:szCs w:val="20"/>
                <w:color w:val="auto"/>
              </w:rPr>
            </w:pPr>
            <w:r>
              <w:rPr>
                <w:rFonts w:ascii="Arial" w:cs="Arial" w:eastAsia="Arial" w:hAnsi="Arial"/>
                <w:sz w:val="11"/>
                <w:szCs w:val="11"/>
                <w:b w:val="1"/>
                <w:bCs w:val="1"/>
                <w:color w:val="2360A6"/>
              </w:rPr>
              <w:t>—</w:t>
            </w:r>
          </w:p>
        </w:tc>
        <w:tc>
          <w:tcPr>
            <w:tcW w:w="480" w:type="dxa"/>
            <w:vAlign w:val="bottom"/>
            <w:tcBorders>
              <w:bottom w:val="single" w:sz="8" w:color="EDEDEE"/>
              <w:right w:val="single" w:sz="8" w:color="2360A6"/>
            </w:tcBorders>
            <w:shd w:val="clear" w:color="auto" w:fill="EDEDEE"/>
          </w:tcPr>
          <w:p>
            <w:pPr>
              <w:jc w:val="right"/>
              <w:ind w:right="26"/>
              <w:spacing w:after="0"/>
              <w:rPr>
                <w:sz w:val="20"/>
                <w:szCs w:val="20"/>
                <w:color w:val="auto"/>
              </w:rPr>
            </w:pPr>
            <w:r>
              <w:rPr>
                <w:rFonts w:ascii="Arial" w:cs="Arial" w:eastAsia="Arial" w:hAnsi="Arial"/>
                <w:sz w:val="11"/>
                <w:szCs w:val="11"/>
                <w:b w:val="1"/>
                <w:bCs w:val="1"/>
                <w:color w:val="2360A6"/>
              </w:rPr>
              <w:t>—</w:t>
            </w:r>
          </w:p>
        </w:tc>
        <w:tc>
          <w:tcPr>
            <w:tcW w:w="540" w:type="dxa"/>
            <w:vAlign w:val="bottom"/>
            <w:tcBorders>
              <w:bottom w:val="single" w:sz="8" w:color="EDEDEE"/>
              <w:right w:val="single" w:sz="8" w:color="2360A6"/>
            </w:tcBorders>
            <w:shd w:val="clear" w:color="auto" w:fill="EDEDEE"/>
          </w:tcPr>
          <w:p>
            <w:pPr>
              <w:jc w:val="right"/>
              <w:ind w:right="26"/>
              <w:spacing w:after="0"/>
              <w:rPr>
                <w:sz w:val="20"/>
                <w:szCs w:val="20"/>
                <w:color w:val="auto"/>
              </w:rPr>
            </w:pPr>
            <w:r>
              <w:rPr>
                <w:rFonts w:ascii="Arial" w:cs="Arial" w:eastAsia="Arial" w:hAnsi="Arial"/>
                <w:sz w:val="11"/>
                <w:szCs w:val="11"/>
                <w:b w:val="1"/>
                <w:bCs w:val="1"/>
                <w:color w:val="2360A6"/>
              </w:rPr>
              <w:t>—</w:t>
            </w:r>
          </w:p>
        </w:tc>
        <w:tc>
          <w:tcPr>
            <w:tcW w:w="500" w:type="dxa"/>
            <w:vAlign w:val="bottom"/>
            <w:tcBorders>
              <w:bottom w:val="single" w:sz="8" w:color="EDEDEE"/>
              <w:right w:val="single" w:sz="8" w:color="2360A6"/>
            </w:tcBorders>
            <w:shd w:val="clear" w:color="auto" w:fill="EDEDEE"/>
          </w:tcPr>
          <w:p>
            <w:pPr>
              <w:jc w:val="right"/>
              <w:ind w:right="46"/>
              <w:spacing w:after="0"/>
              <w:rPr>
                <w:sz w:val="20"/>
                <w:szCs w:val="20"/>
                <w:color w:val="auto"/>
              </w:rPr>
            </w:pPr>
            <w:r>
              <w:rPr>
                <w:rFonts w:ascii="Arial" w:cs="Arial" w:eastAsia="Arial" w:hAnsi="Arial"/>
                <w:sz w:val="11"/>
                <w:szCs w:val="11"/>
                <w:b w:val="1"/>
                <w:bCs w:val="1"/>
                <w:color w:val="2360A6"/>
              </w:rPr>
              <w:t>—</w:t>
            </w:r>
          </w:p>
        </w:tc>
        <w:tc>
          <w:tcPr>
            <w:tcW w:w="480" w:type="dxa"/>
            <w:vAlign w:val="bottom"/>
            <w:tcBorders>
              <w:bottom w:val="single" w:sz="8" w:color="EDEDEE"/>
              <w:right w:val="single" w:sz="8" w:color="2360A6"/>
            </w:tcBorders>
            <w:shd w:val="clear" w:color="auto" w:fill="EDEDEE"/>
          </w:tcPr>
          <w:p>
            <w:pPr>
              <w:jc w:val="right"/>
              <w:ind w:right="26"/>
              <w:spacing w:after="0"/>
              <w:rPr>
                <w:sz w:val="20"/>
                <w:szCs w:val="20"/>
                <w:color w:val="auto"/>
              </w:rPr>
            </w:pPr>
            <w:r>
              <w:rPr>
                <w:rFonts w:ascii="Arial" w:cs="Arial" w:eastAsia="Arial" w:hAnsi="Arial"/>
                <w:sz w:val="11"/>
                <w:szCs w:val="11"/>
                <w:b w:val="1"/>
                <w:bCs w:val="1"/>
                <w:color w:val="2360A6"/>
              </w:rPr>
              <w:t>—</w:t>
            </w:r>
          </w:p>
        </w:tc>
        <w:tc>
          <w:tcPr>
            <w:tcW w:w="540" w:type="dxa"/>
            <w:vAlign w:val="bottom"/>
            <w:tcBorders>
              <w:bottom w:val="single" w:sz="8" w:color="EDEDEE"/>
              <w:right w:val="single" w:sz="8" w:color="2360A6"/>
            </w:tcBorders>
            <w:shd w:val="clear" w:color="auto" w:fill="EDEDEE"/>
          </w:tcPr>
          <w:p>
            <w:pPr>
              <w:jc w:val="right"/>
              <w:ind w:right="26"/>
              <w:spacing w:after="0"/>
              <w:rPr>
                <w:sz w:val="20"/>
                <w:szCs w:val="20"/>
                <w:color w:val="auto"/>
              </w:rPr>
            </w:pPr>
            <w:r>
              <w:rPr>
                <w:rFonts w:ascii="Arial" w:cs="Arial" w:eastAsia="Arial" w:hAnsi="Arial"/>
                <w:sz w:val="11"/>
                <w:szCs w:val="11"/>
                <w:b w:val="1"/>
                <w:bCs w:val="1"/>
                <w:color w:val="2360A6"/>
              </w:rPr>
              <w:t>—</w:t>
            </w:r>
          </w:p>
        </w:tc>
        <w:tc>
          <w:tcPr>
            <w:tcW w:w="540" w:type="dxa"/>
            <w:vAlign w:val="bottom"/>
            <w:tcBorders>
              <w:bottom w:val="single" w:sz="8" w:color="EDEDEE"/>
              <w:right w:val="single" w:sz="8" w:color="2360A6"/>
            </w:tcBorders>
            <w:shd w:val="clear" w:color="auto" w:fill="EDEDEE"/>
          </w:tcPr>
          <w:p>
            <w:pPr>
              <w:jc w:val="right"/>
              <w:ind w:right="26"/>
              <w:spacing w:after="0"/>
              <w:rPr>
                <w:sz w:val="20"/>
                <w:szCs w:val="20"/>
                <w:color w:val="auto"/>
              </w:rPr>
            </w:pPr>
            <w:r>
              <w:rPr>
                <w:rFonts w:ascii="Arial" w:cs="Arial" w:eastAsia="Arial" w:hAnsi="Arial"/>
                <w:sz w:val="11"/>
                <w:szCs w:val="11"/>
                <w:b w:val="1"/>
                <w:bCs w:val="1"/>
                <w:color w:val="2360A6"/>
              </w:rPr>
              <w:t>—</w:t>
            </w:r>
          </w:p>
        </w:tc>
        <w:tc>
          <w:tcPr>
            <w:tcW w:w="540" w:type="dxa"/>
            <w:vAlign w:val="bottom"/>
            <w:tcBorders>
              <w:bottom w:val="single" w:sz="8" w:color="EDEDEE"/>
              <w:right w:val="single" w:sz="8" w:color="2360A6"/>
            </w:tcBorders>
            <w:shd w:val="clear" w:color="auto" w:fill="EDEDEE"/>
          </w:tcPr>
          <w:p>
            <w:pPr>
              <w:jc w:val="right"/>
              <w:ind w:right="26"/>
              <w:spacing w:after="0"/>
              <w:rPr>
                <w:sz w:val="20"/>
                <w:szCs w:val="20"/>
                <w:color w:val="auto"/>
              </w:rPr>
            </w:pPr>
            <w:r>
              <w:rPr>
                <w:rFonts w:ascii="Arial" w:cs="Arial" w:eastAsia="Arial" w:hAnsi="Arial"/>
                <w:sz w:val="11"/>
                <w:szCs w:val="11"/>
                <w:b w:val="1"/>
                <w:bCs w:val="1"/>
                <w:color w:val="2360A6"/>
              </w:rPr>
              <w:t>318,800</w:t>
            </w:r>
          </w:p>
        </w:tc>
        <w:tc>
          <w:tcPr>
            <w:tcW w:w="520" w:type="dxa"/>
            <w:vAlign w:val="bottom"/>
            <w:tcBorders>
              <w:bottom w:val="single" w:sz="8" w:color="EDEDEE"/>
              <w:right w:val="single" w:sz="8" w:color="2360A6"/>
            </w:tcBorders>
            <w:shd w:val="clear" w:color="auto" w:fill="EDEDEE"/>
          </w:tcPr>
          <w:p>
            <w:pPr>
              <w:jc w:val="right"/>
              <w:ind w:right="46"/>
              <w:spacing w:after="0"/>
              <w:rPr>
                <w:sz w:val="20"/>
                <w:szCs w:val="20"/>
                <w:color w:val="auto"/>
              </w:rPr>
            </w:pPr>
            <w:r>
              <w:rPr>
                <w:rFonts w:ascii="Arial" w:cs="Arial" w:eastAsia="Arial" w:hAnsi="Arial"/>
                <w:sz w:val="11"/>
                <w:szCs w:val="11"/>
                <w:b w:val="1"/>
                <w:bCs w:val="1"/>
                <w:color w:val="2360A6"/>
              </w:rPr>
              <w:t>70,150</w:t>
            </w:r>
          </w:p>
        </w:tc>
        <w:tc>
          <w:tcPr>
            <w:tcW w:w="380" w:type="dxa"/>
            <w:vAlign w:val="bottom"/>
            <w:tcBorders>
              <w:bottom w:val="single" w:sz="8" w:color="EDEDEE"/>
              <w:right w:val="single" w:sz="8" w:color="2360A6"/>
            </w:tcBorders>
            <w:shd w:val="clear" w:color="auto" w:fill="EDEDEE"/>
          </w:tcPr>
          <w:p>
            <w:pPr>
              <w:jc w:val="right"/>
              <w:spacing w:after="0"/>
              <w:rPr>
                <w:sz w:val="20"/>
                <w:szCs w:val="20"/>
                <w:color w:val="auto"/>
              </w:rPr>
            </w:pPr>
            <w:r>
              <w:rPr>
                <w:rFonts w:ascii="Arial" w:cs="Arial" w:eastAsia="Arial" w:hAnsi="Arial"/>
                <w:sz w:val="11"/>
                <w:szCs w:val="11"/>
                <w:b w:val="1"/>
                <w:bCs w:val="1"/>
                <w:color w:val="2360A6"/>
              </w:rPr>
              <w:t>50,400</w:t>
            </w:r>
          </w:p>
        </w:tc>
        <w:tc>
          <w:tcPr>
            <w:tcW w:w="500" w:type="dxa"/>
            <w:vAlign w:val="bottom"/>
            <w:tcBorders>
              <w:right w:val="single" w:sz="8" w:color="2360A6"/>
            </w:tcBorders>
          </w:tcPr>
          <w:p>
            <w:pPr>
              <w:jc w:val="right"/>
              <w:ind w:right="46"/>
              <w:spacing w:after="0"/>
              <w:rPr>
                <w:sz w:val="20"/>
                <w:szCs w:val="20"/>
                <w:color w:val="auto"/>
              </w:rPr>
            </w:pPr>
            <w:r>
              <w:rPr>
                <w:rFonts w:ascii="Arial" w:cs="Arial" w:eastAsia="Arial" w:hAnsi="Arial"/>
                <w:sz w:val="11"/>
                <w:szCs w:val="11"/>
                <w:b w:val="1"/>
                <w:bCs w:val="1"/>
                <w:color w:val="2360A6"/>
                <w:w w:val="95"/>
              </w:rPr>
              <w:t>289,391</w:t>
            </w:r>
          </w:p>
        </w:tc>
        <w:tc>
          <w:tcPr>
            <w:tcW w:w="42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b w:val="1"/>
                <w:bCs w:val="1"/>
                <w:color w:val="2360A6"/>
                <w:w w:val="95"/>
              </w:rPr>
              <w:t>556,826</w:t>
            </w:r>
          </w:p>
        </w:tc>
        <w:tc>
          <w:tcPr>
            <w:tcW w:w="380" w:type="dxa"/>
            <w:vAlign w:val="bottom"/>
            <w:tcBorders>
              <w:bottom w:val="single" w:sz="8" w:color="F2F2F2"/>
              <w:right w:val="single" w:sz="8" w:color="2360A6"/>
            </w:tcBorders>
            <w:shd w:val="clear" w:color="auto" w:fill="F2F2F2"/>
          </w:tcPr>
          <w:p>
            <w:pPr>
              <w:jc w:val="right"/>
              <w:spacing w:after="0"/>
              <w:rPr>
                <w:sz w:val="20"/>
                <w:szCs w:val="20"/>
                <w:color w:val="auto"/>
              </w:rPr>
            </w:pPr>
            <w:r>
              <w:rPr>
                <w:rFonts w:ascii="Arial" w:cs="Arial" w:eastAsia="Arial" w:hAnsi="Arial"/>
                <w:sz w:val="11"/>
                <w:szCs w:val="11"/>
                <w:b w:val="1"/>
                <w:bCs w:val="1"/>
                <w:color w:val="2360A6"/>
              </w:rPr>
              <w:t>29,000</w:t>
            </w:r>
          </w:p>
        </w:tc>
        <w:tc>
          <w:tcPr>
            <w:tcW w:w="640" w:type="dxa"/>
            <w:vAlign w:val="bottom"/>
            <w:tcBorders>
              <w:bottom w:val="single" w:sz="8" w:color="EDEDEE"/>
              <w:right w:val="single" w:sz="8" w:color="2360A6"/>
            </w:tcBorders>
            <w:shd w:val="clear" w:color="auto" w:fill="EDEDEE"/>
          </w:tcPr>
          <w:p>
            <w:pPr>
              <w:jc w:val="right"/>
              <w:ind w:right="46"/>
              <w:spacing w:after="0"/>
              <w:rPr>
                <w:sz w:val="20"/>
                <w:szCs w:val="20"/>
                <w:color w:val="auto"/>
              </w:rPr>
            </w:pPr>
            <w:r>
              <w:rPr>
                <w:rFonts w:ascii="Arial" w:cs="Arial" w:eastAsia="Arial" w:hAnsi="Arial"/>
                <w:sz w:val="11"/>
                <w:szCs w:val="11"/>
                <w:b w:val="1"/>
                <w:bCs w:val="1"/>
                <w:color w:val="2360A6"/>
              </w:rPr>
              <w:t>1,314,657</w:t>
            </w:r>
          </w:p>
        </w:tc>
        <w:tc>
          <w:tcPr>
            <w:tcW w:w="0" w:type="dxa"/>
            <w:vAlign w:val="bottom"/>
          </w:tcPr>
          <w:p>
            <w:pPr>
              <w:spacing w:after="0"/>
              <w:rPr>
                <w:sz w:val="1"/>
                <w:szCs w:val="1"/>
                <w:color w:val="auto"/>
              </w:rPr>
            </w:pPr>
          </w:p>
        </w:tc>
      </w:tr>
      <w:tr>
        <w:trPr>
          <w:trHeight w:val="20"/>
        </w:trPr>
        <w:tc>
          <w:tcPr>
            <w:tcW w:w="880" w:type="dxa"/>
            <w:vAlign w:val="bottom"/>
            <w:tcBorders>
              <w:left w:val="single" w:sz="8" w:color="2360A6"/>
              <w:right w:val="single" w:sz="8" w:color="2360A6"/>
            </w:tcBorders>
            <w:shd w:val="clear" w:color="auto" w:fill="2360A6"/>
          </w:tcPr>
          <w:p>
            <w:pPr>
              <w:spacing w:after="0" w:line="20" w:lineRule="exact"/>
              <w:rPr>
                <w:sz w:val="1"/>
                <w:szCs w:val="1"/>
                <w:color w:val="auto"/>
              </w:rPr>
            </w:pPr>
          </w:p>
        </w:tc>
        <w:tc>
          <w:tcPr>
            <w:tcW w:w="540" w:type="dxa"/>
            <w:vAlign w:val="bottom"/>
            <w:tcBorders>
              <w:right w:val="single" w:sz="8" w:color="2360A6"/>
            </w:tcBorders>
            <w:shd w:val="clear" w:color="auto" w:fill="2360A6"/>
          </w:tcPr>
          <w:p>
            <w:pPr>
              <w:spacing w:after="0" w:line="20" w:lineRule="exact"/>
              <w:rPr>
                <w:sz w:val="1"/>
                <w:szCs w:val="1"/>
                <w:color w:val="auto"/>
              </w:rPr>
            </w:pPr>
          </w:p>
        </w:tc>
        <w:tc>
          <w:tcPr>
            <w:tcW w:w="540" w:type="dxa"/>
            <w:vAlign w:val="bottom"/>
            <w:tcBorders>
              <w:right w:val="single" w:sz="8" w:color="2360A6"/>
            </w:tcBorders>
            <w:shd w:val="clear" w:color="auto" w:fill="2360A6"/>
          </w:tcPr>
          <w:p>
            <w:pPr>
              <w:spacing w:after="0" w:line="20" w:lineRule="exact"/>
              <w:rPr>
                <w:sz w:val="1"/>
                <w:szCs w:val="1"/>
                <w:color w:val="auto"/>
              </w:rPr>
            </w:pPr>
          </w:p>
        </w:tc>
        <w:tc>
          <w:tcPr>
            <w:tcW w:w="500" w:type="dxa"/>
            <w:vAlign w:val="bottom"/>
            <w:tcBorders>
              <w:right w:val="single" w:sz="8" w:color="2360A6"/>
            </w:tcBorders>
            <w:shd w:val="clear" w:color="auto" w:fill="2360A6"/>
          </w:tcPr>
          <w:p>
            <w:pPr>
              <w:spacing w:after="0" w:line="20" w:lineRule="exact"/>
              <w:rPr>
                <w:sz w:val="1"/>
                <w:szCs w:val="1"/>
                <w:color w:val="auto"/>
              </w:rPr>
            </w:pPr>
          </w:p>
        </w:tc>
        <w:tc>
          <w:tcPr>
            <w:tcW w:w="520" w:type="dxa"/>
            <w:vAlign w:val="bottom"/>
            <w:tcBorders>
              <w:right w:val="single" w:sz="8" w:color="2360A6"/>
            </w:tcBorders>
            <w:shd w:val="clear" w:color="auto" w:fill="2360A6"/>
          </w:tcPr>
          <w:p>
            <w:pPr>
              <w:spacing w:after="0" w:line="20" w:lineRule="exact"/>
              <w:rPr>
                <w:sz w:val="1"/>
                <w:szCs w:val="1"/>
                <w:color w:val="auto"/>
              </w:rPr>
            </w:pPr>
          </w:p>
        </w:tc>
        <w:tc>
          <w:tcPr>
            <w:tcW w:w="500" w:type="dxa"/>
            <w:vAlign w:val="bottom"/>
            <w:tcBorders>
              <w:right w:val="single" w:sz="8" w:color="2360A6"/>
            </w:tcBorders>
            <w:shd w:val="clear" w:color="auto" w:fill="2360A6"/>
          </w:tcPr>
          <w:p>
            <w:pPr>
              <w:spacing w:after="0" w:line="20" w:lineRule="exact"/>
              <w:rPr>
                <w:sz w:val="1"/>
                <w:szCs w:val="1"/>
                <w:color w:val="auto"/>
              </w:rPr>
            </w:pPr>
          </w:p>
        </w:tc>
        <w:tc>
          <w:tcPr>
            <w:tcW w:w="480" w:type="dxa"/>
            <w:vAlign w:val="bottom"/>
            <w:tcBorders>
              <w:right w:val="single" w:sz="8" w:color="2360A6"/>
            </w:tcBorders>
            <w:shd w:val="clear" w:color="auto" w:fill="2360A6"/>
          </w:tcPr>
          <w:p>
            <w:pPr>
              <w:spacing w:after="0" w:line="20" w:lineRule="exact"/>
              <w:rPr>
                <w:sz w:val="1"/>
                <w:szCs w:val="1"/>
                <w:color w:val="auto"/>
              </w:rPr>
            </w:pPr>
          </w:p>
        </w:tc>
        <w:tc>
          <w:tcPr>
            <w:tcW w:w="540" w:type="dxa"/>
            <w:vAlign w:val="bottom"/>
            <w:tcBorders>
              <w:right w:val="single" w:sz="8" w:color="2360A6"/>
            </w:tcBorders>
            <w:shd w:val="clear" w:color="auto" w:fill="2360A6"/>
          </w:tcPr>
          <w:p>
            <w:pPr>
              <w:spacing w:after="0" w:line="20" w:lineRule="exact"/>
              <w:rPr>
                <w:sz w:val="1"/>
                <w:szCs w:val="1"/>
                <w:color w:val="auto"/>
              </w:rPr>
            </w:pPr>
          </w:p>
        </w:tc>
        <w:tc>
          <w:tcPr>
            <w:tcW w:w="500" w:type="dxa"/>
            <w:vAlign w:val="bottom"/>
            <w:tcBorders>
              <w:right w:val="single" w:sz="8" w:color="2360A6"/>
            </w:tcBorders>
            <w:shd w:val="clear" w:color="auto" w:fill="2360A6"/>
          </w:tcPr>
          <w:p>
            <w:pPr>
              <w:spacing w:after="0" w:line="20" w:lineRule="exact"/>
              <w:rPr>
                <w:sz w:val="1"/>
                <w:szCs w:val="1"/>
                <w:color w:val="auto"/>
              </w:rPr>
            </w:pPr>
          </w:p>
        </w:tc>
        <w:tc>
          <w:tcPr>
            <w:tcW w:w="480" w:type="dxa"/>
            <w:vAlign w:val="bottom"/>
            <w:tcBorders>
              <w:right w:val="single" w:sz="8" w:color="2360A6"/>
            </w:tcBorders>
            <w:shd w:val="clear" w:color="auto" w:fill="2360A6"/>
          </w:tcPr>
          <w:p>
            <w:pPr>
              <w:spacing w:after="0" w:line="20" w:lineRule="exact"/>
              <w:rPr>
                <w:sz w:val="1"/>
                <w:szCs w:val="1"/>
                <w:color w:val="auto"/>
              </w:rPr>
            </w:pPr>
          </w:p>
        </w:tc>
        <w:tc>
          <w:tcPr>
            <w:tcW w:w="540" w:type="dxa"/>
            <w:vAlign w:val="bottom"/>
            <w:tcBorders>
              <w:right w:val="single" w:sz="8" w:color="2360A6"/>
            </w:tcBorders>
            <w:shd w:val="clear" w:color="auto" w:fill="2360A6"/>
          </w:tcPr>
          <w:p>
            <w:pPr>
              <w:spacing w:after="0" w:line="20" w:lineRule="exact"/>
              <w:rPr>
                <w:sz w:val="1"/>
                <w:szCs w:val="1"/>
                <w:color w:val="auto"/>
              </w:rPr>
            </w:pPr>
          </w:p>
        </w:tc>
        <w:tc>
          <w:tcPr>
            <w:tcW w:w="540" w:type="dxa"/>
            <w:vAlign w:val="bottom"/>
            <w:tcBorders>
              <w:right w:val="single" w:sz="8" w:color="2360A6"/>
            </w:tcBorders>
            <w:shd w:val="clear" w:color="auto" w:fill="2360A6"/>
          </w:tcPr>
          <w:p>
            <w:pPr>
              <w:spacing w:after="0" w:line="20" w:lineRule="exact"/>
              <w:rPr>
                <w:sz w:val="1"/>
                <w:szCs w:val="1"/>
                <w:color w:val="auto"/>
              </w:rPr>
            </w:pPr>
          </w:p>
        </w:tc>
        <w:tc>
          <w:tcPr>
            <w:tcW w:w="540" w:type="dxa"/>
            <w:vAlign w:val="bottom"/>
            <w:tcBorders>
              <w:right w:val="single" w:sz="8" w:color="2360A6"/>
            </w:tcBorders>
            <w:shd w:val="clear" w:color="auto" w:fill="2360A6"/>
          </w:tcPr>
          <w:p>
            <w:pPr>
              <w:spacing w:after="0" w:line="20" w:lineRule="exact"/>
              <w:rPr>
                <w:sz w:val="1"/>
                <w:szCs w:val="1"/>
                <w:color w:val="auto"/>
              </w:rPr>
            </w:pPr>
          </w:p>
        </w:tc>
        <w:tc>
          <w:tcPr>
            <w:tcW w:w="520" w:type="dxa"/>
            <w:vAlign w:val="bottom"/>
            <w:tcBorders>
              <w:right w:val="single" w:sz="8" w:color="2360A6"/>
            </w:tcBorders>
            <w:shd w:val="clear" w:color="auto" w:fill="2360A6"/>
          </w:tcPr>
          <w:p>
            <w:pPr>
              <w:spacing w:after="0" w:line="20" w:lineRule="exact"/>
              <w:rPr>
                <w:sz w:val="1"/>
                <w:szCs w:val="1"/>
                <w:color w:val="auto"/>
              </w:rPr>
            </w:pPr>
          </w:p>
        </w:tc>
        <w:tc>
          <w:tcPr>
            <w:tcW w:w="380" w:type="dxa"/>
            <w:vAlign w:val="bottom"/>
            <w:tcBorders>
              <w:right w:val="single" w:sz="8" w:color="2360A6"/>
            </w:tcBorders>
            <w:shd w:val="clear" w:color="auto" w:fill="2360A6"/>
          </w:tcPr>
          <w:p>
            <w:pPr>
              <w:spacing w:after="0" w:line="20" w:lineRule="exact"/>
              <w:rPr>
                <w:sz w:val="1"/>
                <w:szCs w:val="1"/>
                <w:color w:val="auto"/>
              </w:rPr>
            </w:pPr>
          </w:p>
        </w:tc>
        <w:tc>
          <w:tcPr>
            <w:tcW w:w="500" w:type="dxa"/>
            <w:vAlign w:val="bottom"/>
            <w:tcBorders>
              <w:right w:val="single" w:sz="8" w:color="2360A6"/>
            </w:tcBorders>
            <w:shd w:val="clear" w:color="auto" w:fill="2360A6"/>
          </w:tcPr>
          <w:p>
            <w:pPr>
              <w:spacing w:after="0" w:line="20" w:lineRule="exact"/>
              <w:rPr>
                <w:sz w:val="1"/>
                <w:szCs w:val="1"/>
                <w:color w:val="auto"/>
              </w:rPr>
            </w:pPr>
          </w:p>
        </w:tc>
        <w:tc>
          <w:tcPr>
            <w:tcW w:w="420" w:type="dxa"/>
            <w:vAlign w:val="bottom"/>
            <w:tcBorders>
              <w:right w:val="single" w:sz="8" w:color="2360A6"/>
            </w:tcBorders>
            <w:shd w:val="clear" w:color="auto" w:fill="2360A6"/>
          </w:tcPr>
          <w:p>
            <w:pPr>
              <w:spacing w:after="0" w:line="20" w:lineRule="exact"/>
              <w:rPr>
                <w:sz w:val="1"/>
                <w:szCs w:val="1"/>
                <w:color w:val="auto"/>
              </w:rPr>
            </w:pPr>
          </w:p>
        </w:tc>
        <w:tc>
          <w:tcPr>
            <w:tcW w:w="380" w:type="dxa"/>
            <w:vAlign w:val="bottom"/>
            <w:tcBorders>
              <w:right w:val="single" w:sz="8" w:color="2360A6"/>
            </w:tcBorders>
            <w:shd w:val="clear" w:color="auto" w:fill="2360A6"/>
          </w:tcPr>
          <w:p>
            <w:pPr>
              <w:spacing w:after="0" w:line="20" w:lineRule="exact"/>
              <w:rPr>
                <w:sz w:val="1"/>
                <w:szCs w:val="1"/>
                <w:color w:val="auto"/>
              </w:rPr>
            </w:pPr>
          </w:p>
        </w:tc>
        <w:tc>
          <w:tcPr>
            <w:tcW w:w="640" w:type="dxa"/>
            <w:vAlign w:val="bottom"/>
            <w:tcBorders>
              <w:right w:val="single" w:sz="8" w:color="2360A6"/>
            </w:tcBorders>
            <w:shd w:val="clear" w:color="auto" w:fill="2360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940"/>
          </w:cols>
          <w:pgMar w:left="1000" w:top="714" w:right="959" w:bottom="1440" w:gutter="0" w:footer="0" w:header="0"/>
        </w:sectPr>
      </w:pPr>
    </w:p>
    <w:bookmarkStart w:id="133" w:name="page134"/>
    <w:bookmarkEnd w:id="133"/>
    <w:p>
      <w:pPr>
        <w:jc w:val="both"/>
        <w:ind w:left="80" w:right="40"/>
        <w:spacing w:after="0" w:line="260" w:lineRule="auto"/>
        <w:rPr>
          <w:sz w:val="20"/>
          <w:szCs w:val="20"/>
          <w:color w:val="auto"/>
        </w:rPr>
      </w:pPr>
      <w:r>
        <w:rPr>
          <w:rFonts w:ascii="Arial" w:cs="Arial" w:eastAsia="Arial" w:hAnsi="Arial"/>
          <w:sz w:val="16"/>
          <w:szCs w:val="16"/>
          <w:color w:val="231F20"/>
        </w:rPr>
        <w:t>From country to country, the vesting period of these plans is either three years from the date of grant (in which case the holding period is two years), or four years from the date of grant (in which case there is no holding period).</w:t>
      </w:r>
    </w:p>
    <w:p>
      <w:pPr>
        <w:spacing w:after="0" w:line="263" w:lineRule="exact"/>
        <w:rPr>
          <w:sz w:val="20"/>
          <w:szCs w:val="20"/>
          <w:color w:val="auto"/>
        </w:rPr>
      </w:pPr>
    </w:p>
    <w:p>
      <w:pPr>
        <w:jc w:val="both"/>
        <w:ind w:left="80" w:right="20"/>
        <w:spacing w:after="0" w:line="251" w:lineRule="auto"/>
        <w:rPr>
          <w:sz w:val="20"/>
          <w:szCs w:val="20"/>
          <w:color w:val="auto"/>
        </w:rPr>
      </w:pPr>
      <w:r>
        <w:rPr>
          <w:rFonts w:ascii="Arial" w:cs="Arial" w:eastAsia="Arial" w:hAnsi="Arial"/>
          <w:sz w:val="16"/>
          <w:szCs w:val="16"/>
          <w:color w:val="231F20"/>
        </w:rPr>
        <w:t>Performance shares were granted contingent upon performance conditions. The final number of shares granted to employees is contingent upon Technip achieving satisfactory performance for its shareholders. For the 2011, 2012, 2013, 2014 and 2015 plans, the performance is respectively measured over the 2011-2013, 2012-2014, 2013-2015, 2014-2016 and 2015-2017 periods on the basis of several criteria: Group results in matter of Health/Safety/Environment, operating income from recurring activities and treasury generated from operating activities.</w:t>
      </w:r>
    </w:p>
    <w:p>
      <w:pPr>
        <w:spacing w:after="0" w:line="270" w:lineRule="exact"/>
        <w:rPr>
          <w:sz w:val="20"/>
          <w:szCs w:val="20"/>
          <w:color w:val="auto"/>
        </w:rPr>
      </w:pPr>
    </w:p>
    <w:p>
      <w:pPr>
        <w:jc w:val="both"/>
        <w:ind w:left="80" w:right="20"/>
        <w:spacing w:after="0" w:line="260" w:lineRule="auto"/>
        <w:rPr>
          <w:sz w:val="20"/>
          <w:szCs w:val="20"/>
          <w:color w:val="auto"/>
        </w:rPr>
      </w:pPr>
      <w:r>
        <w:rPr>
          <w:rFonts w:ascii="Arial" w:cs="Arial" w:eastAsia="Arial" w:hAnsi="Arial"/>
          <w:sz w:val="16"/>
          <w:szCs w:val="16"/>
          <w:color w:val="231F20"/>
        </w:rPr>
        <w:t>For the 2016 plans, the performance will be measured over the 2016-2018 on the basis of three criteria: Group results in terms of Total Shareholder Return, Health/Safety/Environment and operating income from recurring activities.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2360A6"/>
        </w:rPr>
        <w:t>IFRS 2 accounting charge</w:t>
      </w:r>
    </w:p>
    <w:p>
      <w:pPr>
        <w:spacing w:after="0" w:line="241" w:lineRule="exact"/>
        <w:rPr>
          <w:sz w:val="20"/>
          <w:szCs w:val="20"/>
          <w:color w:val="auto"/>
        </w:rPr>
      </w:pPr>
    </w:p>
    <w:p>
      <w:pPr>
        <w:jc w:val="both"/>
        <w:ind w:left="80" w:right="20"/>
        <w:spacing w:after="0" w:line="260" w:lineRule="auto"/>
        <w:rPr>
          <w:sz w:val="20"/>
          <w:szCs w:val="20"/>
          <w:color w:val="auto"/>
        </w:rPr>
      </w:pPr>
      <w:r>
        <w:rPr>
          <w:rFonts w:ascii="Arial" w:cs="Arial" w:eastAsia="Arial" w:hAnsi="Arial"/>
          <w:sz w:val="16"/>
          <w:szCs w:val="16"/>
          <w:color w:val="231F20"/>
        </w:rPr>
        <w:t>IFRS 2 applies to the valuation of performance share grants. Consequently, the Group recorded a charge of €15.7 million in 2016 compared to €28.8 million in 2015 and €33.3 million in 2014.</w:t>
      </w:r>
    </w:p>
    <w:p>
      <w:pPr>
        <w:spacing w:after="0" w:line="196" w:lineRule="exact"/>
        <w:rPr>
          <w:sz w:val="20"/>
          <w:szCs w:val="20"/>
          <w:color w:val="auto"/>
        </w:rPr>
      </w:pPr>
    </w:p>
    <w:p>
      <w:pPr>
        <w:jc w:val="both"/>
        <w:ind w:left="80" w:right="20"/>
        <w:spacing w:after="0" w:line="258" w:lineRule="auto"/>
        <w:rPr>
          <w:sz w:val="20"/>
          <w:szCs w:val="20"/>
          <w:color w:val="auto"/>
        </w:rPr>
      </w:pPr>
      <w:r>
        <w:rPr>
          <w:rFonts w:ascii="Arial" w:cs="Arial" w:eastAsia="Arial" w:hAnsi="Arial"/>
          <w:sz w:val="16"/>
          <w:szCs w:val="16"/>
          <w:color w:val="231F20"/>
        </w:rPr>
        <w:t>Performance shares granted to employees for the 2012 plan will be served using existing shares; 2013 and 2016 plans will be served by capital increase, except decision of the Chairman and Chief Executive Officer to serve on existing shares and except plans granted to the Chaiman and Chief Executive Officer.</w:t>
      </w:r>
    </w:p>
    <w:p>
      <w:pPr>
        <w:spacing w:after="0" w:line="388"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The following table shows assumptions underlying the fair value computation of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54875" cy="2752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752725"/>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60" w:type="dxa"/>
            <w:vAlign w:val="bottom"/>
            <w:tcBorders>
              <w:top w:val="single" w:sz="8" w:color="2360A6"/>
              <w:right w:val="single" w:sz="8" w:color="2360A6"/>
            </w:tcBorders>
          </w:tcPr>
          <w:p>
            <w:pPr>
              <w:spacing w:after="0"/>
              <w:rPr>
                <w:sz w:val="13"/>
                <w:szCs w:val="13"/>
                <w:color w:val="auto"/>
              </w:rPr>
            </w:pPr>
          </w:p>
        </w:tc>
        <w:tc>
          <w:tcPr>
            <w:tcW w:w="680" w:type="dxa"/>
            <w:vAlign w:val="bottom"/>
            <w:tcBorders>
              <w:top w:val="single" w:sz="8" w:color="2360A6"/>
              <w:right w:val="single" w:sz="8" w:color="2360A6"/>
            </w:tcBorders>
          </w:tcPr>
          <w:p>
            <w:pPr>
              <w:ind w:left="200"/>
              <w:spacing w:after="0"/>
              <w:rPr>
                <w:sz w:val="20"/>
                <w:szCs w:val="20"/>
                <w:color w:val="auto"/>
              </w:rPr>
            </w:pPr>
            <w:r>
              <w:rPr>
                <w:rFonts w:ascii="Arial" w:cs="Arial" w:eastAsia="Arial" w:hAnsi="Arial"/>
                <w:sz w:val="13"/>
                <w:szCs w:val="13"/>
                <w:b w:val="1"/>
                <w:bCs w:val="1"/>
                <w:color w:val="2360A6"/>
              </w:rPr>
              <w:t>Plan</w:t>
            </w:r>
          </w:p>
        </w:tc>
        <w:tc>
          <w:tcPr>
            <w:tcW w:w="680" w:type="dxa"/>
            <w:vAlign w:val="bottom"/>
            <w:tcBorders>
              <w:top w:val="single" w:sz="8" w:color="2360A6"/>
            </w:tcBorders>
          </w:tcPr>
          <w:p>
            <w:pPr>
              <w:spacing w:after="0"/>
              <w:rPr>
                <w:sz w:val="13"/>
                <w:szCs w:val="13"/>
                <w:color w:val="auto"/>
              </w:rPr>
            </w:pPr>
          </w:p>
        </w:tc>
        <w:tc>
          <w:tcPr>
            <w:tcW w:w="300" w:type="dxa"/>
            <w:vAlign w:val="bottom"/>
            <w:tcBorders>
              <w:top w:val="single" w:sz="8" w:color="2360A6"/>
            </w:tcBorders>
          </w:tcPr>
          <w:p>
            <w:pPr>
              <w:spacing w:after="0"/>
              <w:rPr>
                <w:sz w:val="13"/>
                <w:szCs w:val="13"/>
                <w:color w:val="auto"/>
              </w:rPr>
            </w:pPr>
          </w:p>
        </w:tc>
        <w:tc>
          <w:tcPr>
            <w:tcW w:w="400" w:type="dxa"/>
            <w:vAlign w:val="bottom"/>
            <w:tcBorders>
              <w:top w:val="single" w:sz="8" w:color="2360A6"/>
              <w:right w:val="single" w:sz="8" w:color="2360A6"/>
            </w:tcBorders>
          </w:tcPr>
          <w:p>
            <w:pPr>
              <w:spacing w:after="0"/>
              <w:rPr>
                <w:sz w:val="13"/>
                <w:szCs w:val="13"/>
                <w:color w:val="auto"/>
              </w:rPr>
            </w:pPr>
          </w:p>
        </w:tc>
        <w:tc>
          <w:tcPr>
            <w:tcW w:w="580" w:type="dxa"/>
            <w:vAlign w:val="bottom"/>
            <w:tcBorders>
              <w:top w:val="single" w:sz="8" w:color="2360A6"/>
            </w:tcBorders>
          </w:tcPr>
          <w:p>
            <w:pPr>
              <w:spacing w:after="0"/>
              <w:rPr>
                <w:sz w:val="13"/>
                <w:szCs w:val="13"/>
                <w:color w:val="auto"/>
              </w:rPr>
            </w:pPr>
          </w:p>
        </w:tc>
        <w:tc>
          <w:tcPr>
            <w:tcW w:w="580" w:type="dxa"/>
            <w:vAlign w:val="bottom"/>
            <w:tcBorders>
              <w:top w:val="single" w:sz="8" w:color="2360A6"/>
            </w:tcBorders>
          </w:tcPr>
          <w:p>
            <w:pPr>
              <w:spacing w:after="0"/>
              <w:rPr>
                <w:sz w:val="13"/>
                <w:szCs w:val="13"/>
                <w:color w:val="auto"/>
              </w:rPr>
            </w:pPr>
          </w:p>
        </w:tc>
        <w:tc>
          <w:tcPr>
            <w:tcW w:w="580" w:type="dxa"/>
            <w:vAlign w:val="bottom"/>
            <w:tcBorders>
              <w:top w:val="single" w:sz="8" w:color="2360A6"/>
              <w:right w:val="single" w:sz="8" w:color="2360A6"/>
            </w:tcBorders>
          </w:tcPr>
          <w:p>
            <w:pPr>
              <w:spacing w:after="0"/>
              <w:rPr>
                <w:sz w:val="13"/>
                <w:szCs w:val="13"/>
                <w:color w:val="auto"/>
              </w:rPr>
            </w:pPr>
          </w:p>
        </w:tc>
        <w:tc>
          <w:tcPr>
            <w:tcW w:w="560" w:type="dxa"/>
            <w:vAlign w:val="bottom"/>
            <w:tcBorders>
              <w:top w:val="single" w:sz="8" w:color="2360A6"/>
            </w:tcBorders>
          </w:tcPr>
          <w:p>
            <w:pPr>
              <w:spacing w:after="0"/>
              <w:rPr>
                <w:sz w:val="13"/>
                <w:szCs w:val="13"/>
                <w:color w:val="auto"/>
              </w:rPr>
            </w:pPr>
          </w:p>
        </w:tc>
        <w:tc>
          <w:tcPr>
            <w:tcW w:w="580" w:type="dxa"/>
            <w:vAlign w:val="bottom"/>
            <w:tcBorders>
              <w:top w:val="single" w:sz="8" w:color="2360A6"/>
            </w:tcBorders>
          </w:tcPr>
          <w:p>
            <w:pPr>
              <w:spacing w:after="0"/>
              <w:rPr>
                <w:sz w:val="13"/>
                <w:szCs w:val="13"/>
                <w:color w:val="auto"/>
              </w:rPr>
            </w:pPr>
          </w:p>
        </w:tc>
        <w:tc>
          <w:tcPr>
            <w:tcW w:w="40" w:type="dxa"/>
            <w:vAlign w:val="bottom"/>
            <w:tcBorders>
              <w:top w:val="single" w:sz="8" w:color="2360A6"/>
            </w:tcBorders>
          </w:tcPr>
          <w:p>
            <w:pPr>
              <w:spacing w:after="0"/>
              <w:rPr>
                <w:sz w:val="13"/>
                <w:szCs w:val="13"/>
                <w:color w:val="auto"/>
              </w:rPr>
            </w:pPr>
          </w:p>
        </w:tc>
        <w:tc>
          <w:tcPr>
            <w:tcW w:w="520" w:type="dxa"/>
            <w:vAlign w:val="bottom"/>
            <w:tcBorders>
              <w:top w:val="single" w:sz="8" w:color="2360A6"/>
              <w:right w:val="single" w:sz="8" w:color="2360A6"/>
            </w:tcBorders>
          </w:tcPr>
          <w:p>
            <w:pPr>
              <w:spacing w:after="0"/>
              <w:rPr>
                <w:sz w:val="13"/>
                <w:szCs w:val="13"/>
                <w:color w:val="auto"/>
              </w:rPr>
            </w:pPr>
          </w:p>
        </w:tc>
        <w:tc>
          <w:tcPr>
            <w:tcW w:w="680" w:type="dxa"/>
            <w:vAlign w:val="bottom"/>
            <w:tcBorders>
              <w:top w:val="single" w:sz="8" w:color="2360A6"/>
            </w:tcBorders>
          </w:tcPr>
          <w:p>
            <w:pPr>
              <w:spacing w:after="0"/>
              <w:rPr>
                <w:sz w:val="13"/>
                <w:szCs w:val="13"/>
                <w:color w:val="auto"/>
              </w:rPr>
            </w:pPr>
          </w:p>
        </w:tc>
        <w:tc>
          <w:tcPr>
            <w:tcW w:w="560" w:type="dxa"/>
            <w:vAlign w:val="bottom"/>
            <w:tcBorders>
              <w:top w:val="single" w:sz="8" w:color="2360A6"/>
              <w:right w:val="single" w:sz="8" w:color="2360A6"/>
            </w:tcBorders>
          </w:tcPr>
          <w:p>
            <w:pPr>
              <w:spacing w:after="0"/>
              <w:rPr>
                <w:sz w:val="13"/>
                <w:szCs w:val="13"/>
                <w:color w:val="auto"/>
              </w:rPr>
            </w:pPr>
          </w:p>
        </w:tc>
        <w:tc>
          <w:tcPr>
            <w:tcW w:w="580" w:type="dxa"/>
            <w:vAlign w:val="bottom"/>
            <w:tcBorders>
              <w:top w:val="single" w:sz="8" w:color="2360A6"/>
            </w:tcBorders>
          </w:tcPr>
          <w:p>
            <w:pPr>
              <w:spacing w:after="0"/>
              <w:rPr>
                <w:sz w:val="13"/>
                <w:szCs w:val="13"/>
                <w:color w:val="auto"/>
              </w:rPr>
            </w:pPr>
          </w:p>
        </w:tc>
        <w:tc>
          <w:tcPr>
            <w:tcW w:w="660" w:type="dxa"/>
            <w:vAlign w:val="bottom"/>
            <w:tcBorders>
              <w:top w:val="single" w:sz="8" w:color="2360A6"/>
              <w:right w:val="single" w:sz="8" w:color="2360A6"/>
            </w:tcBorders>
          </w:tcPr>
          <w:p>
            <w:pPr>
              <w:spacing w:after="0"/>
              <w:rPr>
                <w:sz w:val="13"/>
                <w:szCs w:val="13"/>
                <w:color w:val="auto"/>
              </w:rPr>
            </w:pPr>
          </w:p>
        </w:tc>
        <w:tc>
          <w:tcPr>
            <w:tcW w:w="680" w:type="dxa"/>
            <w:vAlign w:val="bottom"/>
            <w:tcBorders>
              <w:top w:val="single" w:sz="8" w:color="2360A6"/>
              <w:right w:val="single" w:sz="8" w:color="2360A6"/>
            </w:tcBorders>
          </w:tcPr>
          <w:p>
            <w:pPr>
              <w:jc w:val="right"/>
              <w:ind w:right="137"/>
              <w:spacing w:after="0"/>
              <w:rPr>
                <w:sz w:val="20"/>
                <w:szCs w:val="20"/>
                <w:color w:val="auto"/>
              </w:rPr>
            </w:pPr>
            <w:r>
              <w:rPr>
                <w:rFonts w:ascii="Arial" w:cs="Arial" w:eastAsia="Arial" w:hAnsi="Arial"/>
                <w:sz w:val="13"/>
                <w:szCs w:val="13"/>
                <w:b w:val="1"/>
                <w:bCs w:val="1"/>
                <w:color w:val="2360A6"/>
              </w:rPr>
              <w:t>Plan</w:t>
            </w:r>
          </w:p>
        </w:tc>
        <w:tc>
          <w:tcPr>
            <w:tcW w:w="680" w:type="dxa"/>
            <w:vAlign w:val="bottom"/>
            <w:tcBorders>
              <w:top w:val="single" w:sz="8" w:color="2360A6"/>
              <w:right w:val="single" w:sz="8" w:color="2360A6"/>
            </w:tcBorders>
          </w:tcPr>
          <w:p>
            <w:pPr>
              <w:spacing w:after="0"/>
              <w:rPr>
                <w:sz w:val="13"/>
                <w:szCs w:val="13"/>
                <w:color w:val="auto"/>
              </w:rPr>
            </w:pPr>
          </w:p>
        </w:tc>
        <w:tc>
          <w:tcPr>
            <w:tcW w:w="680" w:type="dxa"/>
            <w:vAlign w:val="bottom"/>
            <w:tcBorders>
              <w:top w:val="single" w:sz="8" w:color="2360A6"/>
              <w:right w:val="single" w:sz="8" w:color="2360A6"/>
            </w:tcBorders>
            <w:shd w:val="clear" w:color="auto" w:fill="2360A6"/>
          </w:tcPr>
          <w:p>
            <w:pPr>
              <w:spacing w:after="0"/>
              <w:rPr>
                <w:sz w:val="13"/>
                <w:szCs w:val="13"/>
                <w:color w:val="auto"/>
              </w:rPr>
            </w:pPr>
          </w:p>
        </w:tc>
        <w:tc>
          <w:tcPr>
            <w:tcW w:w="540" w:type="dxa"/>
            <w:vAlign w:val="bottom"/>
            <w:tcBorders>
              <w:top w:val="single" w:sz="8" w:color="2360A6"/>
            </w:tcBorders>
            <w:shd w:val="clear" w:color="auto" w:fill="2360A6"/>
          </w:tcPr>
          <w:p>
            <w:pPr>
              <w:spacing w:after="0"/>
              <w:rPr>
                <w:sz w:val="13"/>
                <w:szCs w:val="13"/>
                <w:color w:val="auto"/>
              </w:rPr>
            </w:pPr>
          </w:p>
        </w:tc>
        <w:tc>
          <w:tcPr>
            <w:tcW w:w="20" w:type="dxa"/>
            <w:vAlign w:val="bottom"/>
            <w:tcBorders>
              <w:top w:val="single" w:sz="8" w:color="2360A6"/>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60" w:type="dxa"/>
            <w:vAlign w:val="bottom"/>
            <w:tcBorders>
              <w:right w:val="single" w:sz="8" w:color="2360A6"/>
            </w:tcBorders>
          </w:tcPr>
          <w:p>
            <w:pPr>
              <w:spacing w:after="0"/>
              <w:rPr>
                <w:sz w:val="15"/>
                <w:szCs w:val="15"/>
                <w:color w:val="auto"/>
              </w:rPr>
            </w:pPr>
          </w:p>
        </w:tc>
        <w:tc>
          <w:tcPr>
            <w:tcW w:w="680" w:type="dxa"/>
            <w:vAlign w:val="bottom"/>
            <w:tcBorders>
              <w:bottom w:val="single" w:sz="8" w:color="2360A6"/>
              <w:right w:val="single" w:sz="8" w:color="2360A6"/>
            </w:tcBorders>
          </w:tcPr>
          <w:p>
            <w:pPr>
              <w:ind w:left="180"/>
              <w:spacing w:after="0"/>
              <w:rPr>
                <w:sz w:val="20"/>
                <w:szCs w:val="20"/>
                <w:color w:val="auto"/>
              </w:rPr>
            </w:pPr>
            <w:r>
              <w:rPr>
                <w:rFonts w:ascii="Arial" w:cs="Arial" w:eastAsia="Arial" w:hAnsi="Arial"/>
                <w:sz w:val="13"/>
                <w:szCs w:val="13"/>
                <w:b w:val="1"/>
                <w:bCs w:val="1"/>
                <w:color w:val="2360A6"/>
              </w:rPr>
              <w:t>2008</w:t>
            </w:r>
          </w:p>
        </w:tc>
        <w:tc>
          <w:tcPr>
            <w:tcW w:w="980" w:type="dxa"/>
            <w:vAlign w:val="bottom"/>
            <w:tcBorders>
              <w:bottom w:val="single" w:sz="8" w:color="2360A6"/>
            </w:tcBorders>
            <w:gridSpan w:val="2"/>
          </w:tcPr>
          <w:p>
            <w:pPr>
              <w:ind w:left="380"/>
              <w:spacing w:after="0"/>
              <w:rPr>
                <w:sz w:val="20"/>
                <w:szCs w:val="20"/>
                <w:color w:val="auto"/>
              </w:rPr>
            </w:pPr>
            <w:r>
              <w:rPr>
                <w:rFonts w:ascii="Arial" w:cs="Arial" w:eastAsia="Arial" w:hAnsi="Arial"/>
                <w:sz w:val="13"/>
                <w:szCs w:val="13"/>
                <w:b w:val="1"/>
                <w:bCs w:val="1"/>
                <w:color w:val="2360A6"/>
                <w:w w:val="96"/>
              </w:rPr>
              <w:t>Plan 2009</w:t>
            </w:r>
          </w:p>
        </w:tc>
        <w:tc>
          <w:tcPr>
            <w:tcW w:w="400" w:type="dxa"/>
            <w:vAlign w:val="bottom"/>
            <w:tcBorders>
              <w:bottom w:val="single" w:sz="8" w:color="2360A6"/>
              <w:right w:val="single" w:sz="8" w:color="2360A6"/>
            </w:tcBorders>
          </w:tcPr>
          <w:p>
            <w:pPr>
              <w:spacing w:after="0"/>
              <w:rPr>
                <w:sz w:val="15"/>
                <w:szCs w:val="15"/>
                <w:color w:val="auto"/>
              </w:rPr>
            </w:pPr>
          </w:p>
        </w:tc>
        <w:tc>
          <w:tcPr>
            <w:tcW w:w="580" w:type="dxa"/>
            <w:vAlign w:val="bottom"/>
            <w:tcBorders>
              <w:bottom w:val="single" w:sz="8" w:color="2360A6"/>
            </w:tcBorders>
          </w:tcPr>
          <w:p>
            <w:pPr>
              <w:spacing w:after="0"/>
              <w:rPr>
                <w:sz w:val="15"/>
                <w:szCs w:val="15"/>
                <w:color w:val="auto"/>
              </w:rPr>
            </w:pPr>
          </w:p>
        </w:tc>
        <w:tc>
          <w:tcPr>
            <w:tcW w:w="580" w:type="dxa"/>
            <w:vAlign w:val="bottom"/>
            <w:tcBorders>
              <w:bottom w:val="single" w:sz="8" w:color="2360A6"/>
            </w:tcBorders>
          </w:tcPr>
          <w:p>
            <w:pPr>
              <w:jc w:val="right"/>
              <w:spacing w:after="0"/>
              <w:rPr>
                <w:sz w:val="20"/>
                <w:szCs w:val="20"/>
                <w:color w:val="auto"/>
              </w:rPr>
            </w:pPr>
            <w:r>
              <w:rPr>
                <w:rFonts w:ascii="Arial" w:cs="Arial" w:eastAsia="Arial" w:hAnsi="Arial"/>
                <w:sz w:val="13"/>
                <w:szCs w:val="13"/>
                <w:b w:val="1"/>
                <w:bCs w:val="1"/>
                <w:color w:val="2360A6"/>
                <w:w w:val="89"/>
              </w:rPr>
              <w:t>Plan 2010</w:t>
            </w:r>
          </w:p>
        </w:tc>
        <w:tc>
          <w:tcPr>
            <w:tcW w:w="580" w:type="dxa"/>
            <w:vAlign w:val="bottom"/>
            <w:tcBorders>
              <w:bottom w:val="single" w:sz="8" w:color="2360A6"/>
              <w:right w:val="single" w:sz="8" w:color="2360A6"/>
            </w:tcBorders>
          </w:tcPr>
          <w:p>
            <w:pPr>
              <w:spacing w:after="0"/>
              <w:rPr>
                <w:sz w:val="15"/>
                <w:szCs w:val="15"/>
                <w:color w:val="auto"/>
              </w:rPr>
            </w:pPr>
          </w:p>
        </w:tc>
        <w:tc>
          <w:tcPr>
            <w:tcW w:w="560" w:type="dxa"/>
            <w:vAlign w:val="bottom"/>
            <w:tcBorders>
              <w:bottom w:val="single" w:sz="8" w:color="2360A6"/>
            </w:tcBorders>
          </w:tcPr>
          <w:p>
            <w:pPr>
              <w:spacing w:after="0"/>
              <w:rPr>
                <w:sz w:val="15"/>
                <w:szCs w:val="15"/>
                <w:color w:val="auto"/>
              </w:rPr>
            </w:pPr>
          </w:p>
        </w:tc>
        <w:tc>
          <w:tcPr>
            <w:tcW w:w="620" w:type="dxa"/>
            <w:vAlign w:val="bottom"/>
            <w:tcBorders>
              <w:bottom w:val="single" w:sz="8" w:color="2360A6"/>
            </w:tcBorders>
            <w:gridSpan w:val="2"/>
          </w:tcPr>
          <w:p>
            <w:pPr>
              <w:spacing w:after="0"/>
              <w:rPr>
                <w:sz w:val="20"/>
                <w:szCs w:val="20"/>
                <w:color w:val="auto"/>
              </w:rPr>
            </w:pPr>
            <w:r>
              <w:rPr>
                <w:rFonts w:ascii="Arial" w:cs="Arial" w:eastAsia="Arial" w:hAnsi="Arial"/>
                <w:sz w:val="13"/>
                <w:szCs w:val="13"/>
                <w:b w:val="1"/>
                <w:bCs w:val="1"/>
                <w:color w:val="2360A6"/>
                <w:w w:val="99"/>
              </w:rPr>
              <w:t>Plan 2011</w:t>
            </w:r>
          </w:p>
        </w:tc>
        <w:tc>
          <w:tcPr>
            <w:tcW w:w="520" w:type="dxa"/>
            <w:vAlign w:val="bottom"/>
            <w:tcBorders>
              <w:bottom w:val="single" w:sz="8" w:color="2360A6"/>
              <w:right w:val="single" w:sz="8" w:color="2360A6"/>
            </w:tcBorders>
          </w:tcPr>
          <w:p>
            <w:pPr>
              <w:spacing w:after="0"/>
              <w:rPr>
                <w:sz w:val="15"/>
                <w:szCs w:val="15"/>
                <w:color w:val="auto"/>
              </w:rPr>
            </w:pPr>
          </w:p>
        </w:tc>
        <w:tc>
          <w:tcPr>
            <w:tcW w:w="1240" w:type="dxa"/>
            <w:vAlign w:val="bottom"/>
            <w:tcBorders>
              <w:bottom w:val="single" w:sz="8" w:color="2360A6"/>
              <w:right w:val="single" w:sz="8" w:color="2360A6"/>
            </w:tcBorders>
            <w:gridSpan w:val="2"/>
          </w:tcPr>
          <w:p>
            <w:pPr>
              <w:jc w:val="right"/>
              <w:ind w:right="277"/>
              <w:spacing w:after="0"/>
              <w:rPr>
                <w:sz w:val="20"/>
                <w:szCs w:val="20"/>
                <w:color w:val="auto"/>
              </w:rPr>
            </w:pPr>
            <w:r>
              <w:rPr>
                <w:rFonts w:ascii="Arial" w:cs="Arial" w:eastAsia="Arial" w:hAnsi="Arial"/>
                <w:sz w:val="13"/>
                <w:szCs w:val="13"/>
                <w:b w:val="1"/>
                <w:bCs w:val="1"/>
                <w:color w:val="2360A6"/>
              </w:rPr>
              <w:t>Plan 2012</w:t>
            </w:r>
          </w:p>
        </w:tc>
        <w:tc>
          <w:tcPr>
            <w:tcW w:w="1240" w:type="dxa"/>
            <w:vAlign w:val="bottom"/>
            <w:tcBorders>
              <w:bottom w:val="single" w:sz="8" w:color="2360A6"/>
              <w:right w:val="single" w:sz="8" w:color="2360A6"/>
            </w:tcBorders>
            <w:gridSpan w:val="2"/>
          </w:tcPr>
          <w:p>
            <w:pPr>
              <w:jc w:val="right"/>
              <w:ind w:right="277"/>
              <w:spacing w:after="0"/>
              <w:rPr>
                <w:sz w:val="20"/>
                <w:szCs w:val="20"/>
                <w:color w:val="auto"/>
              </w:rPr>
            </w:pPr>
            <w:r>
              <w:rPr>
                <w:rFonts w:ascii="Arial" w:cs="Arial" w:eastAsia="Arial" w:hAnsi="Arial"/>
                <w:sz w:val="13"/>
                <w:szCs w:val="13"/>
                <w:b w:val="1"/>
                <w:bCs w:val="1"/>
                <w:color w:val="2360A6"/>
              </w:rPr>
              <w:t>Plan 2012</w:t>
            </w:r>
          </w:p>
        </w:tc>
        <w:tc>
          <w:tcPr>
            <w:tcW w:w="680" w:type="dxa"/>
            <w:vAlign w:val="bottom"/>
            <w:tcBorders>
              <w:bottom w:val="single" w:sz="8" w:color="2360A6"/>
              <w:right w:val="single" w:sz="8" w:color="2360A6"/>
            </w:tcBorders>
          </w:tcPr>
          <w:p>
            <w:pPr>
              <w:jc w:val="right"/>
              <w:ind w:right="137"/>
              <w:spacing w:after="0"/>
              <w:rPr>
                <w:sz w:val="20"/>
                <w:szCs w:val="20"/>
                <w:color w:val="auto"/>
              </w:rPr>
            </w:pPr>
            <w:r>
              <w:rPr>
                <w:rFonts w:ascii="Arial" w:cs="Arial" w:eastAsia="Arial" w:hAnsi="Arial"/>
                <w:sz w:val="13"/>
                <w:szCs w:val="13"/>
                <w:b w:val="1"/>
                <w:bCs w:val="1"/>
                <w:color w:val="2360A6"/>
              </w:rPr>
              <w:t>2014</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w w:val="99"/>
              </w:rPr>
              <w:t>Plan 2015</w:t>
            </w:r>
          </w:p>
        </w:tc>
        <w:tc>
          <w:tcPr>
            <w:tcW w:w="1220" w:type="dxa"/>
            <w:vAlign w:val="bottom"/>
            <w:tcBorders>
              <w:bottom w:val="single" w:sz="8" w:color="2360A6"/>
            </w:tcBorders>
            <w:gridSpan w:val="2"/>
            <w:shd w:val="clear" w:color="auto" w:fill="2360A6"/>
          </w:tcPr>
          <w:p>
            <w:pPr>
              <w:jc w:val="right"/>
              <w:ind w:right="257"/>
              <w:spacing w:after="0"/>
              <w:rPr>
                <w:sz w:val="20"/>
                <w:szCs w:val="20"/>
                <w:color w:val="auto"/>
              </w:rPr>
            </w:pPr>
            <w:r>
              <w:rPr>
                <w:rFonts w:ascii="Arial" w:cs="Arial" w:eastAsia="Arial" w:hAnsi="Arial"/>
                <w:sz w:val="13"/>
                <w:szCs w:val="13"/>
                <w:b w:val="1"/>
                <w:bCs w:val="1"/>
                <w:color w:val="FFFFFF"/>
              </w:rPr>
              <w:t>Plan 2016</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Borders>
              <w:bottom w:val="single" w:sz="8" w:color="2360A6"/>
              <w:right w:val="single" w:sz="8" w:color="2360A6"/>
            </w:tcBorders>
          </w:tcPr>
          <w:p>
            <w:pPr>
              <w:spacing w:after="0"/>
              <w:rPr>
                <w:sz w:val="15"/>
                <w:szCs w:val="15"/>
                <w:color w:val="auto"/>
              </w:rPr>
            </w:pP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3</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1</w:t>
            </w:r>
          </w:p>
        </w:tc>
        <w:tc>
          <w:tcPr>
            <w:tcW w:w="300" w:type="dxa"/>
            <w:vAlign w:val="bottom"/>
            <w:tcBorders>
              <w:bottom w:val="single" w:sz="8" w:color="2360A6"/>
            </w:tcBorders>
          </w:tcPr>
          <w:p>
            <w:pPr>
              <w:spacing w:after="0"/>
              <w:rPr>
                <w:sz w:val="15"/>
                <w:szCs w:val="15"/>
                <w:color w:val="auto"/>
              </w:rPr>
            </w:pPr>
          </w:p>
        </w:tc>
        <w:tc>
          <w:tcPr>
            <w:tcW w:w="4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w w:val="93"/>
              </w:rPr>
              <w:t>Part 3</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1</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2</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3</w:t>
            </w:r>
          </w:p>
        </w:tc>
        <w:tc>
          <w:tcPr>
            <w:tcW w:w="5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1</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2</w:t>
            </w:r>
          </w:p>
        </w:tc>
        <w:tc>
          <w:tcPr>
            <w:tcW w:w="40" w:type="dxa"/>
            <w:vAlign w:val="bottom"/>
            <w:tcBorders>
              <w:bottom w:val="single" w:sz="8" w:color="2360A6"/>
            </w:tcBorders>
          </w:tcPr>
          <w:p>
            <w:pPr>
              <w:spacing w:after="0"/>
              <w:rPr>
                <w:sz w:val="15"/>
                <w:szCs w:val="15"/>
                <w:color w:val="auto"/>
              </w:rPr>
            </w:pPr>
          </w:p>
        </w:tc>
        <w:tc>
          <w:tcPr>
            <w:tcW w:w="5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3</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1</w:t>
            </w:r>
          </w:p>
        </w:tc>
        <w:tc>
          <w:tcPr>
            <w:tcW w:w="5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2</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1</w:t>
            </w:r>
          </w:p>
        </w:tc>
        <w:tc>
          <w:tcPr>
            <w:tcW w:w="6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2</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1</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Part 1</w:t>
            </w:r>
          </w:p>
        </w:tc>
        <w:tc>
          <w:tcPr>
            <w:tcW w:w="6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Part 1</w:t>
            </w:r>
          </w:p>
        </w:tc>
        <w:tc>
          <w:tcPr>
            <w:tcW w:w="5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Part 2</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60" w:type="dxa"/>
            <w:vAlign w:val="bottom"/>
            <w:tcBorders>
              <w:right w:val="single" w:sz="8" w:color="2360A6"/>
            </w:tcBorders>
          </w:tcPr>
          <w:p>
            <w:pPr>
              <w:ind w:left="60"/>
              <w:spacing w:after="0"/>
              <w:rPr>
                <w:sz w:val="20"/>
                <w:szCs w:val="20"/>
                <w:color w:val="auto"/>
              </w:rPr>
            </w:pPr>
            <w:r>
              <w:rPr>
                <w:rFonts w:ascii="Arial" w:cs="Arial" w:eastAsia="Arial" w:hAnsi="Arial"/>
                <w:sz w:val="13"/>
                <w:szCs w:val="13"/>
                <w:color w:val="231F20"/>
              </w:rPr>
              <w:t>Share Price</w:t>
            </w:r>
          </w:p>
        </w:tc>
        <w:tc>
          <w:tcPr>
            <w:tcW w:w="680" w:type="dxa"/>
            <w:vAlign w:val="bottom"/>
            <w:tcBorders>
              <w:right w:val="single" w:sz="8" w:color="2360A6"/>
            </w:tcBorders>
          </w:tcPr>
          <w:p>
            <w:pPr>
              <w:spacing w:after="0"/>
              <w:rPr>
                <w:sz w:val="17"/>
                <w:szCs w:val="17"/>
                <w:color w:val="auto"/>
              </w:rPr>
            </w:pPr>
          </w:p>
        </w:tc>
        <w:tc>
          <w:tcPr>
            <w:tcW w:w="680" w:type="dxa"/>
            <w:vAlign w:val="bottom"/>
            <w:tcBorders>
              <w:right w:val="single" w:sz="8" w:color="2360A6"/>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right w:val="single" w:sz="8" w:color="2360A6"/>
            </w:tcBorders>
          </w:tcPr>
          <w:p>
            <w:pPr>
              <w:spacing w:after="0"/>
              <w:rPr>
                <w:sz w:val="17"/>
                <w:szCs w:val="17"/>
                <w:color w:val="auto"/>
              </w:rPr>
            </w:pPr>
          </w:p>
        </w:tc>
        <w:tc>
          <w:tcPr>
            <w:tcW w:w="580" w:type="dxa"/>
            <w:vAlign w:val="bottom"/>
            <w:tcBorders>
              <w:right w:val="single" w:sz="8" w:color="2360A6"/>
            </w:tcBorders>
          </w:tcPr>
          <w:p>
            <w:pPr>
              <w:spacing w:after="0"/>
              <w:rPr>
                <w:sz w:val="17"/>
                <w:szCs w:val="17"/>
                <w:color w:val="auto"/>
              </w:rPr>
            </w:pPr>
          </w:p>
        </w:tc>
        <w:tc>
          <w:tcPr>
            <w:tcW w:w="580" w:type="dxa"/>
            <w:vAlign w:val="bottom"/>
            <w:tcBorders>
              <w:right w:val="single" w:sz="8" w:color="2360A6"/>
            </w:tcBorders>
          </w:tcPr>
          <w:p>
            <w:pPr>
              <w:spacing w:after="0"/>
              <w:rPr>
                <w:sz w:val="17"/>
                <w:szCs w:val="17"/>
                <w:color w:val="auto"/>
              </w:rPr>
            </w:pPr>
          </w:p>
        </w:tc>
        <w:tc>
          <w:tcPr>
            <w:tcW w:w="580" w:type="dxa"/>
            <w:vAlign w:val="bottom"/>
            <w:tcBorders>
              <w:right w:val="single" w:sz="8" w:color="2360A6"/>
            </w:tcBorders>
          </w:tcPr>
          <w:p>
            <w:pPr>
              <w:spacing w:after="0"/>
              <w:rPr>
                <w:sz w:val="17"/>
                <w:szCs w:val="17"/>
                <w:color w:val="auto"/>
              </w:rPr>
            </w:pPr>
          </w:p>
        </w:tc>
        <w:tc>
          <w:tcPr>
            <w:tcW w:w="560" w:type="dxa"/>
            <w:vAlign w:val="bottom"/>
            <w:tcBorders>
              <w:right w:val="single" w:sz="8" w:color="2360A6"/>
            </w:tcBorders>
          </w:tcPr>
          <w:p>
            <w:pPr>
              <w:spacing w:after="0"/>
              <w:rPr>
                <w:sz w:val="17"/>
                <w:szCs w:val="17"/>
                <w:color w:val="auto"/>
              </w:rPr>
            </w:pPr>
          </w:p>
        </w:tc>
        <w:tc>
          <w:tcPr>
            <w:tcW w:w="580" w:type="dxa"/>
            <w:vAlign w:val="bottom"/>
            <w:tcBorders>
              <w:right w:val="single" w:sz="8" w:color="2360A6"/>
            </w:tcBorders>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right w:val="single" w:sz="8" w:color="2360A6"/>
            </w:tcBorders>
          </w:tcPr>
          <w:p>
            <w:pPr>
              <w:spacing w:after="0"/>
              <w:rPr>
                <w:sz w:val="17"/>
                <w:szCs w:val="17"/>
                <w:color w:val="auto"/>
              </w:rPr>
            </w:pPr>
          </w:p>
        </w:tc>
        <w:tc>
          <w:tcPr>
            <w:tcW w:w="680" w:type="dxa"/>
            <w:vAlign w:val="bottom"/>
            <w:tcBorders>
              <w:right w:val="single" w:sz="8" w:color="2360A6"/>
            </w:tcBorders>
          </w:tcPr>
          <w:p>
            <w:pPr>
              <w:spacing w:after="0"/>
              <w:rPr>
                <w:sz w:val="17"/>
                <w:szCs w:val="17"/>
                <w:color w:val="auto"/>
              </w:rPr>
            </w:pPr>
          </w:p>
        </w:tc>
        <w:tc>
          <w:tcPr>
            <w:tcW w:w="560" w:type="dxa"/>
            <w:vAlign w:val="bottom"/>
            <w:tcBorders>
              <w:right w:val="single" w:sz="8" w:color="2360A6"/>
            </w:tcBorders>
          </w:tcPr>
          <w:p>
            <w:pPr>
              <w:spacing w:after="0"/>
              <w:rPr>
                <w:sz w:val="17"/>
                <w:szCs w:val="17"/>
                <w:color w:val="auto"/>
              </w:rPr>
            </w:pPr>
          </w:p>
        </w:tc>
        <w:tc>
          <w:tcPr>
            <w:tcW w:w="580" w:type="dxa"/>
            <w:vAlign w:val="bottom"/>
            <w:tcBorders>
              <w:right w:val="single" w:sz="8" w:color="2360A6"/>
            </w:tcBorders>
          </w:tcPr>
          <w:p>
            <w:pPr>
              <w:spacing w:after="0"/>
              <w:rPr>
                <w:sz w:val="17"/>
                <w:szCs w:val="17"/>
                <w:color w:val="auto"/>
              </w:rPr>
            </w:pPr>
          </w:p>
        </w:tc>
        <w:tc>
          <w:tcPr>
            <w:tcW w:w="660" w:type="dxa"/>
            <w:vAlign w:val="bottom"/>
            <w:tcBorders>
              <w:right w:val="single" w:sz="8" w:color="2360A6"/>
            </w:tcBorders>
          </w:tcPr>
          <w:p>
            <w:pPr>
              <w:spacing w:after="0"/>
              <w:rPr>
                <w:sz w:val="17"/>
                <w:szCs w:val="17"/>
                <w:color w:val="auto"/>
              </w:rPr>
            </w:pPr>
          </w:p>
        </w:tc>
        <w:tc>
          <w:tcPr>
            <w:tcW w:w="680" w:type="dxa"/>
            <w:vAlign w:val="bottom"/>
            <w:tcBorders>
              <w:right w:val="single" w:sz="8" w:color="2360A6"/>
            </w:tcBorders>
          </w:tcPr>
          <w:p>
            <w:pPr>
              <w:spacing w:after="0"/>
              <w:rPr>
                <w:sz w:val="17"/>
                <w:szCs w:val="17"/>
                <w:color w:val="auto"/>
              </w:rPr>
            </w:pPr>
          </w:p>
        </w:tc>
        <w:tc>
          <w:tcPr>
            <w:tcW w:w="680" w:type="dxa"/>
            <w:vAlign w:val="bottom"/>
            <w:tcBorders>
              <w:right w:val="single" w:sz="8" w:color="2360A6"/>
            </w:tcBorders>
          </w:tcPr>
          <w:p>
            <w:pPr>
              <w:spacing w:after="0"/>
              <w:rPr>
                <w:sz w:val="17"/>
                <w:szCs w:val="17"/>
                <w:color w:val="auto"/>
              </w:rPr>
            </w:pPr>
          </w:p>
        </w:tc>
        <w:tc>
          <w:tcPr>
            <w:tcW w:w="680" w:type="dxa"/>
            <w:vAlign w:val="bottom"/>
            <w:tcBorders>
              <w:right w:val="single" w:sz="8" w:color="2360A6"/>
            </w:tcBorders>
            <w:shd w:val="clear" w:color="auto" w:fill="EDEDEE"/>
          </w:tcPr>
          <w:p>
            <w:pPr>
              <w:spacing w:after="0"/>
              <w:rPr>
                <w:sz w:val="17"/>
                <w:szCs w:val="17"/>
                <w:color w:val="auto"/>
              </w:rPr>
            </w:pPr>
          </w:p>
        </w:tc>
        <w:tc>
          <w:tcPr>
            <w:tcW w:w="540" w:type="dxa"/>
            <w:vAlign w:val="bottom"/>
            <w:shd w:val="clear" w:color="auto" w:fill="EDED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860" w:type="dxa"/>
            <w:vAlign w:val="bottom"/>
            <w:tcBorders>
              <w:right w:val="single" w:sz="8" w:color="2360A6"/>
            </w:tcBorders>
          </w:tcPr>
          <w:p>
            <w:pPr>
              <w:ind w:left="60"/>
              <w:spacing w:after="0" w:line="123" w:lineRule="exact"/>
              <w:rPr>
                <w:sz w:val="20"/>
                <w:szCs w:val="20"/>
                <w:color w:val="auto"/>
              </w:rPr>
            </w:pPr>
            <w:r>
              <w:rPr>
                <w:rFonts w:ascii="Arial" w:cs="Arial" w:eastAsia="Arial" w:hAnsi="Arial"/>
                <w:sz w:val="13"/>
                <w:szCs w:val="13"/>
                <w:color w:val="231F20"/>
              </w:rPr>
              <w:t>at the Grant</w:t>
            </w:r>
          </w:p>
        </w:tc>
        <w:tc>
          <w:tcPr>
            <w:tcW w:w="6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560" w:type="dxa"/>
            <w:vAlign w:val="bottom"/>
            <w:tcBorders>
              <w:right w:val="single" w:sz="8" w:color="2360A6"/>
            </w:tcBorders>
          </w:tcPr>
          <w:p>
            <w:pPr>
              <w:spacing w:after="0"/>
              <w:rPr>
                <w:sz w:val="10"/>
                <w:szCs w:val="10"/>
                <w:color w:val="auto"/>
              </w:rPr>
            </w:pPr>
          </w:p>
        </w:tc>
        <w:tc>
          <w:tcPr>
            <w:tcW w:w="580" w:type="dxa"/>
            <w:vAlign w:val="bottom"/>
            <w:tcBorders>
              <w:right w:val="single" w:sz="8" w:color="2360A6"/>
            </w:tcBorders>
          </w:tcPr>
          <w:p>
            <w:pPr>
              <w:spacing w:after="0"/>
              <w:rPr>
                <w:sz w:val="10"/>
                <w:szCs w:val="10"/>
                <w:color w:val="auto"/>
              </w:rPr>
            </w:pPr>
          </w:p>
        </w:tc>
        <w:tc>
          <w:tcPr>
            <w:tcW w:w="66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tcPr>
          <w:p>
            <w:pPr>
              <w:spacing w:after="0"/>
              <w:rPr>
                <w:sz w:val="10"/>
                <w:szCs w:val="10"/>
                <w:color w:val="auto"/>
              </w:rPr>
            </w:pPr>
          </w:p>
        </w:tc>
        <w:tc>
          <w:tcPr>
            <w:tcW w:w="680" w:type="dxa"/>
            <w:vAlign w:val="bottom"/>
            <w:tcBorders>
              <w:right w:val="single" w:sz="8" w:color="2360A6"/>
            </w:tcBorders>
            <w:shd w:val="clear" w:color="auto" w:fill="EDEDEE"/>
          </w:tcPr>
          <w:p>
            <w:pPr>
              <w:spacing w:after="0"/>
              <w:rPr>
                <w:sz w:val="10"/>
                <w:szCs w:val="10"/>
                <w:color w:val="auto"/>
              </w:rPr>
            </w:pPr>
          </w:p>
        </w:tc>
        <w:tc>
          <w:tcPr>
            <w:tcW w:w="540" w:type="dxa"/>
            <w:vAlign w:val="bottom"/>
            <w:shd w:val="clear" w:color="auto" w:fill="EDED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60" w:type="dxa"/>
            <w:vAlign w:val="bottom"/>
            <w:tcBorders>
              <w:right w:val="single" w:sz="8" w:color="2360A6"/>
            </w:tcBorders>
          </w:tcPr>
          <w:p>
            <w:pPr>
              <w:ind w:left="60"/>
              <w:spacing w:after="0" w:line="135" w:lineRule="exact"/>
              <w:rPr>
                <w:sz w:val="20"/>
                <w:szCs w:val="20"/>
                <w:color w:val="auto"/>
              </w:rPr>
            </w:pPr>
            <w:r>
              <w:rPr>
                <w:rFonts w:ascii="Arial" w:cs="Arial" w:eastAsia="Arial" w:hAnsi="Arial"/>
                <w:sz w:val="13"/>
                <w:szCs w:val="13"/>
                <w:color w:val="231F20"/>
              </w:rPr>
              <w:t xml:space="preserve">Date </w:t>
            </w:r>
            <w:r>
              <w:rPr>
                <w:rFonts w:ascii="Arial" w:cs="Arial" w:eastAsia="Arial" w:hAnsi="Arial"/>
                <w:sz w:val="13"/>
                <w:szCs w:val="13"/>
                <w:i w:val="1"/>
                <w:iCs w:val="1"/>
                <w:color w:val="231F20"/>
              </w:rPr>
              <w:t>(in</w:t>
            </w:r>
          </w:p>
        </w:tc>
        <w:tc>
          <w:tcPr>
            <w:tcW w:w="68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56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56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66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shd w:val="clear" w:color="auto" w:fill="EDEDEE"/>
          </w:tcPr>
          <w:p>
            <w:pPr>
              <w:spacing w:after="0"/>
              <w:rPr>
                <w:sz w:val="11"/>
                <w:szCs w:val="11"/>
                <w:color w:val="auto"/>
              </w:rPr>
            </w:pPr>
          </w:p>
        </w:tc>
        <w:tc>
          <w:tcPr>
            <w:tcW w:w="540" w:type="dxa"/>
            <w:vAlign w:val="bottom"/>
            <w:shd w:val="clear" w:color="auto" w:fill="EDED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60" w:type="dxa"/>
            <w:vAlign w:val="bottom"/>
            <w:tcBorders>
              <w:bottom w:val="single" w:sz="8" w:color="2360A6"/>
              <w:right w:val="single" w:sz="8" w:color="2360A6"/>
            </w:tcBorders>
          </w:tcPr>
          <w:p>
            <w:pPr>
              <w:ind w:left="60"/>
              <w:spacing w:after="0"/>
              <w:rPr>
                <w:sz w:val="20"/>
                <w:szCs w:val="20"/>
                <w:color w:val="auto"/>
              </w:rPr>
            </w:pPr>
            <w:r>
              <w:rPr>
                <w:rFonts w:ascii="Arial" w:cs="Arial" w:eastAsia="Arial" w:hAnsi="Arial"/>
                <w:sz w:val="13"/>
                <w:szCs w:val="13"/>
                <w:i w:val="1"/>
                <w:iCs w:val="1"/>
                <w:color w:val="231F20"/>
              </w:rPr>
              <w:t>Euro)</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23.76</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36.41</w:t>
            </w:r>
          </w:p>
        </w:tc>
        <w:tc>
          <w:tcPr>
            <w:tcW w:w="300" w:type="dxa"/>
            <w:vAlign w:val="bottom"/>
            <w:tcBorders>
              <w:bottom w:val="single" w:sz="8" w:color="2360A6"/>
            </w:tcBorders>
          </w:tcPr>
          <w:p>
            <w:pPr>
              <w:spacing w:after="0"/>
              <w:rPr>
                <w:sz w:val="15"/>
                <w:szCs w:val="15"/>
                <w:color w:val="auto"/>
              </w:rPr>
            </w:pPr>
          </w:p>
        </w:tc>
        <w:tc>
          <w:tcPr>
            <w:tcW w:w="4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36.41</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52.00</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67.18</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71.64</w:t>
            </w:r>
          </w:p>
        </w:tc>
        <w:tc>
          <w:tcPr>
            <w:tcW w:w="5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71.39</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46.56</w:t>
            </w:r>
          </w:p>
        </w:tc>
        <w:tc>
          <w:tcPr>
            <w:tcW w:w="40" w:type="dxa"/>
            <w:vAlign w:val="bottom"/>
            <w:tcBorders>
              <w:bottom w:val="single" w:sz="8" w:color="2360A6"/>
            </w:tcBorders>
          </w:tcPr>
          <w:p>
            <w:pPr>
              <w:spacing w:after="0"/>
              <w:rPr>
                <w:sz w:val="15"/>
                <w:szCs w:val="15"/>
                <w:color w:val="auto"/>
              </w:rPr>
            </w:pPr>
          </w:p>
        </w:tc>
        <w:tc>
          <w:tcPr>
            <w:tcW w:w="5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83.83</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78.80</w:t>
            </w:r>
          </w:p>
        </w:tc>
        <w:tc>
          <w:tcPr>
            <w:tcW w:w="5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87.05</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85.12</w:t>
            </w:r>
          </w:p>
        </w:tc>
        <w:tc>
          <w:tcPr>
            <w:tcW w:w="6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68.71</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47.00</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46.56</w:t>
            </w:r>
          </w:p>
        </w:tc>
        <w:tc>
          <w:tcPr>
            <w:tcW w:w="6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50.00</w:t>
            </w:r>
          </w:p>
        </w:tc>
        <w:tc>
          <w:tcPr>
            <w:tcW w:w="5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67.26</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60" w:type="dxa"/>
            <w:vAlign w:val="bottom"/>
            <w:tcBorders>
              <w:right w:val="single" w:sz="8" w:color="2360A6"/>
            </w:tcBorders>
          </w:tcPr>
          <w:p>
            <w:pPr>
              <w:ind w:left="60"/>
              <w:spacing w:after="0"/>
              <w:rPr>
                <w:sz w:val="20"/>
                <w:szCs w:val="20"/>
                <w:color w:val="auto"/>
              </w:rPr>
            </w:pPr>
            <w:r>
              <w:rPr>
                <w:rFonts w:ascii="Arial" w:cs="Arial" w:eastAsia="Arial" w:hAnsi="Arial"/>
                <w:sz w:val="13"/>
                <w:szCs w:val="13"/>
                <w:color w:val="231F20"/>
              </w:rPr>
              <w:t>Dividend</w:t>
            </w:r>
          </w:p>
        </w:tc>
        <w:tc>
          <w:tcPr>
            <w:tcW w:w="680" w:type="dxa"/>
            <w:vAlign w:val="bottom"/>
            <w:tcBorders>
              <w:right w:val="single" w:sz="8" w:color="2360A6"/>
            </w:tcBorders>
          </w:tcPr>
          <w:p>
            <w:pPr>
              <w:spacing w:after="0"/>
              <w:rPr>
                <w:sz w:val="18"/>
                <w:szCs w:val="18"/>
                <w:color w:val="auto"/>
              </w:rPr>
            </w:pPr>
          </w:p>
        </w:tc>
        <w:tc>
          <w:tcPr>
            <w:tcW w:w="680" w:type="dxa"/>
            <w:vAlign w:val="bottom"/>
            <w:tcBorders>
              <w:right w:val="single" w:sz="8" w:color="2360A6"/>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right w:val="single" w:sz="8" w:color="2360A6"/>
            </w:tcBorders>
          </w:tcPr>
          <w:p>
            <w:pPr>
              <w:spacing w:after="0"/>
              <w:rPr>
                <w:sz w:val="18"/>
                <w:szCs w:val="18"/>
                <w:color w:val="auto"/>
              </w:rPr>
            </w:pPr>
          </w:p>
        </w:tc>
        <w:tc>
          <w:tcPr>
            <w:tcW w:w="580" w:type="dxa"/>
            <w:vAlign w:val="bottom"/>
            <w:tcBorders>
              <w:right w:val="single" w:sz="8" w:color="2360A6"/>
            </w:tcBorders>
          </w:tcPr>
          <w:p>
            <w:pPr>
              <w:spacing w:after="0"/>
              <w:rPr>
                <w:sz w:val="18"/>
                <w:szCs w:val="18"/>
                <w:color w:val="auto"/>
              </w:rPr>
            </w:pPr>
          </w:p>
        </w:tc>
        <w:tc>
          <w:tcPr>
            <w:tcW w:w="580" w:type="dxa"/>
            <w:vAlign w:val="bottom"/>
            <w:tcBorders>
              <w:right w:val="single" w:sz="8" w:color="2360A6"/>
            </w:tcBorders>
          </w:tcPr>
          <w:p>
            <w:pPr>
              <w:spacing w:after="0"/>
              <w:rPr>
                <w:sz w:val="18"/>
                <w:szCs w:val="18"/>
                <w:color w:val="auto"/>
              </w:rPr>
            </w:pPr>
          </w:p>
        </w:tc>
        <w:tc>
          <w:tcPr>
            <w:tcW w:w="580" w:type="dxa"/>
            <w:vAlign w:val="bottom"/>
            <w:tcBorders>
              <w:right w:val="single" w:sz="8" w:color="2360A6"/>
            </w:tcBorders>
          </w:tcPr>
          <w:p>
            <w:pPr>
              <w:spacing w:after="0"/>
              <w:rPr>
                <w:sz w:val="18"/>
                <w:szCs w:val="18"/>
                <w:color w:val="auto"/>
              </w:rPr>
            </w:pPr>
          </w:p>
        </w:tc>
        <w:tc>
          <w:tcPr>
            <w:tcW w:w="560" w:type="dxa"/>
            <w:vAlign w:val="bottom"/>
            <w:tcBorders>
              <w:right w:val="single" w:sz="8" w:color="2360A6"/>
            </w:tcBorders>
          </w:tcPr>
          <w:p>
            <w:pPr>
              <w:spacing w:after="0"/>
              <w:rPr>
                <w:sz w:val="18"/>
                <w:szCs w:val="18"/>
                <w:color w:val="auto"/>
              </w:rPr>
            </w:pPr>
          </w:p>
        </w:tc>
        <w:tc>
          <w:tcPr>
            <w:tcW w:w="580" w:type="dxa"/>
            <w:vAlign w:val="bottom"/>
            <w:tcBorders>
              <w:right w:val="single" w:sz="8" w:color="2360A6"/>
            </w:tcBorders>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Borders>
              <w:right w:val="single" w:sz="8" w:color="2360A6"/>
            </w:tcBorders>
          </w:tcPr>
          <w:p>
            <w:pPr>
              <w:spacing w:after="0"/>
              <w:rPr>
                <w:sz w:val="18"/>
                <w:szCs w:val="18"/>
                <w:color w:val="auto"/>
              </w:rPr>
            </w:pPr>
          </w:p>
        </w:tc>
        <w:tc>
          <w:tcPr>
            <w:tcW w:w="680" w:type="dxa"/>
            <w:vAlign w:val="bottom"/>
            <w:tcBorders>
              <w:right w:val="single" w:sz="8" w:color="2360A6"/>
            </w:tcBorders>
          </w:tcPr>
          <w:p>
            <w:pPr>
              <w:spacing w:after="0"/>
              <w:rPr>
                <w:sz w:val="18"/>
                <w:szCs w:val="18"/>
                <w:color w:val="auto"/>
              </w:rPr>
            </w:pPr>
          </w:p>
        </w:tc>
        <w:tc>
          <w:tcPr>
            <w:tcW w:w="560" w:type="dxa"/>
            <w:vAlign w:val="bottom"/>
            <w:tcBorders>
              <w:right w:val="single" w:sz="8" w:color="2360A6"/>
            </w:tcBorders>
          </w:tcPr>
          <w:p>
            <w:pPr>
              <w:spacing w:after="0"/>
              <w:rPr>
                <w:sz w:val="18"/>
                <w:szCs w:val="18"/>
                <w:color w:val="auto"/>
              </w:rPr>
            </w:pPr>
          </w:p>
        </w:tc>
        <w:tc>
          <w:tcPr>
            <w:tcW w:w="580" w:type="dxa"/>
            <w:vAlign w:val="bottom"/>
            <w:tcBorders>
              <w:right w:val="single" w:sz="8" w:color="2360A6"/>
            </w:tcBorders>
          </w:tcPr>
          <w:p>
            <w:pPr>
              <w:spacing w:after="0"/>
              <w:rPr>
                <w:sz w:val="18"/>
                <w:szCs w:val="18"/>
                <w:color w:val="auto"/>
              </w:rPr>
            </w:pPr>
          </w:p>
        </w:tc>
        <w:tc>
          <w:tcPr>
            <w:tcW w:w="660" w:type="dxa"/>
            <w:vAlign w:val="bottom"/>
            <w:tcBorders>
              <w:right w:val="single" w:sz="8" w:color="2360A6"/>
            </w:tcBorders>
          </w:tcPr>
          <w:p>
            <w:pPr>
              <w:spacing w:after="0"/>
              <w:rPr>
                <w:sz w:val="18"/>
                <w:szCs w:val="18"/>
                <w:color w:val="auto"/>
              </w:rPr>
            </w:pPr>
          </w:p>
        </w:tc>
        <w:tc>
          <w:tcPr>
            <w:tcW w:w="680" w:type="dxa"/>
            <w:vAlign w:val="bottom"/>
            <w:tcBorders>
              <w:right w:val="single" w:sz="8" w:color="2360A6"/>
            </w:tcBorders>
          </w:tcPr>
          <w:p>
            <w:pPr>
              <w:spacing w:after="0"/>
              <w:rPr>
                <w:sz w:val="18"/>
                <w:szCs w:val="18"/>
                <w:color w:val="auto"/>
              </w:rPr>
            </w:pPr>
          </w:p>
        </w:tc>
        <w:tc>
          <w:tcPr>
            <w:tcW w:w="680" w:type="dxa"/>
            <w:vAlign w:val="bottom"/>
            <w:tcBorders>
              <w:right w:val="single" w:sz="8" w:color="2360A6"/>
            </w:tcBorders>
          </w:tcPr>
          <w:p>
            <w:pPr>
              <w:spacing w:after="0"/>
              <w:rPr>
                <w:sz w:val="18"/>
                <w:szCs w:val="18"/>
                <w:color w:val="auto"/>
              </w:rPr>
            </w:pPr>
          </w:p>
        </w:tc>
        <w:tc>
          <w:tcPr>
            <w:tcW w:w="680" w:type="dxa"/>
            <w:vAlign w:val="bottom"/>
            <w:tcBorders>
              <w:right w:val="single" w:sz="8" w:color="2360A6"/>
            </w:tcBorders>
            <w:shd w:val="clear" w:color="auto" w:fill="EDEDEE"/>
          </w:tcPr>
          <w:p>
            <w:pPr>
              <w:spacing w:after="0"/>
              <w:rPr>
                <w:sz w:val="18"/>
                <w:szCs w:val="18"/>
                <w:color w:val="auto"/>
              </w:rPr>
            </w:pPr>
          </w:p>
        </w:tc>
        <w:tc>
          <w:tcPr>
            <w:tcW w:w="540" w:type="dxa"/>
            <w:vAlign w:val="bottom"/>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0" w:type="dxa"/>
            <w:vAlign w:val="bottom"/>
            <w:tcBorders>
              <w:bottom w:val="single" w:sz="8" w:color="2360A6"/>
              <w:right w:val="single" w:sz="8" w:color="2360A6"/>
            </w:tcBorders>
          </w:tcPr>
          <w:p>
            <w:pPr>
              <w:ind w:left="60"/>
              <w:spacing w:after="0"/>
              <w:rPr>
                <w:sz w:val="20"/>
                <w:szCs w:val="20"/>
                <w:color w:val="auto"/>
              </w:rPr>
            </w:pPr>
            <w:r>
              <w:rPr>
                <w:rFonts w:ascii="Arial" w:cs="Arial" w:eastAsia="Arial" w:hAnsi="Arial"/>
                <w:sz w:val="13"/>
                <w:szCs w:val="13"/>
                <w:color w:val="231F20"/>
              </w:rPr>
              <w:t>Yield</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3.0%</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3.5%</w:t>
            </w:r>
          </w:p>
        </w:tc>
        <w:tc>
          <w:tcPr>
            <w:tcW w:w="300" w:type="dxa"/>
            <w:vAlign w:val="bottom"/>
            <w:tcBorders>
              <w:bottom w:val="single" w:sz="8" w:color="2360A6"/>
            </w:tcBorders>
          </w:tcPr>
          <w:p>
            <w:pPr>
              <w:spacing w:after="0"/>
              <w:rPr>
                <w:sz w:val="14"/>
                <w:szCs w:val="14"/>
                <w:color w:val="auto"/>
              </w:rPr>
            </w:pPr>
          </w:p>
        </w:tc>
        <w:tc>
          <w:tcPr>
            <w:tcW w:w="4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3.5%</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3.0%</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3.0%</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3.0%</w:t>
            </w:r>
          </w:p>
        </w:tc>
        <w:tc>
          <w:tcPr>
            <w:tcW w:w="5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4.5%</w:t>
            </w:r>
          </w:p>
        </w:tc>
        <w:tc>
          <w:tcPr>
            <w:tcW w:w="40" w:type="dxa"/>
            <w:vAlign w:val="bottom"/>
            <w:tcBorders>
              <w:bottom w:val="single" w:sz="8" w:color="2360A6"/>
            </w:tcBorders>
          </w:tcPr>
          <w:p>
            <w:pPr>
              <w:spacing w:after="0"/>
              <w:rPr>
                <w:sz w:val="14"/>
                <w:szCs w:val="14"/>
                <w:color w:val="auto"/>
              </w:rPr>
            </w:pPr>
          </w:p>
        </w:tc>
        <w:tc>
          <w:tcPr>
            <w:tcW w:w="5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5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6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4.5%</w:t>
            </w:r>
          </w:p>
        </w:tc>
        <w:tc>
          <w:tcPr>
            <w:tcW w:w="6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4.5%</w:t>
            </w:r>
          </w:p>
        </w:tc>
        <w:tc>
          <w:tcPr>
            <w:tcW w:w="5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4.5%</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right w:val="single" w:sz="8" w:color="2360A6"/>
            </w:tcBorders>
          </w:tcPr>
          <w:p>
            <w:pPr>
              <w:ind w:left="60"/>
              <w:spacing w:after="0"/>
              <w:rPr>
                <w:sz w:val="20"/>
                <w:szCs w:val="20"/>
                <w:color w:val="auto"/>
              </w:rPr>
            </w:pPr>
            <w:r>
              <w:rPr>
                <w:rFonts w:ascii="Arial" w:cs="Arial" w:eastAsia="Arial" w:hAnsi="Arial"/>
                <w:sz w:val="13"/>
                <w:szCs w:val="13"/>
                <w:color w:val="231F20"/>
              </w:rPr>
              <w:t>Turnover</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300" w:type="dxa"/>
            <w:vAlign w:val="bottom"/>
          </w:tcPr>
          <w:p>
            <w:pPr>
              <w:spacing w:after="0"/>
              <w:rPr>
                <w:sz w:val="18"/>
                <w:szCs w:val="18"/>
                <w:color w:val="auto"/>
              </w:rPr>
            </w:pPr>
          </w:p>
        </w:tc>
        <w:tc>
          <w:tcPr>
            <w:tcW w:w="40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 /</w:t>
            </w:r>
          </w:p>
        </w:tc>
        <w:tc>
          <w:tcPr>
            <w:tcW w:w="40" w:type="dxa"/>
            <w:vAlign w:val="bottom"/>
          </w:tcPr>
          <w:p>
            <w:pPr>
              <w:spacing w:after="0"/>
              <w:rPr>
                <w:sz w:val="18"/>
                <w:szCs w:val="18"/>
                <w:color w:val="auto"/>
              </w:rPr>
            </w:pPr>
          </w:p>
        </w:tc>
        <w:tc>
          <w:tcPr>
            <w:tcW w:w="52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6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2.0% /</w:t>
            </w:r>
          </w:p>
        </w:tc>
        <w:tc>
          <w:tcPr>
            <w:tcW w:w="680" w:type="dxa"/>
            <w:vAlign w:val="bottom"/>
            <w:tcBorders>
              <w:right w:val="single" w:sz="8" w:color="2360A6"/>
            </w:tcBorders>
            <w:shd w:val="clear" w:color="auto" w:fill="EDEDEE"/>
          </w:tcPr>
          <w:p>
            <w:pPr>
              <w:spacing w:after="0"/>
              <w:rPr>
                <w:sz w:val="18"/>
                <w:szCs w:val="18"/>
                <w:color w:val="auto"/>
              </w:rPr>
            </w:pPr>
          </w:p>
        </w:tc>
        <w:tc>
          <w:tcPr>
            <w:tcW w:w="540" w:type="dxa"/>
            <w:vAlign w:val="bottom"/>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0" w:type="dxa"/>
            <w:vAlign w:val="bottom"/>
            <w:tcBorders>
              <w:bottom w:val="single" w:sz="8" w:color="2360A6"/>
              <w:right w:val="single" w:sz="8" w:color="2360A6"/>
            </w:tcBorders>
          </w:tcPr>
          <w:p>
            <w:pPr>
              <w:ind w:left="60"/>
              <w:spacing w:after="0"/>
              <w:rPr>
                <w:sz w:val="20"/>
                <w:szCs w:val="20"/>
                <w:color w:val="auto"/>
              </w:rPr>
            </w:pPr>
            <w:r>
              <w:rPr>
                <w:rFonts w:ascii="Arial" w:cs="Arial" w:eastAsia="Arial" w:hAnsi="Arial"/>
                <w:sz w:val="13"/>
                <w:szCs w:val="13"/>
                <w:color w:val="231F20"/>
              </w:rPr>
              <w:t>Rate (1)</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300" w:type="dxa"/>
            <w:vAlign w:val="bottom"/>
            <w:tcBorders>
              <w:bottom w:val="single" w:sz="8" w:color="2360A6"/>
            </w:tcBorders>
          </w:tcPr>
          <w:p>
            <w:pPr>
              <w:spacing w:after="0"/>
              <w:rPr>
                <w:sz w:val="14"/>
                <w:szCs w:val="14"/>
                <w:color w:val="auto"/>
              </w:rPr>
            </w:pPr>
          </w:p>
        </w:tc>
        <w:tc>
          <w:tcPr>
            <w:tcW w:w="4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5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40" w:type="dxa"/>
            <w:vAlign w:val="bottom"/>
            <w:tcBorders>
              <w:bottom w:val="single" w:sz="8" w:color="2360A6"/>
            </w:tcBorders>
          </w:tcPr>
          <w:p>
            <w:pPr>
              <w:spacing w:after="0"/>
              <w:rPr>
                <w:sz w:val="14"/>
                <w:szCs w:val="14"/>
                <w:color w:val="auto"/>
              </w:rPr>
            </w:pPr>
          </w:p>
        </w:tc>
        <w:tc>
          <w:tcPr>
            <w:tcW w:w="5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5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6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6.0%</w:t>
            </w:r>
          </w:p>
        </w:tc>
        <w:tc>
          <w:tcPr>
            <w:tcW w:w="6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2.5%</w:t>
            </w:r>
          </w:p>
        </w:tc>
        <w:tc>
          <w:tcPr>
            <w:tcW w:w="5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2.5%</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60" w:type="dxa"/>
            <w:vAlign w:val="bottom"/>
            <w:tcBorders>
              <w:right w:val="single" w:sz="8" w:color="2360A6"/>
            </w:tcBorders>
          </w:tcPr>
          <w:p>
            <w:pPr>
              <w:ind w:left="60"/>
              <w:spacing w:after="0"/>
              <w:rPr>
                <w:sz w:val="20"/>
                <w:szCs w:val="20"/>
                <w:color w:val="auto"/>
              </w:rPr>
            </w:pPr>
            <w:r>
              <w:rPr>
                <w:rFonts w:ascii="Arial" w:cs="Arial" w:eastAsia="Arial" w:hAnsi="Arial"/>
                <w:sz w:val="13"/>
                <w:szCs w:val="13"/>
                <w:color w:val="231F20"/>
              </w:rPr>
              <w:t>Fair Value of</w:t>
            </w:r>
          </w:p>
        </w:tc>
        <w:tc>
          <w:tcPr>
            <w:tcW w:w="680" w:type="dxa"/>
            <w:vAlign w:val="bottom"/>
            <w:tcBorders>
              <w:right w:val="single" w:sz="8" w:color="2360A6"/>
            </w:tcBorders>
          </w:tcPr>
          <w:p>
            <w:pPr>
              <w:spacing w:after="0"/>
              <w:rPr>
                <w:sz w:val="17"/>
                <w:szCs w:val="17"/>
                <w:color w:val="auto"/>
              </w:rPr>
            </w:pPr>
          </w:p>
        </w:tc>
        <w:tc>
          <w:tcPr>
            <w:tcW w:w="680" w:type="dxa"/>
            <w:vAlign w:val="bottom"/>
            <w:tcBorders>
              <w:right w:val="single" w:sz="8" w:color="2360A6"/>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Borders>
              <w:right w:val="single" w:sz="8" w:color="2360A6"/>
            </w:tcBorders>
          </w:tcPr>
          <w:p>
            <w:pPr>
              <w:spacing w:after="0"/>
              <w:rPr>
                <w:sz w:val="17"/>
                <w:szCs w:val="17"/>
                <w:color w:val="auto"/>
              </w:rPr>
            </w:pPr>
          </w:p>
        </w:tc>
        <w:tc>
          <w:tcPr>
            <w:tcW w:w="580" w:type="dxa"/>
            <w:vAlign w:val="bottom"/>
            <w:tcBorders>
              <w:right w:val="single" w:sz="8" w:color="2360A6"/>
            </w:tcBorders>
          </w:tcPr>
          <w:p>
            <w:pPr>
              <w:spacing w:after="0"/>
              <w:rPr>
                <w:sz w:val="17"/>
                <w:szCs w:val="17"/>
                <w:color w:val="auto"/>
              </w:rPr>
            </w:pPr>
          </w:p>
        </w:tc>
        <w:tc>
          <w:tcPr>
            <w:tcW w:w="580" w:type="dxa"/>
            <w:vAlign w:val="bottom"/>
            <w:tcBorders>
              <w:right w:val="single" w:sz="8" w:color="2360A6"/>
            </w:tcBorders>
          </w:tcPr>
          <w:p>
            <w:pPr>
              <w:spacing w:after="0"/>
              <w:rPr>
                <w:sz w:val="17"/>
                <w:szCs w:val="17"/>
                <w:color w:val="auto"/>
              </w:rPr>
            </w:pPr>
          </w:p>
        </w:tc>
        <w:tc>
          <w:tcPr>
            <w:tcW w:w="580" w:type="dxa"/>
            <w:vAlign w:val="bottom"/>
            <w:tcBorders>
              <w:right w:val="single" w:sz="8" w:color="2360A6"/>
            </w:tcBorders>
          </w:tcPr>
          <w:p>
            <w:pPr>
              <w:spacing w:after="0"/>
              <w:rPr>
                <w:sz w:val="17"/>
                <w:szCs w:val="17"/>
                <w:color w:val="auto"/>
              </w:rPr>
            </w:pPr>
          </w:p>
        </w:tc>
        <w:tc>
          <w:tcPr>
            <w:tcW w:w="560" w:type="dxa"/>
            <w:vAlign w:val="bottom"/>
            <w:tcBorders>
              <w:right w:val="single" w:sz="8" w:color="2360A6"/>
            </w:tcBorders>
          </w:tcPr>
          <w:p>
            <w:pPr>
              <w:spacing w:after="0"/>
              <w:rPr>
                <w:sz w:val="17"/>
                <w:szCs w:val="17"/>
                <w:color w:val="auto"/>
              </w:rPr>
            </w:pPr>
          </w:p>
        </w:tc>
        <w:tc>
          <w:tcPr>
            <w:tcW w:w="580" w:type="dxa"/>
            <w:vAlign w:val="bottom"/>
            <w:tcBorders>
              <w:right w:val="single" w:sz="8" w:color="2360A6"/>
            </w:tcBorders>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right w:val="single" w:sz="8" w:color="2360A6"/>
            </w:tcBorders>
          </w:tcPr>
          <w:p>
            <w:pPr>
              <w:spacing w:after="0"/>
              <w:rPr>
                <w:sz w:val="17"/>
                <w:szCs w:val="17"/>
                <w:color w:val="auto"/>
              </w:rPr>
            </w:pPr>
          </w:p>
        </w:tc>
        <w:tc>
          <w:tcPr>
            <w:tcW w:w="680" w:type="dxa"/>
            <w:vAlign w:val="bottom"/>
            <w:tcBorders>
              <w:right w:val="single" w:sz="8" w:color="2360A6"/>
            </w:tcBorders>
          </w:tcPr>
          <w:p>
            <w:pPr>
              <w:spacing w:after="0"/>
              <w:rPr>
                <w:sz w:val="17"/>
                <w:szCs w:val="17"/>
                <w:color w:val="auto"/>
              </w:rPr>
            </w:pPr>
          </w:p>
        </w:tc>
        <w:tc>
          <w:tcPr>
            <w:tcW w:w="560" w:type="dxa"/>
            <w:vAlign w:val="bottom"/>
            <w:tcBorders>
              <w:right w:val="single" w:sz="8" w:color="2360A6"/>
            </w:tcBorders>
          </w:tcPr>
          <w:p>
            <w:pPr>
              <w:spacing w:after="0"/>
              <w:rPr>
                <w:sz w:val="17"/>
                <w:szCs w:val="17"/>
                <w:color w:val="auto"/>
              </w:rPr>
            </w:pPr>
          </w:p>
        </w:tc>
        <w:tc>
          <w:tcPr>
            <w:tcW w:w="580" w:type="dxa"/>
            <w:vAlign w:val="bottom"/>
            <w:tcBorders>
              <w:right w:val="single" w:sz="8" w:color="2360A6"/>
            </w:tcBorders>
          </w:tcPr>
          <w:p>
            <w:pPr>
              <w:spacing w:after="0"/>
              <w:rPr>
                <w:sz w:val="17"/>
                <w:szCs w:val="17"/>
                <w:color w:val="auto"/>
              </w:rPr>
            </w:pPr>
          </w:p>
        </w:tc>
        <w:tc>
          <w:tcPr>
            <w:tcW w:w="660" w:type="dxa"/>
            <w:vAlign w:val="bottom"/>
            <w:tcBorders>
              <w:right w:val="single" w:sz="8" w:color="2360A6"/>
            </w:tcBorders>
          </w:tcPr>
          <w:p>
            <w:pPr>
              <w:spacing w:after="0"/>
              <w:rPr>
                <w:sz w:val="17"/>
                <w:szCs w:val="17"/>
                <w:color w:val="auto"/>
              </w:rPr>
            </w:pPr>
          </w:p>
        </w:tc>
        <w:tc>
          <w:tcPr>
            <w:tcW w:w="680" w:type="dxa"/>
            <w:vAlign w:val="bottom"/>
            <w:tcBorders>
              <w:right w:val="single" w:sz="8" w:color="2360A6"/>
            </w:tcBorders>
          </w:tcPr>
          <w:p>
            <w:pPr>
              <w:spacing w:after="0"/>
              <w:rPr>
                <w:sz w:val="17"/>
                <w:szCs w:val="17"/>
                <w:color w:val="auto"/>
              </w:rPr>
            </w:pPr>
          </w:p>
        </w:tc>
        <w:tc>
          <w:tcPr>
            <w:tcW w:w="680" w:type="dxa"/>
            <w:vAlign w:val="bottom"/>
            <w:tcBorders>
              <w:right w:val="single" w:sz="8" w:color="2360A6"/>
            </w:tcBorders>
          </w:tcPr>
          <w:p>
            <w:pPr>
              <w:spacing w:after="0"/>
              <w:rPr>
                <w:sz w:val="17"/>
                <w:szCs w:val="17"/>
                <w:color w:val="auto"/>
              </w:rPr>
            </w:pPr>
          </w:p>
        </w:tc>
        <w:tc>
          <w:tcPr>
            <w:tcW w:w="680" w:type="dxa"/>
            <w:vAlign w:val="bottom"/>
            <w:tcBorders>
              <w:right w:val="single" w:sz="8" w:color="2360A6"/>
            </w:tcBorders>
            <w:shd w:val="clear" w:color="auto" w:fill="EDEDEE"/>
          </w:tcPr>
          <w:p>
            <w:pPr>
              <w:spacing w:after="0"/>
              <w:rPr>
                <w:sz w:val="17"/>
                <w:szCs w:val="17"/>
                <w:color w:val="auto"/>
              </w:rPr>
            </w:pPr>
          </w:p>
        </w:tc>
        <w:tc>
          <w:tcPr>
            <w:tcW w:w="540" w:type="dxa"/>
            <w:vAlign w:val="bottom"/>
            <w:shd w:val="clear" w:color="auto" w:fill="EDED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860" w:type="dxa"/>
            <w:vAlign w:val="bottom"/>
            <w:tcBorders>
              <w:right w:val="single" w:sz="8" w:color="2360A6"/>
            </w:tcBorders>
          </w:tcPr>
          <w:p>
            <w:pPr>
              <w:ind w:left="60"/>
              <w:spacing w:after="0" w:line="135" w:lineRule="exact"/>
              <w:rPr>
                <w:sz w:val="20"/>
                <w:szCs w:val="20"/>
                <w:color w:val="auto"/>
              </w:rPr>
            </w:pPr>
            <w:r>
              <w:rPr>
                <w:rFonts w:ascii="Arial" w:cs="Arial" w:eastAsia="Arial" w:hAnsi="Arial"/>
                <w:sz w:val="13"/>
                <w:szCs w:val="13"/>
                <w:color w:val="231F20"/>
              </w:rPr>
              <w:t>Performance</w:t>
            </w:r>
          </w:p>
        </w:tc>
        <w:tc>
          <w:tcPr>
            <w:tcW w:w="68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56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56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66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shd w:val="clear" w:color="auto" w:fill="EDEDEE"/>
          </w:tcPr>
          <w:p>
            <w:pPr>
              <w:spacing w:after="0"/>
              <w:rPr>
                <w:sz w:val="11"/>
                <w:szCs w:val="11"/>
                <w:color w:val="auto"/>
              </w:rPr>
            </w:pPr>
          </w:p>
        </w:tc>
        <w:tc>
          <w:tcPr>
            <w:tcW w:w="540" w:type="dxa"/>
            <w:vAlign w:val="bottom"/>
            <w:shd w:val="clear" w:color="auto" w:fill="EDED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Borders>
              <w:right w:val="single" w:sz="8" w:color="2360A6"/>
            </w:tcBorders>
          </w:tcPr>
          <w:p>
            <w:pPr>
              <w:ind w:left="60"/>
              <w:spacing w:after="0" w:line="135" w:lineRule="exact"/>
              <w:rPr>
                <w:sz w:val="20"/>
                <w:szCs w:val="20"/>
                <w:color w:val="auto"/>
              </w:rPr>
            </w:pPr>
            <w:r>
              <w:rPr>
                <w:rFonts w:ascii="Arial" w:cs="Arial" w:eastAsia="Arial" w:hAnsi="Arial"/>
                <w:sz w:val="13"/>
                <w:szCs w:val="13"/>
                <w:color w:val="231F20"/>
              </w:rPr>
              <w:t>Shares Set</w:t>
            </w:r>
          </w:p>
        </w:tc>
        <w:tc>
          <w:tcPr>
            <w:tcW w:w="68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56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56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66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shd w:val="clear" w:color="auto" w:fill="EDEDEE"/>
          </w:tcPr>
          <w:p>
            <w:pPr>
              <w:spacing w:after="0"/>
              <w:rPr>
                <w:sz w:val="11"/>
                <w:szCs w:val="11"/>
                <w:color w:val="auto"/>
              </w:rPr>
            </w:pPr>
          </w:p>
        </w:tc>
        <w:tc>
          <w:tcPr>
            <w:tcW w:w="540" w:type="dxa"/>
            <w:vAlign w:val="bottom"/>
            <w:shd w:val="clear" w:color="auto" w:fill="EDED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60" w:type="dxa"/>
            <w:vAlign w:val="bottom"/>
            <w:tcBorders>
              <w:right w:val="single" w:sz="8" w:color="2360A6"/>
            </w:tcBorders>
          </w:tcPr>
          <w:p>
            <w:pPr>
              <w:ind w:left="60"/>
              <w:spacing w:after="0" w:line="135" w:lineRule="exact"/>
              <w:rPr>
                <w:sz w:val="20"/>
                <w:szCs w:val="20"/>
                <w:color w:val="auto"/>
              </w:rPr>
            </w:pPr>
            <w:r>
              <w:rPr>
                <w:rFonts w:ascii="Arial" w:cs="Arial" w:eastAsia="Arial" w:hAnsi="Arial"/>
                <w:sz w:val="13"/>
                <w:szCs w:val="13"/>
                <w:color w:val="231F20"/>
              </w:rPr>
              <w:t>at Grant</w:t>
            </w:r>
          </w:p>
        </w:tc>
        <w:tc>
          <w:tcPr>
            <w:tcW w:w="68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56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560" w:type="dxa"/>
            <w:vAlign w:val="bottom"/>
            <w:tcBorders>
              <w:right w:val="single" w:sz="8" w:color="2360A6"/>
            </w:tcBorders>
          </w:tcPr>
          <w:p>
            <w:pPr>
              <w:spacing w:after="0"/>
              <w:rPr>
                <w:sz w:val="11"/>
                <w:szCs w:val="11"/>
                <w:color w:val="auto"/>
              </w:rPr>
            </w:pPr>
          </w:p>
        </w:tc>
        <w:tc>
          <w:tcPr>
            <w:tcW w:w="580" w:type="dxa"/>
            <w:vAlign w:val="bottom"/>
            <w:tcBorders>
              <w:right w:val="single" w:sz="8" w:color="2360A6"/>
            </w:tcBorders>
          </w:tcPr>
          <w:p>
            <w:pPr>
              <w:spacing w:after="0"/>
              <w:rPr>
                <w:sz w:val="11"/>
                <w:szCs w:val="11"/>
                <w:color w:val="auto"/>
              </w:rPr>
            </w:pPr>
          </w:p>
        </w:tc>
        <w:tc>
          <w:tcPr>
            <w:tcW w:w="66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tcPr>
          <w:p>
            <w:pPr>
              <w:spacing w:after="0"/>
              <w:rPr>
                <w:sz w:val="11"/>
                <w:szCs w:val="11"/>
                <w:color w:val="auto"/>
              </w:rPr>
            </w:pPr>
          </w:p>
        </w:tc>
        <w:tc>
          <w:tcPr>
            <w:tcW w:w="680" w:type="dxa"/>
            <w:vAlign w:val="bottom"/>
            <w:tcBorders>
              <w:right w:val="single" w:sz="8" w:color="2360A6"/>
            </w:tcBorders>
            <w:vMerge w:val="restart"/>
            <w:shd w:val="clear" w:color="auto" w:fill="EDEDEE"/>
          </w:tcPr>
          <w:p>
            <w:pPr>
              <w:jc w:val="right"/>
              <w:spacing w:after="0"/>
              <w:rPr>
                <w:sz w:val="20"/>
                <w:szCs w:val="20"/>
                <w:color w:val="auto"/>
              </w:rPr>
            </w:pPr>
            <w:r>
              <w:rPr>
                <w:rFonts w:ascii="Arial" w:cs="Arial" w:eastAsia="Arial" w:hAnsi="Arial"/>
                <w:sz w:val="13"/>
                <w:szCs w:val="13"/>
                <w:color w:val="auto"/>
              </w:rPr>
              <w:t>36.78/</w:t>
            </w:r>
          </w:p>
        </w:tc>
        <w:tc>
          <w:tcPr>
            <w:tcW w:w="540" w:type="dxa"/>
            <w:vAlign w:val="bottom"/>
            <w:shd w:val="clear" w:color="auto" w:fill="EDED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860" w:type="dxa"/>
            <w:vAlign w:val="bottom"/>
            <w:tcBorders>
              <w:right w:val="single" w:sz="8" w:color="2360A6"/>
            </w:tcBorders>
          </w:tcPr>
          <w:p>
            <w:pPr>
              <w:ind w:left="60"/>
              <w:spacing w:after="0" w:line="114" w:lineRule="exact"/>
              <w:rPr>
                <w:sz w:val="20"/>
                <w:szCs w:val="20"/>
                <w:color w:val="auto"/>
              </w:rPr>
            </w:pPr>
            <w:r>
              <w:rPr>
                <w:rFonts w:ascii="Arial" w:cs="Arial" w:eastAsia="Arial" w:hAnsi="Arial"/>
                <w:sz w:val="13"/>
                <w:szCs w:val="13"/>
                <w:color w:val="231F20"/>
              </w:rPr>
              <w:t>Date 5</w:t>
            </w:r>
          </w:p>
        </w:tc>
        <w:tc>
          <w:tcPr>
            <w:tcW w:w="6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21.72/</w:t>
            </w:r>
          </w:p>
        </w:tc>
        <w:tc>
          <w:tcPr>
            <w:tcW w:w="6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32.78/</w:t>
            </w:r>
          </w:p>
        </w:tc>
        <w:tc>
          <w:tcPr>
            <w:tcW w:w="300" w:type="dxa"/>
            <w:vAlign w:val="bottom"/>
          </w:tcPr>
          <w:p>
            <w:pPr>
              <w:spacing w:after="0"/>
              <w:rPr>
                <w:sz w:val="9"/>
                <w:szCs w:val="9"/>
                <w:color w:val="auto"/>
              </w:rPr>
            </w:pPr>
          </w:p>
        </w:tc>
        <w:tc>
          <w:tcPr>
            <w:tcW w:w="40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w w:val="93"/>
              </w:rPr>
              <w:t>32.78/</w:t>
            </w:r>
          </w:p>
        </w:tc>
        <w:tc>
          <w:tcPr>
            <w:tcW w:w="5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47.52/</w:t>
            </w:r>
          </w:p>
        </w:tc>
        <w:tc>
          <w:tcPr>
            <w:tcW w:w="5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47.52/</w:t>
            </w:r>
          </w:p>
        </w:tc>
        <w:tc>
          <w:tcPr>
            <w:tcW w:w="5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47.52/</w:t>
            </w:r>
          </w:p>
        </w:tc>
        <w:tc>
          <w:tcPr>
            <w:tcW w:w="56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67.23/</w:t>
            </w:r>
          </w:p>
        </w:tc>
        <w:tc>
          <w:tcPr>
            <w:tcW w:w="580" w:type="dxa"/>
            <w:vAlign w:val="bottom"/>
            <w:tcBorders>
              <w:right w:val="single" w:sz="8" w:color="2360A6"/>
            </w:tcBorders>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67.23/</w:t>
            </w:r>
          </w:p>
        </w:tc>
        <w:tc>
          <w:tcPr>
            <w:tcW w:w="680" w:type="dxa"/>
            <w:vAlign w:val="bottom"/>
            <w:tcBorders>
              <w:right w:val="single" w:sz="8" w:color="2360A6"/>
            </w:tcBorders>
          </w:tcPr>
          <w:p>
            <w:pPr>
              <w:spacing w:after="0"/>
              <w:rPr>
                <w:sz w:val="9"/>
                <w:szCs w:val="9"/>
                <w:color w:val="auto"/>
              </w:rPr>
            </w:pPr>
          </w:p>
        </w:tc>
        <w:tc>
          <w:tcPr>
            <w:tcW w:w="56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81.98/</w:t>
            </w:r>
          </w:p>
        </w:tc>
        <w:tc>
          <w:tcPr>
            <w:tcW w:w="5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70.33 /</w:t>
            </w:r>
          </w:p>
        </w:tc>
        <w:tc>
          <w:tcPr>
            <w:tcW w:w="66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tcPr>
          <w:p>
            <w:pPr>
              <w:spacing w:after="0"/>
              <w:rPr>
                <w:sz w:val="9"/>
                <w:szCs w:val="9"/>
                <w:color w:val="auto"/>
              </w:rPr>
            </w:pPr>
          </w:p>
        </w:tc>
        <w:tc>
          <w:tcPr>
            <w:tcW w:w="680" w:type="dxa"/>
            <w:vAlign w:val="bottom"/>
            <w:tcBorders>
              <w:right w:val="single" w:sz="8" w:color="2360A6"/>
            </w:tcBorders>
            <w:vMerge w:val="continue"/>
            <w:shd w:val="clear" w:color="auto" w:fill="EDEDEE"/>
          </w:tcPr>
          <w:p>
            <w:pPr>
              <w:spacing w:after="0"/>
              <w:rPr>
                <w:sz w:val="9"/>
                <w:szCs w:val="9"/>
                <w:color w:val="auto"/>
              </w:rPr>
            </w:pPr>
          </w:p>
        </w:tc>
        <w:tc>
          <w:tcPr>
            <w:tcW w:w="540" w:type="dxa"/>
            <w:vAlign w:val="bottom"/>
            <w:shd w:val="clear" w:color="auto" w:fill="EDEDE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860" w:type="dxa"/>
            <w:vAlign w:val="bottom"/>
            <w:tcBorders>
              <w:right w:val="single" w:sz="8" w:color="2360A6"/>
            </w:tcBorders>
          </w:tcPr>
          <w:p>
            <w:pPr>
              <w:ind w:left="60"/>
              <w:spacing w:after="0" w:line="129" w:lineRule="exact"/>
              <w:rPr>
                <w:sz w:val="20"/>
                <w:szCs w:val="20"/>
                <w:color w:val="auto"/>
              </w:rPr>
            </w:pPr>
            <w:r>
              <w:rPr>
                <w:rFonts w:ascii="Arial" w:cs="Arial" w:eastAsia="Arial" w:hAnsi="Arial"/>
                <w:sz w:val="13"/>
                <w:szCs w:val="13"/>
                <w:i w:val="1"/>
                <w:iCs w:val="1"/>
                <w:color w:val="231F20"/>
              </w:rPr>
              <w:t xml:space="preserve">(in Euro) </w:t>
            </w:r>
            <w:r>
              <w:rPr>
                <w:rFonts w:ascii="Arial" w:cs="Arial" w:eastAsia="Arial" w:hAnsi="Arial"/>
                <w:sz w:val="8"/>
                <w:szCs w:val="8"/>
                <w:color w:val="231F20"/>
              </w:rPr>
              <w:t>(1)</w:t>
            </w:r>
          </w:p>
        </w:tc>
        <w:tc>
          <w:tcPr>
            <w:tcW w:w="680" w:type="dxa"/>
            <w:vAlign w:val="bottom"/>
            <w:tcBorders>
              <w:right w:val="single" w:sz="8" w:color="2360A6"/>
            </w:tcBorders>
            <w:vMerge w:val="continue"/>
          </w:tcPr>
          <w:p>
            <w:pPr>
              <w:spacing w:after="0"/>
              <w:rPr>
                <w:sz w:val="11"/>
                <w:szCs w:val="11"/>
                <w:color w:val="auto"/>
              </w:rPr>
            </w:pPr>
          </w:p>
        </w:tc>
        <w:tc>
          <w:tcPr>
            <w:tcW w:w="680" w:type="dxa"/>
            <w:vAlign w:val="bottom"/>
            <w:tcBorders>
              <w:right w:val="single" w:sz="8" w:color="2360A6"/>
            </w:tcBorders>
            <w:vMerge w:val="continue"/>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right w:val="single" w:sz="8" w:color="2360A6"/>
            </w:tcBorders>
            <w:vMerge w:val="continue"/>
          </w:tcPr>
          <w:p>
            <w:pPr>
              <w:spacing w:after="0"/>
              <w:rPr>
                <w:sz w:val="11"/>
                <w:szCs w:val="11"/>
                <w:color w:val="auto"/>
              </w:rPr>
            </w:pPr>
          </w:p>
        </w:tc>
        <w:tc>
          <w:tcPr>
            <w:tcW w:w="580" w:type="dxa"/>
            <w:vAlign w:val="bottom"/>
            <w:tcBorders>
              <w:right w:val="single" w:sz="8" w:color="2360A6"/>
            </w:tcBorders>
            <w:vMerge w:val="continue"/>
          </w:tcPr>
          <w:p>
            <w:pPr>
              <w:spacing w:after="0"/>
              <w:rPr>
                <w:sz w:val="11"/>
                <w:szCs w:val="11"/>
                <w:color w:val="auto"/>
              </w:rPr>
            </w:pPr>
          </w:p>
        </w:tc>
        <w:tc>
          <w:tcPr>
            <w:tcW w:w="580" w:type="dxa"/>
            <w:vAlign w:val="bottom"/>
            <w:tcBorders>
              <w:right w:val="single" w:sz="8" w:color="2360A6"/>
            </w:tcBorders>
            <w:vMerge w:val="continue"/>
          </w:tcPr>
          <w:p>
            <w:pPr>
              <w:spacing w:after="0"/>
              <w:rPr>
                <w:sz w:val="11"/>
                <w:szCs w:val="11"/>
                <w:color w:val="auto"/>
              </w:rPr>
            </w:pPr>
          </w:p>
        </w:tc>
        <w:tc>
          <w:tcPr>
            <w:tcW w:w="580" w:type="dxa"/>
            <w:vAlign w:val="bottom"/>
            <w:tcBorders>
              <w:right w:val="single" w:sz="8" w:color="2360A6"/>
            </w:tcBorders>
            <w:vMerge w:val="continue"/>
          </w:tcPr>
          <w:p>
            <w:pPr>
              <w:spacing w:after="0"/>
              <w:rPr>
                <w:sz w:val="11"/>
                <w:szCs w:val="11"/>
                <w:color w:val="auto"/>
              </w:rPr>
            </w:pPr>
          </w:p>
        </w:tc>
        <w:tc>
          <w:tcPr>
            <w:tcW w:w="560" w:type="dxa"/>
            <w:vAlign w:val="bottom"/>
            <w:tcBorders>
              <w:right w:val="single" w:sz="8" w:color="2360A6"/>
            </w:tcBorders>
            <w:vMerge w:val="continue"/>
          </w:tcPr>
          <w:p>
            <w:pPr>
              <w:spacing w:after="0"/>
              <w:rPr>
                <w:sz w:val="11"/>
                <w:szCs w:val="11"/>
                <w:color w:val="auto"/>
              </w:rPr>
            </w:pPr>
          </w:p>
        </w:tc>
        <w:tc>
          <w:tcPr>
            <w:tcW w:w="5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38.89</w:t>
            </w:r>
          </w:p>
        </w:tc>
        <w:tc>
          <w:tcPr>
            <w:tcW w:w="40" w:type="dxa"/>
            <w:vAlign w:val="bottom"/>
          </w:tcPr>
          <w:p>
            <w:pPr>
              <w:spacing w:after="0"/>
              <w:rPr>
                <w:sz w:val="11"/>
                <w:szCs w:val="11"/>
                <w:color w:val="auto"/>
              </w:rPr>
            </w:pPr>
          </w:p>
        </w:tc>
        <w:tc>
          <w:tcPr>
            <w:tcW w:w="520" w:type="dxa"/>
            <w:vAlign w:val="bottom"/>
            <w:tcBorders>
              <w:right w:val="single" w:sz="8" w:color="2360A6"/>
            </w:tcBorders>
            <w:vMerge w:val="continue"/>
          </w:tcPr>
          <w:p>
            <w:pPr>
              <w:spacing w:after="0"/>
              <w:rPr>
                <w:sz w:val="11"/>
                <w:szCs w:val="11"/>
                <w:color w:val="auto"/>
              </w:rPr>
            </w:pPr>
          </w:p>
        </w:tc>
        <w:tc>
          <w:tcPr>
            <w:tcW w:w="680" w:type="dxa"/>
            <w:vAlign w:val="bottom"/>
            <w:tcBorders>
              <w:right w:val="single" w:sz="8" w:color="2360A6"/>
            </w:tcBorders>
          </w:tcPr>
          <w:p>
            <w:pPr>
              <w:jc w:val="right"/>
              <w:spacing w:after="0" w:line="129" w:lineRule="exact"/>
              <w:rPr>
                <w:sz w:val="20"/>
                <w:szCs w:val="20"/>
                <w:color w:val="auto"/>
              </w:rPr>
            </w:pPr>
            <w:r>
              <w:rPr>
                <w:rFonts w:ascii="Arial" w:cs="Arial" w:eastAsia="Arial" w:hAnsi="Arial"/>
                <w:sz w:val="13"/>
                <w:szCs w:val="13"/>
                <w:color w:val="231F20"/>
              </w:rPr>
              <w:t>74.21/</w:t>
            </w:r>
          </w:p>
        </w:tc>
        <w:tc>
          <w:tcPr>
            <w:tcW w:w="560" w:type="dxa"/>
            <w:vAlign w:val="bottom"/>
            <w:tcBorders>
              <w:right w:val="single" w:sz="8" w:color="2360A6"/>
            </w:tcBorders>
            <w:vMerge w:val="continue"/>
          </w:tcPr>
          <w:p>
            <w:pPr>
              <w:spacing w:after="0"/>
              <w:rPr>
                <w:sz w:val="11"/>
                <w:szCs w:val="11"/>
                <w:color w:val="auto"/>
              </w:rPr>
            </w:pPr>
          </w:p>
        </w:tc>
        <w:tc>
          <w:tcPr>
            <w:tcW w:w="580" w:type="dxa"/>
            <w:vAlign w:val="bottom"/>
            <w:tcBorders>
              <w:right w:val="single" w:sz="8" w:color="2360A6"/>
            </w:tcBorders>
            <w:vMerge w:val="continue"/>
          </w:tcPr>
          <w:p>
            <w:pPr>
              <w:spacing w:after="0"/>
              <w:rPr>
                <w:sz w:val="11"/>
                <w:szCs w:val="11"/>
                <w:color w:val="auto"/>
              </w:rPr>
            </w:pPr>
          </w:p>
        </w:tc>
        <w:tc>
          <w:tcPr>
            <w:tcW w:w="66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53.37</w:t>
            </w:r>
          </w:p>
        </w:tc>
        <w:tc>
          <w:tcPr>
            <w:tcW w:w="6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36.50</w:t>
            </w:r>
          </w:p>
        </w:tc>
        <w:tc>
          <w:tcPr>
            <w:tcW w:w="6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38.89</w:t>
            </w:r>
          </w:p>
        </w:tc>
        <w:tc>
          <w:tcPr>
            <w:tcW w:w="680" w:type="dxa"/>
            <w:vAlign w:val="bottom"/>
            <w:tcBorders>
              <w:right w:val="single" w:sz="8" w:color="2360A6"/>
            </w:tcBorders>
            <w:shd w:val="clear" w:color="auto" w:fill="EDEDEE"/>
          </w:tcPr>
          <w:p>
            <w:pPr>
              <w:jc w:val="right"/>
              <w:spacing w:after="0" w:line="129" w:lineRule="exact"/>
              <w:rPr>
                <w:sz w:val="20"/>
                <w:szCs w:val="20"/>
                <w:color w:val="auto"/>
              </w:rPr>
            </w:pPr>
            <w:r>
              <w:rPr>
                <w:rFonts w:ascii="Arial" w:cs="Arial" w:eastAsia="Arial" w:hAnsi="Arial"/>
                <w:sz w:val="13"/>
                <w:szCs w:val="13"/>
                <w:color w:val="auto"/>
              </w:rPr>
              <w:t>38.59/</w:t>
            </w:r>
          </w:p>
        </w:tc>
        <w:tc>
          <w:tcPr>
            <w:tcW w:w="54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231F20"/>
              </w:rPr>
              <w:t>46.59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60" w:type="dxa"/>
            <w:vAlign w:val="bottom"/>
            <w:tcBorders>
              <w:bottom w:val="single" w:sz="8" w:color="2360A6"/>
              <w:right w:val="single" w:sz="8" w:color="2360A6"/>
            </w:tcBorders>
          </w:tcPr>
          <w:p>
            <w:pPr>
              <w:ind w:left="60"/>
              <w:spacing w:after="0"/>
              <w:rPr>
                <w:sz w:val="20"/>
                <w:szCs w:val="20"/>
                <w:color w:val="auto"/>
              </w:rPr>
            </w:pPr>
            <w:r>
              <w:rPr>
                <w:rFonts w:ascii="Arial" w:cs="Arial" w:eastAsia="Arial" w:hAnsi="Arial"/>
                <w:sz w:val="9"/>
                <w:szCs w:val="9"/>
                <w:color w:val="231F20"/>
              </w:rPr>
              <w:t>(2)</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21.07</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31.65</w:t>
            </w:r>
          </w:p>
        </w:tc>
        <w:tc>
          <w:tcPr>
            <w:tcW w:w="300" w:type="dxa"/>
            <w:vAlign w:val="bottom"/>
            <w:tcBorders>
              <w:bottom w:val="single" w:sz="8" w:color="2360A6"/>
            </w:tcBorders>
          </w:tcPr>
          <w:p>
            <w:pPr>
              <w:spacing w:after="0"/>
              <w:rPr>
                <w:sz w:val="14"/>
                <w:szCs w:val="14"/>
                <w:color w:val="auto"/>
              </w:rPr>
            </w:pPr>
          </w:p>
        </w:tc>
        <w:tc>
          <w:tcPr>
            <w:tcW w:w="4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31.65</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46.12</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46.12</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46.12</w:t>
            </w:r>
          </w:p>
        </w:tc>
        <w:tc>
          <w:tcPr>
            <w:tcW w:w="5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65.90</w:t>
            </w:r>
          </w:p>
        </w:tc>
        <w:tc>
          <w:tcPr>
            <w:tcW w:w="580" w:type="dxa"/>
            <w:vAlign w:val="bottom"/>
            <w:tcBorders>
              <w:bottom w:val="single" w:sz="8" w:color="2360A6"/>
              <w:right w:val="single" w:sz="8" w:color="2360A6"/>
            </w:tcBorders>
            <w:vMerge w:val="continue"/>
          </w:tcPr>
          <w:p>
            <w:pPr>
              <w:spacing w:after="0"/>
              <w:rPr>
                <w:sz w:val="14"/>
                <w:szCs w:val="14"/>
                <w:color w:val="auto"/>
              </w:rPr>
            </w:pPr>
          </w:p>
        </w:tc>
        <w:tc>
          <w:tcPr>
            <w:tcW w:w="40" w:type="dxa"/>
            <w:vAlign w:val="bottom"/>
            <w:tcBorders>
              <w:bottom w:val="single" w:sz="8" w:color="2360A6"/>
            </w:tcBorders>
          </w:tcPr>
          <w:p>
            <w:pPr>
              <w:spacing w:after="0"/>
              <w:rPr>
                <w:sz w:val="14"/>
                <w:szCs w:val="14"/>
                <w:color w:val="auto"/>
              </w:rPr>
            </w:pPr>
          </w:p>
        </w:tc>
        <w:tc>
          <w:tcPr>
            <w:tcW w:w="5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65.90</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72.74</w:t>
            </w:r>
          </w:p>
        </w:tc>
        <w:tc>
          <w:tcPr>
            <w:tcW w:w="5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80.36</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78.58</w:t>
            </w:r>
          </w:p>
        </w:tc>
        <w:tc>
          <w:tcPr>
            <w:tcW w:w="660" w:type="dxa"/>
            <w:vAlign w:val="bottom"/>
            <w:tcBorders>
              <w:bottom w:val="single" w:sz="8" w:color="2360A6"/>
              <w:right w:val="single" w:sz="8" w:color="2360A6"/>
            </w:tcBorders>
            <w:vMerge w:val="continue"/>
          </w:tcPr>
          <w:p>
            <w:pPr>
              <w:spacing w:after="0"/>
              <w:rPr>
                <w:sz w:val="14"/>
                <w:szCs w:val="14"/>
                <w:color w:val="auto"/>
              </w:rPr>
            </w:pPr>
          </w:p>
        </w:tc>
        <w:tc>
          <w:tcPr>
            <w:tcW w:w="680" w:type="dxa"/>
            <w:vAlign w:val="bottom"/>
            <w:tcBorders>
              <w:bottom w:val="single" w:sz="8" w:color="2360A6"/>
              <w:right w:val="single" w:sz="8" w:color="2360A6"/>
            </w:tcBorders>
            <w:vMerge w:val="continue"/>
          </w:tcPr>
          <w:p>
            <w:pPr>
              <w:spacing w:after="0"/>
              <w:rPr>
                <w:sz w:val="14"/>
                <w:szCs w:val="14"/>
                <w:color w:val="auto"/>
              </w:rPr>
            </w:pPr>
          </w:p>
        </w:tc>
        <w:tc>
          <w:tcPr>
            <w:tcW w:w="680" w:type="dxa"/>
            <w:vAlign w:val="bottom"/>
            <w:tcBorders>
              <w:bottom w:val="single" w:sz="8" w:color="2360A6"/>
              <w:right w:val="single" w:sz="8" w:color="2360A6"/>
            </w:tcBorders>
            <w:vMerge w:val="continue"/>
          </w:tcPr>
          <w:p>
            <w:pPr>
              <w:spacing w:after="0"/>
              <w:rPr>
                <w:sz w:val="14"/>
                <w:szCs w:val="14"/>
                <w:color w:val="auto"/>
              </w:rPr>
            </w:pPr>
          </w:p>
        </w:tc>
        <w:tc>
          <w:tcPr>
            <w:tcW w:w="6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3"/>
                <w:szCs w:val="13"/>
                <w:color w:val="auto"/>
              </w:rPr>
              <w:t>40.37</w:t>
            </w:r>
          </w:p>
        </w:tc>
        <w:tc>
          <w:tcPr>
            <w:tcW w:w="540" w:type="dxa"/>
            <w:vAlign w:val="bottom"/>
            <w:tcBorders>
              <w:bottom w:val="single" w:sz="8" w:color="2360A6"/>
            </w:tcBorders>
            <w:vMerge w:val="continue"/>
            <w:shd w:val="clear" w:color="auto" w:fill="EDEDEE"/>
          </w:tcPr>
          <w:p>
            <w:pPr>
              <w:spacing w:after="0"/>
              <w:rPr>
                <w:sz w:val="14"/>
                <w:szCs w:val="14"/>
                <w:color w:val="auto"/>
              </w:rPr>
            </w:pP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860" w:type="dxa"/>
            <w:vAlign w:val="bottom"/>
            <w:tcBorders>
              <w:right w:val="single" w:sz="8" w:color="2360A6"/>
            </w:tcBorders>
          </w:tcPr>
          <w:p>
            <w:pPr>
              <w:spacing w:after="0"/>
              <w:rPr>
                <w:sz w:val="24"/>
                <w:szCs w:val="24"/>
                <w:color w:val="auto"/>
              </w:rPr>
            </w:pPr>
          </w:p>
        </w:tc>
        <w:tc>
          <w:tcPr>
            <w:tcW w:w="680" w:type="dxa"/>
            <w:vAlign w:val="bottom"/>
            <w:tcBorders>
              <w:right w:val="single" w:sz="8" w:color="2360A6"/>
            </w:tcBorders>
          </w:tcPr>
          <w:p>
            <w:pPr>
              <w:spacing w:after="0"/>
              <w:rPr>
                <w:sz w:val="24"/>
                <w:szCs w:val="24"/>
                <w:color w:val="auto"/>
              </w:rPr>
            </w:pPr>
          </w:p>
        </w:tc>
        <w:tc>
          <w:tcPr>
            <w:tcW w:w="680" w:type="dxa"/>
            <w:vAlign w:val="bottom"/>
            <w:tcBorders>
              <w:right w:val="single" w:sz="8" w:color="2360A6"/>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Feb.</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June</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Dec.</w:t>
            </w:r>
          </w:p>
        </w:tc>
        <w:tc>
          <w:tcPr>
            <w:tcW w:w="580" w:type="dxa"/>
            <w:vAlign w:val="bottom"/>
            <w:tcBorders>
              <w:right w:val="single" w:sz="8" w:color="2360A6"/>
            </w:tcBorders>
          </w:tcPr>
          <w:p>
            <w:pPr>
              <w:spacing w:after="0"/>
              <w:rPr>
                <w:sz w:val="24"/>
                <w:szCs w:val="24"/>
                <w:color w:val="auto"/>
              </w:rPr>
            </w:pP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June</w:t>
            </w:r>
          </w:p>
        </w:tc>
        <w:tc>
          <w:tcPr>
            <w:tcW w:w="580" w:type="dxa"/>
            <w:vAlign w:val="bottom"/>
            <w:tcBorders>
              <w:right w:val="single" w:sz="8" w:color="2360A6"/>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right w:val="single" w:sz="8" w:color="2360A6"/>
            </w:tcBorders>
          </w:tcPr>
          <w:p>
            <w:pPr>
              <w:spacing w:after="0"/>
              <w:rPr>
                <w:sz w:val="24"/>
                <w:szCs w:val="24"/>
                <w:color w:val="auto"/>
              </w:rPr>
            </w:pP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June</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Dec.</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June</w:t>
            </w:r>
          </w:p>
        </w:tc>
        <w:tc>
          <w:tcPr>
            <w:tcW w:w="660" w:type="dxa"/>
            <w:vAlign w:val="bottom"/>
            <w:tcBorders>
              <w:right w:val="single" w:sz="8" w:color="2360A6"/>
            </w:tcBorders>
          </w:tcPr>
          <w:p>
            <w:pPr>
              <w:spacing w:after="0"/>
              <w:rPr>
                <w:sz w:val="24"/>
                <w:szCs w:val="24"/>
                <w:color w:val="auto"/>
              </w:rPr>
            </w:pPr>
          </w:p>
        </w:tc>
        <w:tc>
          <w:tcPr>
            <w:tcW w:w="680" w:type="dxa"/>
            <w:vAlign w:val="bottom"/>
            <w:tcBorders>
              <w:right w:val="single" w:sz="8" w:color="2360A6"/>
            </w:tcBorders>
          </w:tcPr>
          <w:p>
            <w:pPr>
              <w:spacing w:after="0"/>
              <w:rPr>
                <w:sz w:val="24"/>
                <w:szCs w:val="24"/>
                <w:color w:val="auto"/>
              </w:rPr>
            </w:pPr>
          </w:p>
        </w:tc>
        <w:tc>
          <w:tcPr>
            <w:tcW w:w="680" w:type="dxa"/>
            <w:vAlign w:val="bottom"/>
            <w:tcBorders>
              <w:right w:val="single" w:sz="8" w:color="2360A6"/>
            </w:tcBorders>
          </w:tcPr>
          <w:p>
            <w:pPr>
              <w:spacing w:after="0"/>
              <w:rPr>
                <w:sz w:val="24"/>
                <w:szCs w:val="24"/>
                <w:color w:val="auto"/>
              </w:rPr>
            </w:pPr>
          </w:p>
        </w:tc>
        <w:tc>
          <w:tcPr>
            <w:tcW w:w="680" w:type="dxa"/>
            <w:vAlign w:val="bottom"/>
            <w:tcBorders>
              <w:right w:val="single" w:sz="8" w:color="2360A6"/>
            </w:tcBorders>
            <w:shd w:val="clear" w:color="auto" w:fill="EDEDEE"/>
          </w:tcPr>
          <w:p>
            <w:pPr>
              <w:spacing w:after="0"/>
              <w:rPr>
                <w:sz w:val="24"/>
                <w:szCs w:val="24"/>
                <w:color w:val="auto"/>
              </w:rPr>
            </w:pPr>
          </w:p>
        </w:tc>
        <w:tc>
          <w:tcPr>
            <w:tcW w:w="540" w:type="dxa"/>
            <w:vAlign w:val="bottom"/>
            <w:shd w:val="clear" w:color="auto" w:fill="EDEDE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60" w:type="dxa"/>
            <w:vAlign w:val="bottom"/>
            <w:tcBorders>
              <w:right w:val="single" w:sz="8" w:color="2360A6"/>
            </w:tcBorders>
          </w:tcPr>
          <w:p>
            <w:pPr>
              <w:spacing w:after="0"/>
              <w:rPr>
                <w:sz w:val="13"/>
                <w:szCs w:val="13"/>
                <w:color w:val="auto"/>
              </w:rPr>
            </w:pPr>
          </w:p>
        </w:tc>
        <w:tc>
          <w:tcPr>
            <w:tcW w:w="680" w:type="dxa"/>
            <w:vAlign w:val="bottom"/>
            <w:tcBorders>
              <w:right w:val="single" w:sz="8" w:color="2360A6"/>
            </w:tcBorders>
            <w:vMerge w:val="restart"/>
          </w:tcPr>
          <w:p>
            <w:pPr>
              <w:ind w:left="200"/>
              <w:spacing w:after="0"/>
              <w:rPr>
                <w:sz w:val="20"/>
                <w:szCs w:val="20"/>
                <w:color w:val="auto"/>
              </w:rPr>
            </w:pPr>
            <w:r>
              <w:rPr>
                <w:rFonts w:ascii="Arial" w:cs="Arial" w:eastAsia="Arial" w:hAnsi="Arial"/>
                <w:sz w:val="13"/>
                <w:szCs w:val="13"/>
                <w:color w:val="231F20"/>
                <w:w w:val="99"/>
              </w:rPr>
              <w:t>Feb 18,</w:t>
            </w:r>
          </w:p>
        </w:tc>
        <w:tc>
          <w:tcPr>
            <w:tcW w:w="6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June 15,</w:t>
            </w:r>
          </w:p>
        </w:tc>
        <w:tc>
          <w:tcPr>
            <w:tcW w:w="300" w:type="dxa"/>
            <w:vAlign w:val="bottom"/>
          </w:tcPr>
          <w:p>
            <w:pPr>
              <w:spacing w:after="0"/>
              <w:rPr>
                <w:sz w:val="13"/>
                <w:szCs w:val="13"/>
                <w:color w:val="auto"/>
              </w:rPr>
            </w:pPr>
          </w:p>
        </w:tc>
        <w:tc>
          <w:tcPr>
            <w:tcW w:w="40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16,</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23,</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15,</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March</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17,</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Sept.</w:t>
            </w:r>
          </w:p>
        </w:tc>
        <w:tc>
          <w:tcPr>
            <w:tcW w:w="40" w:type="dxa"/>
            <w:vAlign w:val="bottom"/>
          </w:tcPr>
          <w:p>
            <w:pPr>
              <w:spacing w:after="0"/>
              <w:rPr>
                <w:sz w:val="13"/>
                <w:szCs w:val="13"/>
                <w:color w:val="auto"/>
              </w:rPr>
            </w:pPr>
          </w:p>
        </w:tc>
        <w:tc>
          <w:tcPr>
            <w:tcW w:w="52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March</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15,</w:t>
            </w:r>
          </w:p>
        </w:tc>
        <w:tc>
          <w:tcPr>
            <w:tcW w:w="5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12,</w:t>
            </w:r>
          </w:p>
        </w:tc>
        <w:tc>
          <w:tcPr>
            <w:tcW w:w="5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14,</w:t>
            </w:r>
          </w:p>
        </w:tc>
        <w:tc>
          <w:tcPr>
            <w:tcW w:w="66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January</w:t>
            </w: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3"/>
                <w:szCs w:val="13"/>
                <w:color w:val="231F20"/>
              </w:rPr>
              <w:t>Dec.</w:t>
            </w:r>
          </w:p>
        </w:tc>
        <w:tc>
          <w:tcPr>
            <w:tcW w:w="680" w:type="dxa"/>
            <w:vAlign w:val="bottom"/>
            <w:tcBorders>
              <w:right w:val="single" w:sz="8" w:color="2360A6"/>
            </w:tcBorders>
            <w:vMerge w:val="restart"/>
          </w:tcPr>
          <w:p>
            <w:pPr>
              <w:jc w:val="right"/>
              <w:spacing w:after="0"/>
              <w:rPr>
                <w:sz w:val="20"/>
                <w:szCs w:val="20"/>
                <w:color w:val="auto"/>
              </w:rPr>
            </w:pPr>
            <w:r>
              <w:rPr>
                <w:rFonts w:ascii="Arial" w:cs="Arial" w:eastAsia="Arial" w:hAnsi="Arial"/>
                <w:sz w:val="13"/>
                <w:szCs w:val="13"/>
                <w:color w:val="231F20"/>
              </w:rPr>
              <w:t>Sept. 07,</w:t>
            </w:r>
          </w:p>
        </w:tc>
        <w:tc>
          <w:tcPr>
            <w:tcW w:w="680" w:type="dxa"/>
            <w:vAlign w:val="bottom"/>
            <w:tcBorders>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231F20"/>
              </w:rPr>
              <w:t>July</w:t>
            </w:r>
          </w:p>
        </w:tc>
        <w:tc>
          <w:tcPr>
            <w:tcW w:w="540" w:type="dxa"/>
            <w:vAlign w:val="bottom"/>
            <w:shd w:val="clear" w:color="auto" w:fill="EDEDEE"/>
          </w:tcPr>
          <w:p>
            <w:pPr>
              <w:jc w:val="right"/>
              <w:spacing w:after="0"/>
              <w:rPr>
                <w:sz w:val="20"/>
                <w:szCs w:val="20"/>
                <w:color w:val="auto"/>
              </w:rPr>
            </w:pPr>
            <w:r>
              <w:rPr>
                <w:rFonts w:ascii="Arial" w:cs="Arial" w:eastAsia="Arial" w:hAnsi="Arial"/>
                <w:sz w:val="13"/>
                <w:szCs w:val="13"/>
                <w:color w:val="231F20"/>
              </w:rPr>
              <w:t>Dec.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860" w:type="dxa"/>
            <w:vAlign w:val="bottom"/>
            <w:tcBorders>
              <w:right w:val="single" w:sz="8" w:color="2360A6"/>
            </w:tcBorders>
          </w:tcPr>
          <w:p>
            <w:pPr>
              <w:spacing w:after="0"/>
              <w:rPr>
                <w:sz w:val="12"/>
                <w:szCs w:val="12"/>
                <w:color w:val="auto"/>
              </w:rPr>
            </w:pPr>
          </w:p>
        </w:tc>
        <w:tc>
          <w:tcPr>
            <w:tcW w:w="680" w:type="dxa"/>
            <w:vAlign w:val="bottom"/>
            <w:tcBorders>
              <w:right w:val="single" w:sz="8" w:color="2360A6"/>
            </w:tcBorders>
            <w:vMerge w:val="continue"/>
          </w:tcPr>
          <w:p>
            <w:pPr>
              <w:spacing w:after="0"/>
              <w:rPr>
                <w:sz w:val="12"/>
                <w:szCs w:val="12"/>
                <w:color w:val="auto"/>
              </w:rPr>
            </w:pPr>
          </w:p>
        </w:tc>
        <w:tc>
          <w:tcPr>
            <w:tcW w:w="680" w:type="dxa"/>
            <w:vAlign w:val="bottom"/>
            <w:tcBorders>
              <w:right w:val="single" w:sz="8" w:color="2360A6"/>
            </w:tcBorders>
            <w:vMerge w:val="continue"/>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Borders>
              <w:right w:val="single" w:sz="8" w:color="2360A6"/>
            </w:tcBorders>
          </w:tcPr>
          <w:p>
            <w:pPr>
              <w:jc w:val="right"/>
              <w:spacing w:after="0" w:line="143" w:lineRule="exact"/>
              <w:rPr>
                <w:sz w:val="20"/>
                <w:szCs w:val="20"/>
                <w:color w:val="auto"/>
              </w:rPr>
            </w:pPr>
            <w:r>
              <w:rPr>
                <w:rFonts w:ascii="Arial" w:cs="Arial" w:eastAsia="Arial" w:hAnsi="Arial"/>
                <w:sz w:val="13"/>
                <w:szCs w:val="13"/>
                <w:color w:val="231F20"/>
              </w:rPr>
              <w:t>2014</w:t>
            </w:r>
          </w:p>
        </w:tc>
        <w:tc>
          <w:tcPr>
            <w:tcW w:w="580" w:type="dxa"/>
            <w:vAlign w:val="bottom"/>
            <w:tcBorders>
              <w:right w:val="single" w:sz="8" w:color="2360A6"/>
            </w:tcBorders>
          </w:tcPr>
          <w:p>
            <w:pPr>
              <w:jc w:val="right"/>
              <w:spacing w:after="0" w:line="143" w:lineRule="exact"/>
              <w:rPr>
                <w:sz w:val="20"/>
                <w:szCs w:val="20"/>
                <w:color w:val="auto"/>
              </w:rPr>
            </w:pPr>
            <w:r>
              <w:rPr>
                <w:rFonts w:ascii="Arial" w:cs="Arial" w:eastAsia="Arial" w:hAnsi="Arial"/>
                <w:sz w:val="13"/>
                <w:szCs w:val="13"/>
                <w:color w:val="231F20"/>
              </w:rPr>
              <w:t>2014</w:t>
            </w:r>
          </w:p>
        </w:tc>
        <w:tc>
          <w:tcPr>
            <w:tcW w:w="580" w:type="dxa"/>
            <w:vAlign w:val="bottom"/>
            <w:tcBorders>
              <w:right w:val="single" w:sz="8" w:color="2360A6"/>
            </w:tcBorders>
          </w:tcPr>
          <w:p>
            <w:pPr>
              <w:jc w:val="right"/>
              <w:spacing w:after="0" w:line="143" w:lineRule="exact"/>
              <w:rPr>
                <w:sz w:val="20"/>
                <w:szCs w:val="20"/>
                <w:color w:val="auto"/>
              </w:rPr>
            </w:pPr>
            <w:r>
              <w:rPr>
                <w:rFonts w:ascii="Arial" w:cs="Arial" w:eastAsia="Arial" w:hAnsi="Arial"/>
                <w:sz w:val="13"/>
                <w:szCs w:val="13"/>
                <w:color w:val="231F20"/>
              </w:rPr>
              <w:t>2014</w:t>
            </w:r>
          </w:p>
        </w:tc>
        <w:tc>
          <w:tcPr>
            <w:tcW w:w="580" w:type="dxa"/>
            <w:vAlign w:val="bottom"/>
            <w:tcBorders>
              <w:right w:val="single" w:sz="8" w:color="2360A6"/>
            </w:tcBorders>
          </w:tcPr>
          <w:p>
            <w:pPr>
              <w:jc w:val="right"/>
              <w:spacing w:after="0" w:line="143" w:lineRule="exact"/>
              <w:rPr>
                <w:sz w:val="20"/>
                <w:szCs w:val="20"/>
                <w:color w:val="auto"/>
              </w:rPr>
            </w:pPr>
            <w:r>
              <w:rPr>
                <w:rFonts w:ascii="Arial" w:cs="Arial" w:eastAsia="Arial" w:hAnsi="Arial"/>
                <w:sz w:val="13"/>
                <w:szCs w:val="13"/>
                <w:color w:val="231F20"/>
              </w:rPr>
              <w:t>4, 2015</w:t>
            </w:r>
          </w:p>
        </w:tc>
        <w:tc>
          <w:tcPr>
            <w:tcW w:w="560" w:type="dxa"/>
            <w:vAlign w:val="bottom"/>
            <w:tcBorders>
              <w:right w:val="single" w:sz="8" w:color="2360A6"/>
            </w:tcBorders>
          </w:tcPr>
          <w:p>
            <w:pPr>
              <w:jc w:val="right"/>
              <w:spacing w:after="0" w:line="143" w:lineRule="exact"/>
              <w:rPr>
                <w:sz w:val="20"/>
                <w:szCs w:val="20"/>
                <w:color w:val="auto"/>
              </w:rPr>
            </w:pPr>
            <w:r>
              <w:rPr>
                <w:rFonts w:ascii="Arial" w:cs="Arial" w:eastAsia="Arial" w:hAnsi="Arial"/>
                <w:sz w:val="13"/>
                <w:szCs w:val="13"/>
                <w:color w:val="231F20"/>
              </w:rPr>
              <w:t>2015</w:t>
            </w:r>
          </w:p>
        </w:tc>
        <w:tc>
          <w:tcPr>
            <w:tcW w:w="580" w:type="dxa"/>
            <w:vAlign w:val="bottom"/>
            <w:tcBorders>
              <w:right w:val="single" w:sz="8" w:color="2360A6"/>
            </w:tcBorders>
          </w:tcPr>
          <w:p>
            <w:pPr>
              <w:jc w:val="right"/>
              <w:spacing w:after="0" w:line="143" w:lineRule="exact"/>
              <w:rPr>
                <w:sz w:val="20"/>
                <w:szCs w:val="20"/>
                <w:color w:val="auto"/>
              </w:rPr>
            </w:pPr>
            <w:r>
              <w:rPr>
                <w:rFonts w:ascii="Arial" w:cs="Arial" w:eastAsia="Arial" w:hAnsi="Arial"/>
                <w:sz w:val="13"/>
                <w:szCs w:val="13"/>
                <w:color w:val="231F20"/>
              </w:rPr>
              <w:t>07,</w:t>
            </w:r>
          </w:p>
        </w:tc>
        <w:tc>
          <w:tcPr>
            <w:tcW w:w="40" w:type="dxa"/>
            <w:vAlign w:val="bottom"/>
          </w:tcPr>
          <w:p>
            <w:pPr>
              <w:spacing w:after="0"/>
              <w:rPr>
                <w:sz w:val="12"/>
                <w:szCs w:val="12"/>
                <w:color w:val="auto"/>
              </w:rPr>
            </w:pPr>
          </w:p>
        </w:tc>
        <w:tc>
          <w:tcPr>
            <w:tcW w:w="520" w:type="dxa"/>
            <w:vAlign w:val="bottom"/>
            <w:tcBorders>
              <w:right w:val="single" w:sz="8" w:color="2360A6"/>
            </w:tcBorders>
          </w:tcPr>
          <w:p>
            <w:pPr>
              <w:jc w:val="right"/>
              <w:spacing w:after="0" w:line="143" w:lineRule="exact"/>
              <w:rPr>
                <w:sz w:val="20"/>
                <w:szCs w:val="20"/>
                <w:color w:val="auto"/>
              </w:rPr>
            </w:pPr>
            <w:r>
              <w:rPr>
                <w:rFonts w:ascii="Arial" w:cs="Arial" w:eastAsia="Arial" w:hAnsi="Arial"/>
                <w:sz w:val="13"/>
                <w:szCs w:val="13"/>
                <w:color w:val="231F20"/>
              </w:rPr>
              <w:t>2, 2016</w:t>
            </w:r>
          </w:p>
        </w:tc>
        <w:tc>
          <w:tcPr>
            <w:tcW w:w="680" w:type="dxa"/>
            <w:vAlign w:val="bottom"/>
            <w:tcBorders>
              <w:right w:val="single" w:sz="8" w:color="2360A6"/>
            </w:tcBorders>
          </w:tcPr>
          <w:p>
            <w:pPr>
              <w:jc w:val="right"/>
              <w:spacing w:after="0" w:line="143" w:lineRule="exact"/>
              <w:rPr>
                <w:sz w:val="20"/>
                <w:szCs w:val="20"/>
                <w:color w:val="auto"/>
              </w:rPr>
            </w:pPr>
            <w:r>
              <w:rPr>
                <w:rFonts w:ascii="Arial" w:cs="Arial" w:eastAsia="Arial" w:hAnsi="Arial"/>
                <w:sz w:val="13"/>
                <w:szCs w:val="13"/>
                <w:color w:val="231F20"/>
              </w:rPr>
              <w:t>2016</w:t>
            </w:r>
          </w:p>
        </w:tc>
        <w:tc>
          <w:tcPr>
            <w:tcW w:w="560" w:type="dxa"/>
            <w:vAlign w:val="bottom"/>
            <w:tcBorders>
              <w:right w:val="single" w:sz="8" w:color="2360A6"/>
            </w:tcBorders>
          </w:tcPr>
          <w:p>
            <w:pPr>
              <w:jc w:val="right"/>
              <w:spacing w:after="0" w:line="143" w:lineRule="exact"/>
              <w:rPr>
                <w:sz w:val="20"/>
                <w:szCs w:val="20"/>
                <w:color w:val="auto"/>
              </w:rPr>
            </w:pPr>
            <w:r>
              <w:rPr>
                <w:rFonts w:ascii="Arial" w:cs="Arial" w:eastAsia="Arial" w:hAnsi="Arial"/>
                <w:sz w:val="13"/>
                <w:szCs w:val="13"/>
                <w:color w:val="231F20"/>
              </w:rPr>
              <w:t>2016</w:t>
            </w:r>
          </w:p>
        </w:tc>
        <w:tc>
          <w:tcPr>
            <w:tcW w:w="580" w:type="dxa"/>
            <w:vAlign w:val="bottom"/>
            <w:tcBorders>
              <w:right w:val="single" w:sz="8" w:color="2360A6"/>
            </w:tcBorders>
          </w:tcPr>
          <w:p>
            <w:pPr>
              <w:jc w:val="right"/>
              <w:spacing w:after="0" w:line="143" w:lineRule="exact"/>
              <w:rPr>
                <w:sz w:val="20"/>
                <w:szCs w:val="20"/>
                <w:color w:val="auto"/>
              </w:rPr>
            </w:pPr>
            <w:r>
              <w:rPr>
                <w:rFonts w:ascii="Arial" w:cs="Arial" w:eastAsia="Arial" w:hAnsi="Arial"/>
                <w:sz w:val="13"/>
                <w:szCs w:val="13"/>
                <w:color w:val="231F20"/>
              </w:rPr>
              <w:t>2017</w:t>
            </w:r>
          </w:p>
        </w:tc>
        <w:tc>
          <w:tcPr>
            <w:tcW w:w="660" w:type="dxa"/>
            <w:vAlign w:val="bottom"/>
            <w:tcBorders>
              <w:right w:val="single" w:sz="8" w:color="2360A6"/>
            </w:tcBorders>
          </w:tcPr>
          <w:p>
            <w:pPr>
              <w:jc w:val="right"/>
              <w:spacing w:after="0" w:line="143" w:lineRule="exact"/>
              <w:rPr>
                <w:sz w:val="20"/>
                <w:szCs w:val="20"/>
                <w:color w:val="auto"/>
              </w:rPr>
            </w:pPr>
            <w:r>
              <w:rPr>
                <w:rFonts w:ascii="Arial" w:cs="Arial" w:eastAsia="Arial" w:hAnsi="Arial"/>
                <w:sz w:val="13"/>
                <w:szCs w:val="13"/>
                <w:color w:val="231F20"/>
              </w:rPr>
              <w:t>10,</w:t>
            </w:r>
          </w:p>
        </w:tc>
        <w:tc>
          <w:tcPr>
            <w:tcW w:w="680" w:type="dxa"/>
            <w:vAlign w:val="bottom"/>
            <w:tcBorders>
              <w:right w:val="single" w:sz="8" w:color="2360A6"/>
            </w:tcBorders>
          </w:tcPr>
          <w:p>
            <w:pPr>
              <w:jc w:val="right"/>
              <w:spacing w:after="0" w:line="143" w:lineRule="exact"/>
              <w:rPr>
                <w:sz w:val="20"/>
                <w:szCs w:val="20"/>
                <w:color w:val="auto"/>
              </w:rPr>
            </w:pPr>
            <w:r>
              <w:rPr>
                <w:rFonts w:ascii="Arial" w:cs="Arial" w:eastAsia="Arial" w:hAnsi="Arial"/>
                <w:sz w:val="13"/>
                <w:szCs w:val="13"/>
                <w:color w:val="231F20"/>
              </w:rPr>
              <w:t>10,</w:t>
            </w:r>
          </w:p>
        </w:tc>
        <w:tc>
          <w:tcPr>
            <w:tcW w:w="680" w:type="dxa"/>
            <w:vAlign w:val="bottom"/>
            <w:tcBorders>
              <w:right w:val="single" w:sz="8" w:color="2360A6"/>
            </w:tcBorders>
            <w:vMerge w:val="continue"/>
          </w:tcPr>
          <w:p>
            <w:pPr>
              <w:spacing w:after="0"/>
              <w:rPr>
                <w:sz w:val="12"/>
                <w:szCs w:val="12"/>
                <w:color w:val="auto"/>
              </w:rPr>
            </w:pPr>
          </w:p>
        </w:tc>
        <w:tc>
          <w:tcPr>
            <w:tcW w:w="680" w:type="dxa"/>
            <w:vAlign w:val="bottom"/>
            <w:tcBorders>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231F20"/>
              </w:rPr>
              <w:t>01,</w:t>
            </w:r>
          </w:p>
        </w:tc>
        <w:tc>
          <w:tcPr>
            <w:tcW w:w="540" w:type="dxa"/>
            <w:vAlign w:val="bottom"/>
            <w:shd w:val="clear" w:color="auto" w:fill="EDEDEE"/>
          </w:tcPr>
          <w:p>
            <w:pPr>
              <w:jc w:val="right"/>
              <w:spacing w:after="0" w:line="143" w:lineRule="exact"/>
              <w:rPr>
                <w:sz w:val="20"/>
                <w:szCs w:val="20"/>
                <w:color w:val="auto"/>
              </w:rPr>
            </w:pPr>
            <w:r>
              <w:rPr>
                <w:rFonts w:ascii="Arial" w:cs="Arial" w:eastAsia="Arial" w:hAnsi="Arial"/>
                <w:sz w:val="13"/>
                <w:szCs w:val="13"/>
                <w:color w:val="231F20"/>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6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Maturity Date</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2013/14</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2013/14</w:t>
            </w:r>
          </w:p>
        </w:tc>
        <w:tc>
          <w:tcPr>
            <w:tcW w:w="300" w:type="dxa"/>
            <w:vAlign w:val="bottom"/>
            <w:tcBorders>
              <w:bottom w:val="single" w:sz="8" w:color="2360A6"/>
            </w:tcBorders>
          </w:tcPr>
          <w:p>
            <w:pPr>
              <w:spacing w:after="0"/>
              <w:rPr>
                <w:sz w:val="14"/>
                <w:szCs w:val="14"/>
                <w:color w:val="auto"/>
              </w:rPr>
            </w:pPr>
          </w:p>
        </w:tc>
        <w:tc>
          <w:tcPr>
            <w:tcW w:w="4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15</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15</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15</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16</w:t>
            </w:r>
          </w:p>
        </w:tc>
        <w:tc>
          <w:tcPr>
            <w:tcW w:w="5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16</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2019</w:t>
            </w:r>
          </w:p>
        </w:tc>
        <w:tc>
          <w:tcPr>
            <w:tcW w:w="40" w:type="dxa"/>
            <w:vAlign w:val="bottom"/>
            <w:tcBorders>
              <w:bottom w:val="single" w:sz="8" w:color="2360A6"/>
            </w:tcBorders>
          </w:tcPr>
          <w:p>
            <w:pPr>
              <w:spacing w:after="0"/>
              <w:rPr>
                <w:sz w:val="14"/>
                <w:szCs w:val="14"/>
                <w:color w:val="auto"/>
              </w:rPr>
            </w:pPr>
          </w:p>
        </w:tc>
        <w:tc>
          <w:tcPr>
            <w:tcW w:w="5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17</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17</w:t>
            </w:r>
          </w:p>
        </w:tc>
        <w:tc>
          <w:tcPr>
            <w:tcW w:w="5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17</w:t>
            </w:r>
          </w:p>
        </w:tc>
        <w:tc>
          <w:tcPr>
            <w:tcW w:w="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18</w:t>
            </w:r>
          </w:p>
        </w:tc>
        <w:tc>
          <w:tcPr>
            <w:tcW w:w="6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2018 19</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2018</w:t>
            </w: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231F20"/>
              </w:rPr>
              <w:t>2019</w:t>
            </w:r>
          </w:p>
        </w:tc>
        <w:tc>
          <w:tcPr>
            <w:tcW w:w="6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1"/>
                <w:szCs w:val="11"/>
                <w:color w:val="231F20"/>
              </w:rPr>
              <w:t>2020</w:t>
            </w:r>
          </w:p>
        </w:tc>
        <w:tc>
          <w:tcPr>
            <w:tcW w:w="5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2020</w:t>
            </w:r>
          </w:p>
        </w:tc>
        <w:tc>
          <w:tcPr>
            <w:tcW w:w="20" w:type="dxa"/>
            <w:vAlign w:val="bottom"/>
            <w:tcBorders>
              <w:bottom w:val="single" w:sz="8" w:color="2360A6"/>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1"/>
          <w:szCs w:val="11"/>
          <w:color w:val="231F20"/>
        </w:rPr>
        <w:t>(1) The turnover rate and fair value of performance shares differ from country to country.</w:t>
      </w:r>
    </w:p>
    <w:p>
      <w:pPr>
        <w:ind w:left="40" w:right="260"/>
        <w:spacing w:after="0" w:line="238" w:lineRule="auto"/>
        <w:rPr>
          <w:sz w:val="20"/>
          <w:szCs w:val="20"/>
          <w:color w:val="auto"/>
        </w:rPr>
      </w:pPr>
      <w:r>
        <w:rPr>
          <w:rFonts w:ascii="Arial" w:cs="Arial" w:eastAsia="Arial" w:hAnsi="Arial"/>
          <w:sz w:val="11"/>
          <w:szCs w:val="11"/>
          <w:color w:val="231F20"/>
        </w:rPr>
        <w:t>(2) For the 2016 plan, the fair value is based on an external performance criteria applied to each category of beneficiary. The Chairman and chief Executive Officer, the Group’s Principal Executives and the remaining population benefit from a different weighting of the external performance criteria.</w:t>
      </w:r>
    </w:p>
    <w:p>
      <w:pPr>
        <w:spacing w:after="0" w:line="254"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Average share price amounted to €51.55 in 2016, €52.67 in 2015 and €68.18 in 2014.</w:t>
      </w:r>
    </w:p>
    <w:p>
      <w:pPr>
        <w:sectPr>
          <w:pgSz w:w="11900" w:h="16838" w:orient="portrait"/>
          <w:cols w:equalWidth="0" w:num="1">
            <w:col w:w="11440"/>
          </w:cols>
          <w:pgMar w:left="240" w:top="641" w:right="219" w:bottom="1440" w:gutter="0" w:footer="0" w:header="0"/>
        </w:sectPr>
      </w:pPr>
    </w:p>
    <w:bookmarkStart w:id="134" w:name="page135"/>
    <w:bookmarkEnd w:id="134"/>
    <w:p>
      <w:pPr>
        <w:ind w:left="4"/>
        <w:spacing w:after="0"/>
        <w:rPr>
          <w:sz w:val="20"/>
          <w:szCs w:val="20"/>
          <w:color w:val="auto"/>
        </w:rPr>
      </w:pPr>
      <w:r>
        <w:rPr>
          <w:rFonts w:ascii="Arial" w:cs="Arial" w:eastAsia="Arial" w:hAnsi="Arial"/>
          <w:sz w:val="25"/>
          <w:szCs w:val="25"/>
          <w:b w:val="1"/>
          <w:bCs w:val="1"/>
          <w:color w:val="231F20"/>
        </w:rPr>
        <w:t>(J) Capital Management</w:t>
      </w:r>
    </w:p>
    <w:p>
      <w:pPr>
        <w:spacing w:after="0" w:line="150" w:lineRule="exact"/>
        <w:rPr>
          <w:sz w:val="20"/>
          <w:szCs w:val="20"/>
          <w:color w:val="auto"/>
        </w:rPr>
      </w:pPr>
    </w:p>
    <w:p>
      <w:pPr>
        <w:ind w:left="4"/>
        <w:spacing w:after="0" w:line="260" w:lineRule="auto"/>
        <w:rPr>
          <w:sz w:val="20"/>
          <w:szCs w:val="20"/>
          <w:color w:val="auto"/>
        </w:rPr>
      </w:pPr>
      <w:r>
        <w:rPr>
          <w:rFonts w:ascii="Arial" w:cs="Arial" w:eastAsia="Arial" w:hAnsi="Arial"/>
          <w:sz w:val="16"/>
          <w:szCs w:val="16"/>
          <w:color w:val="231F20"/>
        </w:rPr>
        <w:t>Shareholders’ equity breaks down into portions attributable to non-controlling interests and to equity holders of the parent company. Equity attributable to equity holders of the parent is equal to the share capital of Technip, the Group’s parent company, cumulated results and other reserves, less treasury shares.</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color w:val="231F20"/>
        </w:rPr>
        <w:t>Treasury shares are primarily held for the following purposes:</w:t>
      </w:r>
    </w:p>
    <w:p>
      <w:pPr>
        <w:spacing w:after="0" w:line="113" w:lineRule="exact"/>
        <w:rPr>
          <w:sz w:val="20"/>
          <w:szCs w:val="20"/>
          <w:color w:val="auto"/>
        </w:rPr>
      </w:pPr>
    </w:p>
    <w:p>
      <w:pPr>
        <w:jc w:val="both"/>
        <w:ind w:left="144" w:hanging="144"/>
        <w:spacing w:after="0" w:line="251" w:lineRule="auto"/>
        <w:tabs>
          <w:tab w:leader="none" w:pos="144" w:val="left"/>
        </w:tabs>
        <w:numPr>
          <w:ilvl w:val="0"/>
          <w:numId w:val="52"/>
        </w:numPr>
        <w:rPr>
          <w:rFonts w:ascii="Arial" w:cs="Arial" w:eastAsia="Arial" w:hAnsi="Arial"/>
          <w:sz w:val="16"/>
          <w:szCs w:val="16"/>
          <w:color w:val="2360A6"/>
        </w:rPr>
      </w:pPr>
      <w:r>
        <w:rPr>
          <w:rFonts w:ascii="Arial" w:cs="Arial" w:eastAsia="Arial" w:hAnsi="Arial"/>
          <w:sz w:val="16"/>
          <w:szCs w:val="16"/>
          <w:color w:val="231F20"/>
        </w:rPr>
        <w:t>To serve share option plans or other share plans that were granted to employees, directors or officers of the Company. During the financial year ended December 31, 2016, Technip continued its purchases of own shares under the program approved by the Shareholders’ General Meeting held on April 23, 2015 and on April 28, 2016, for a period of 18 months and relating to a maximum number of shares not exceeding 8% of the shares comprising the share capital, at a maximum share price of €85 and €65. In all, 3,168,156 shares were bought during the period at an average price of €53.29.</w:t>
      </w:r>
    </w:p>
    <w:p>
      <w:pPr>
        <w:spacing w:after="0" w:line="202" w:lineRule="exact"/>
        <w:rPr>
          <w:rFonts w:ascii="Arial" w:cs="Arial" w:eastAsia="Arial" w:hAnsi="Arial"/>
          <w:sz w:val="16"/>
          <w:szCs w:val="16"/>
          <w:color w:val="2360A6"/>
        </w:rPr>
      </w:pPr>
    </w:p>
    <w:p>
      <w:pPr>
        <w:jc w:val="both"/>
        <w:ind w:left="144"/>
        <w:spacing w:after="0" w:line="251" w:lineRule="auto"/>
        <w:rPr>
          <w:rFonts w:ascii="Arial" w:cs="Arial" w:eastAsia="Arial" w:hAnsi="Arial"/>
          <w:sz w:val="16"/>
          <w:szCs w:val="16"/>
          <w:color w:val="2360A6"/>
        </w:rPr>
      </w:pPr>
      <w:r>
        <w:rPr>
          <w:rFonts w:ascii="Arial" w:cs="Arial" w:eastAsia="Arial" w:hAnsi="Arial"/>
          <w:sz w:val="16"/>
          <w:szCs w:val="16"/>
          <w:color w:val="231F20"/>
        </w:rPr>
        <w:t>During the financial year ended December 31, 2015, Technip continued its purchases of own shares under the program approved by the Shareholders’ General Meeting held on April 24, 2014 and on April 23, 2015, for a period of 18 months and relating to a maximum number of shares not exceeding 8% of the shares comprising the share capital, at a maximum share price of €95 and €85. In all, 650 shares were bought during the period at an average price of €84.96.</w:t>
      </w:r>
    </w:p>
    <w:p>
      <w:pPr>
        <w:spacing w:after="0" w:line="202" w:lineRule="exact"/>
        <w:rPr>
          <w:rFonts w:ascii="Arial" w:cs="Arial" w:eastAsia="Arial" w:hAnsi="Arial"/>
          <w:sz w:val="16"/>
          <w:szCs w:val="16"/>
          <w:color w:val="2360A6"/>
        </w:rPr>
      </w:pPr>
    </w:p>
    <w:p>
      <w:pPr>
        <w:jc w:val="both"/>
        <w:ind w:left="144"/>
        <w:spacing w:after="0" w:line="251" w:lineRule="auto"/>
        <w:rPr>
          <w:rFonts w:ascii="Arial" w:cs="Arial" w:eastAsia="Arial" w:hAnsi="Arial"/>
          <w:sz w:val="16"/>
          <w:szCs w:val="16"/>
          <w:color w:val="2360A6"/>
        </w:rPr>
      </w:pPr>
      <w:r>
        <w:rPr>
          <w:rFonts w:ascii="Arial" w:cs="Arial" w:eastAsia="Arial" w:hAnsi="Arial"/>
          <w:sz w:val="16"/>
          <w:szCs w:val="16"/>
          <w:color w:val="231F20"/>
        </w:rPr>
        <w:t>During the financial year ended December 31, 2014, Technip continued its purchases of own shares under the program approved by the Shareholders’ General Meeting held on April 25, 2013 and on April 24, 2014, for a period of 18 months and relating to a maximum number of shares not exceeding respectively 10% and 8% of the shares comprising the share capital, at a maximum share price of €115 and €95. In all, 610,569 shares were bought during the period at an average price of €68.4, for a total of €41.8 million.</w:t>
      </w:r>
    </w:p>
    <w:p>
      <w:pPr>
        <w:spacing w:after="0" w:line="202" w:lineRule="exact"/>
        <w:rPr>
          <w:rFonts w:ascii="Arial" w:cs="Arial" w:eastAsia="Arial" w:hAnsi="Arial"/>
          <w:sz w:val="16"/>
          <w:szCs w:val="16"/>
          <w:color w:val="2360A6"/>
        </w:rPr>
      </w:pPr>
    </w:p>
    <w:p>
      <w:pPr>
        <w:jc w:val="both"/>
        <w:ind w:left="164" w:hanging="124"/>
        <w:spacing w:after="0" w:line="253" w:lineRule="auto"/>
        <w:tabs>
          <w:tab w:leader="none" w:pos="164" w:val="left"/>
        </w:tabs>
        <w:numPr>
          <w:ilvl w:val="1"/>
          <w:numId w:val="52"/>
        </w:numPr>
        <w:rPr>
          <w:rFonts w:ascii="Arial" w:cs="Arial" w:eastAsia="Arial" w:hAnsi="Arial"/>
          <w:sz w:val="16"/>
          <w:szCs w:val="16"/>
          <w:color w:val="2360A6"/>
        </w:rPr>
      </w:pPr>
      <w:r>
        <w:rPr>
          <w:rFonts w:ascii="Arial" w:cs="Arial" w:eastAsia="Arial" w:hAnsi="Arial"/>
          <w:sz w:val="16"/>
          <w:szCs w:val="16"/>
          <w:color w:val="231F20"/>
        </w:rPr>
        <w:t>To promote share trading and, in particular, to ensure the liquidity of shares pursuant to a liquidity contract, by an investment service provider. Pursuant to a contract dated February 12, 2010, and for a duration of one year as from this date, tacitly renewable, the Company engaged Kepler Cheuvreux to execute a liquidity contract in compliance with the AMAFI Code of Conduct. This contract was ended on December 22, 2016.</w:t>
      </w:r>
    </w:p>
    <w:p>
      <w:pPr>
        <w:spacing w:after="0" w:line="201" w:lineRule="exact"/>
        <w:rPr>
          <w:sz w:val="20"/>
          <w:szCs w:val="20"/>
          <w:color w:val="auto"/>
        </w:rPr>
      </w:pPr>
    </w:p>
    <w:p>
      <w:pPr>
        <w:ind w:left="44"/>
        <w:spacing w:after="0" w:line="260" w:lineRule="auto"/>
        <w:rPr>
          <w:sz w:val="20"/>
          <w:szCs w:val="20"/>
          <w:color w:val="auto"/>
        </w:rPr>
      </w:pPr>
      <w:r>
        <w:rPr>
          <w:rFonts w:ascii="Arial" w:cs="Arial" w:eastAsia="Arial" w:hAnsi="Arial"/>
          <w:sz w:val="16"/>
          <w:szCs w:val="16"/>
          <w:color w:val="231F20"/>
        </w:rPr>
        <w:t>During the financial year ended December 31, 2016, 1,298,130 shares were purchased and 1,408,130 shares were sold pursuant to the terms and conditions of this liquidity contract.</w:t>
      </w:r>
    </w:p>
    <w:p>
      <w:pPr>
        <w:spacing w:after="0" w:line="196" w:lineRule="exact"/>
        <w:rPr>
          <w:sz w:val="20"/>
          <w:szCs w:val="20"/>
          <w:color w:val="auto"/>
        </w:rPr>
      </w:pPr>
    </w:p>
    <w:p>
      <w:pPr>
        <w:ind w:left="44"/>
        <w:spacing w:after="0" w:line="260" w:lineRule="auto"/>
        <w:rPr>
          <w:sz w:val="20"/>
          <w:szCs w:val="20"/>
          <w:color w:val="auto"/>
        </w:rPr>
      </w:pPr>
      <w:r>
        <w:rPr>
          <w:rFonts w:ascii="Arial" w:cs="Arial" w:eastAsia="Arial" w:hAnsi="Arial"/>
          <w:sz w:val="16"/>
          <w:szCs w:val="16"/>
          <w:color w:val="231F20"/>
        </w:rPr>
        <w:t>During the financial year ended December 31, 2015, 1,333,789 shares were purchased and 1,419,789 shares were sold pursuant to the terms and conditions of this liquidity contract.</w:t>
      </w:r>
    </w:p>
    <w:p>
      <w:pPr>
        <w:spacing w:after="0" w:line="196" w:lineRule="exact"/>
        <w:rPr>
          <w:sz w:val="20"/>
          <w:szCs w:val="20"/>
          <w:color w:val="auto"/>
        </w:rPr>
      </w:pPr>
    </w:p>
    <w:p>
      <w:pPr>
        <w:ind w:left="44"/>
        <w:spacing w:after="0" w:line="260" w:lineRule="auto"/>
        <w:rPr>
          <w:sz w:val="20"/>
          <w:szCs w:val="20"/>
          <w:color w:val="auto"/>
        </w:rPr>
      </w:pPr>
      <w:r>
        <w:rPr>
          <w:rFonts w:ascii="Arial" w:cs="Arial" w:eastAsia="Arial" w:hAnsi="Arial"/>
          <w:sz w:val="16"/>
          <w:szCs w:val="16"/>
          <w:color w:val="231F20"/>
        </w:rPr>
        <w:t>During the financial year ended December 31, 2014, 823,060 shares were purchased and 793,560 shares were sold pursuant to the terms and conditions of this liquidity contract.</w:t>
      </w:r>
    </w:p>
    <w:p>
      <w:pPr>
        <w:spacing w:after="0" w:line="285" w:lineRule="exact"/>
        <w:rPr>
          <w:sz w:val="20"/>
          <w:szCs w:val="20"/>
          <w:color w:val="auto"/>
        </w:rPr>
      </w:pPr>
    </w:p>
    <w:p>
      <w:pPr>
        <w:ind w:left="44"/>
        <w:spacing w:after="0"/>
        <w:rPr>
          <w:sz w:val="20"/>
          <w:szCs w:val="20"/>
          <w:color w:val="auto"/>
        </w:rPr>
      </w:pPr>
      <w:r>
        <w:rPr>
          <w:rFonts w:ascii="Arial" w:cs="Arial" w:eastAsia="Arial" w:hAnsi="Arial"/>
          <w:sz w:val="25"/>
          <w:szCs w:val="25"/>
          <w:b w:val="1"/>
          <w:bCs w:val="1"/>
          <w:color w:val="231F20"/>
        </w:rPr>
        <w:t>(K) Non-Controlling Interests</w:t>
      </w:r>
    </w:p>
    <w:p>
      <w:pPr>
        <w:spacing w:after="0" w:line="150" w:lineRule="exact"/>
        <w:rPr>
          <w:sz w:val="20"/>
          <w:szCs w:val="20"/>
          <w:color w:val="auto"/>
        </w:rPr>
      </w:pPr>
    </w:p>
    <w:p>
      <w:pPr>
        <w:ind w:left="44" w:right="20"/>
        <w:spacing w:after="0" w:line="260" w:lineRule="auto"/>
        <w:rPr>
          <w:sz w:val="20"/>
          <w:szCs w:val="20"/>
          <w:color w:val="auto"/>
        </w:rPr>
      </w:pPr>
      <w:r>
        <w:rPr>
          <w:rFonts w:ascii="Arial" w:cs="Arial" w:eastAsia="Arial" w:hAnsi="Arial"/>
          <w:sz w:val="16"/>
          <w:szCs w:val="16"/>
          <w:color w:val="231F20"/>
        </w:rPr>
        <w:t>Non-controlling interests amounting to €(11.1) million as of December 31, 2016 did not represent a material component of the Group consolidated financial statements in the years ended December 31, 2016, and 2015.</w:t>
      </w:r>
    </w:p>
    <w:p>
      <w:pPr>
        <w:spacing w:after="0" w:line="196" w:lineRule="exact"/>
        <w:rPr>
          <w:sz w:val="20"/>
          <w:szCs w:val="20"/>
          <w:color w:val="auto"/>
        </w:rPr>
      </w:pPr>
    </w:p>
    <w:p>
      <w:pPr>
        <w:ind w:left="44"/>
        <w:spacing w:after="0" w:line="260" w:lineRule="auto"/>
        <w:rPr>
          <w:sz w:val="20"/>
          <w:szCs w:val="20"/>
          <w:color w:val="auto"/>
        </w:rPr>
      </w:pPr>
      <w:r>
        <w:rPr>
          <w:rFonts w:ascii="Arial" w:cs="Arial" w:eastAsia="Arial" w:hAnsi="Arial"/>
          <w:sz w:val="16"/>
          <w:szCs w:val="16"/>
          <w:color w:val="231F20"/>
        </w:rPr>
        <w:t>Non-controlling interests amounting to €8.5 million as of December 31, 2015 did not represent a material component of the Group consolidated financial statements in the years ended December 31, 2015, and 2014.</w:t>
      </w:r>
    </w:p>
    <w:p>
      <w:pPr>
        <w:spacing w:after="0" w:line="196" w:lineRule="exact"/>
        <w:rPr>
          <w:sz w:val="20"/>
          <w:szCs w:val="20"/>
          <w:color w:val="auto"/>
        </w:rPr>
      </w:pPr>
    </w:p>
    <w:p>
      <w:pPr>
        <w:ind w:left="44" w:right="20"/>
        <w:spacing w:after="0" w:line="260" w:lineRule="auto"/>
        <w:rPr>
          <w:sz w:val="20"/>
          <w:szCs w:val="20"/>
          <w:color w:val="auto"/>
        </w:rPr>
      </w:pPr>
      <w:r>
        <w:rPr>
          <w:rFonts w:ascii="Arial" w:cs="Arial" w:eastAsia="Arial" w:hAnsi="Arial"/>
          <w:sz w:val="16"/>
          <w:szCs w:val="16"/>
          <w:color w:val="231F20"/>
        </w:rPr>
        <w:t>Non-controlling interests amounting to €11.8 million as of December 31, 2014 did not represent a material component of the Group consolidated financial statements in the years ended December 31, 2014, and 2013.</w:t>
      </w:r>
    </w:p>
    <w:p>
      <w:pPr>
        <w:sectPr>
          <w:pgSz w:w="11900" w:h="16838" w:orient="portrait"/>
          <w:cols w:equalWidth="0" w:num="1">
            <w:col w:w="11344"/>
          </w:cols>
          <w:pgMar w:left="316" w:top="676" w:right="239" w:bottom="1440" w:gutter="0" w:footer="0" w:header="0"/>
        </w:sectPr>
      </w:pPr>
    </w:p>
    <w:bookmarkStart w:id="135" w:name="page136"/>
    <w:bookmarkEnd w:id="135"/>
    <w:p>
      <w:pPr>
        <w:ind w:left="4"/>
        <w:spacing w:after="0"/>
        <w:rPr>
          <w:sz w:val="20"/>
          <w:szCs w:val="20"/>
          <w:color w:val="auto"/>
        </w:rPr>
      </w:pPr>
      <w:r>
        <w:rPr>
          <w:rFonts w:ascii="Arial" w:cs="Arial" w:eastAsia="Arial" w:hAnsi="Arial"/>
          <w:sz w:val="25"/>
          <w:szCs w:val="25"/>
          <w:b w:val="1"/>
          <w:bCs w:val="1"/>
          <w:color w:val="231F20"/>
        </w:rPr>
        <w:t>(L) Capital Increase Reserved for Employees</w:t>
      </w:r>
    </w:p>
    <w:p>
      <w:pPr>
        <w:spacing w:after="0" w:line="150" w:lineRule="exact"/>
        <w:rPr>
          <w:sz w:val="20"/>
          <w:szCs w:val="20"/>
          <w:color w:val="auto"/>
        </w:rPr>
      </w:pPr>
    </w:p>
    <w:p>
      <w:pPr>
        <w:ind w:left="4"/>
        <w:spacing w:after="0"/>
        <w:rPr>
          <w:sz w:val="20"/>
          <w:szCs w:val="20"/>
          <w:color w:val="auto"/>
        </w:rPr>
      </w:pPr>
      <w:r>
        <w:rPr>
          <w:rFonts w:ascii="Arial" w:cs="Arial" w:eastAsia="Arial" w:hAnsi="Arial"/>
          <w:sz w:val="16"/>
          <w:szCs w:val="16"/>
          <w:color w:val="231F20"/>
        </w:rPr>
        <w:t>In 2016, Technip did not proceed to any capital increase reserved for employees.</w:t>
      </w:r>
    </w:p>
    <w:p>
      <w:pPr>
        <w:spacing w:after="0" w:line="221" w:lineRule="exact"/>
        <w:rPr>
          <w:sz w:val="20"/>
          <w:szCs w:val="20"/>
          <w:color w:val="auto"/>
        </w:rPr>
      </w:pPr>
    </w:p>
    <w:p>
      <w:pPr>
        <w:ind w:left="4" w:right="20"/>
        <w:spacing w:after="0" w:line="260" w:lineRule="auto"/>
        <w:rPr>
          <w:sz w:val="20"/>
          <w:szCs w:val="20"/>
          <w:color w:val="auto"/>
        </w:rPr>
      </w:pPr>
      <w:r>
        <w:rPr>
          <w:rFonts w:ascii="Arial" w:cs="Arial" w:eastAsia="Arial" w:hAnsi="Arial"/>
          <w:sz w:val="16"/>
          <w:szCs w:val="16"/>
          <w:color w:val="231F20"/>
        </w:rPr>
        <w:t>Technip, holding company of the Group, proceeded to a capital increase reserved for employees in 2015. This capital increase was offered to all Technip employees and its subsidiaries.</w:t>
      </w:r>
    </w:p>
    <w:p>
      <w:pPr>
        <w:spacing w:after="0" w:line="180" w:lineRule="exact"/>
        <w:rPr>
          <w:sz w:val="20"/>
          <w:szCs w:val="20"/>
          <w:color w:val="auto"/>
        </w:rPr>
      </w:pPr>
    </w:p>
    <w:p>
      <w:pPr>
        <w:ind w:left="4" w:right="20"/>
        <w:spacing w:after="0" w:line="281" w:lineRule="auto"/>
        <w:rPr>
          <w:sz w:val="20"/>
          <w:szCs w:val="20"/>
          <w:color w:val="auto"/>
        </w:rPr>
      </w:pPr>
      <w:r>
        <w:rPr>
          <w:rFonts w:ascii="Arial" w:cs="Arial" w:eastAsia="Arial" w:hAnsi="Arial"/>
          <w:sz w:val="16"/>
          <w:szCs w:val="16"/>
          <w:color w:val="231F20"/>
        </w:rPr>
        <w:t xml:space="preserve">Benefiting from a subscription price of €38.16, </w:t>
      </w:r>
      <w:r>
        <w:rPr>
          <w:rFonts w:ascii="Arial" w:cs="Arial" w:eastAsia="Arial" w:hAnsi="Arial"/>
          <w:sz w:val="16"/>
          <w:szCs w:val="16"/>
          <w:i w:val="1"/>
          <w:iCs w:val="1"/>
          <w:color w:val="231F20"/>
        </w:rPr>
        <w:t>i.e.</w:t>
      </w:r>
      <w:r>
        <w:rPr>
          <w:rFonts w:ascii="Arial" w:cs="Arial" w:eastAsia="Arial" w:hAnsi="Arial"/>
          <w:sz w:val="16"/>
          <w:szCs w:val="16"/>
          <w:color w:val="231F20"/>
        </w:rPr>
        <w:t xml:space="preserve"> a 20% discount on the reference price of €47.69, employees had the choice to invest in Technip shares through a collective savings vehicle in one or several of the following plans:</w:t>
      </w:r>
    </w:p>
    <w:p>
      <w:pPr>
        <w:spacing w:after="0" w:line="17" w:lineRule="exact"/>
        <w:rPr>
          <w:sz w:val="20"/>
          <w:szCs w:val="20"/>
          <w:color w:val="auto"/>
        </w:rPr>
      </w:pPr>
    </w:p>
    <w:p>
      <w:pPr>
        <w:ind w:left="124" w:hanging="124"/>
        <w:spacing w:after="0" w:line="260" w:lineRule="auto"/>
        <w:tabs>
          <w:tab w:leader="none" w:pos="124" w:val="left"/>
        </w:tabs>
        <w:numPr>
          <w:ilvl w:val="0"/>
          <w:numId w:val="53"/>
        </w:numPr>
        <w:rPr>
          <w:rFonts w:ascii="Arial" w:cs="Arial" w:eastAsia="Arial" w:hAnsi="Arial"/>
          <w:sz w:val="16"/>
          <w:szCs w:val="16"/>
          <w:color w:val="2360A6"/>
        </w:rPr>
      </w:pPr>
      <w:r>
        <w:rPr>
          <w:rFonts w:ascii="Arial" w:cs="Arial" w:eastAsia="Arial" w:hAnsi="Arial"/>
          <w:sz w:val="16"/>
          <w:szCs w:val="16"/>
          <w:color w:val="231F20"/>
        </w:rPr>
        <w:t>Technip “Classic Plan” subscribed for 225,297 shares. Employees benefit from an employer contribution, but are exposed to the changes in Technip share value;</w:t>
      </w:r>
    </w:p>
    <w:p>
      <w:pPr>
        <w:spacing w:after="0" w:line="33" w:lineRule="exact"/>
        <w:rPr>
          <w:rFonts w:ascii="Arial" w:cs="Arial" w:eastAsia="Arial" w:hAnsi="Arial"/>
          <w:sz w:val="16"/>
          <w:szCs w:val="16"/>
          <w:color w:val="2360A6"/>
        </w:rPr>
      </w:pPr>
    </w:p>
    <w:p>
      <w:pPr>
        <w:jc w:val="both"/>
        <w:ind w:left="124" w:hanging="124"/>
        <w:spacing w:after="0" w:line="253" w:lineRule="auto"/>
        <w:tabs>
          <w:tab w:leader="none" w:pos="124" w:val="left"/>
        </w:tabs>
        <w:numPr>
          <w:ilvl w:val="0"/>
          <w:numId w:val="53"/>
        </w:numPr>
        <w:rPr>
          <w:rFonts w:ascii="Arial" w:cs="Arial" w:eastAsia="Arial" w:hAnsi="Arial"/>
          <w:sz w:val="16"/>
          <w:szCs w:val="16"/>
          <w:color w:val="2360A6"/>
        </w:rPr>
      </w:pPr>
      <w:r>
        <w:rPr>
          <w:rFonts w:ascii="Arial" w:cs="Arial" w:eastAsia="Arial" w:hAnsi="Arial"/>
          <w:sz w:val="16"/>
          <w:szCs w:val="16"/>
          <w:color w:val="231F20"/>
        </w:rPr>
        <w:t>Technip “Secure Plan” subscribed for 60,956 shares. Employees benefit from an employer contribution, while guaranteeing the initial investment at the end of a 5-year period, increased by the greater between the capitalized annual return of 1.5% and the protected average increase in Technip share value compared to the reference price;</w:t>
      </w:r>
    </w:p>
    <w:p>
      <w:pPr>
        <w:spacing w:after="0" w:line="39" w:lineRule="exact"/>
        <w:rPr>
          <w:rFonts w:ascii="Arial" w:cs="Arial" w:eastAsia="Arial" w:hAnsi="Arial"/>
          <w:sz w:val="16"/>
          <w:szCs w:val="16"/>
          <w:color w:val="2360A6"/>
        </w:rPr>
      </w:pPr>
    </w:p>
    <w:p>
      <w:pPr>
        <w:jc w:val="both"/>
        <w:ind w:left="124" w:hanging="124"/>
        <w:spacing w:after="0" w:line="249" w:lineRule="auto"/>
        <w:tabs>
          <w:tab w:leader="none" w:pos="124" w:val="left"/>
        </w:tabs>
        <w:numPr>
          <w:ilvl w:val="0"/>
          <w:numId w:val="53"/>
        </w:numPr>
        <w:rPr>
          <w:rFonts w:ascii="Arial" w:cs="Arial" w:eastAsia="Arial" w:hAnsi="Arial"/>
          <w:sz w:val="16"/>
          <w:szCs w:val="16"/>
          <w:color w:val="2360A6"/>
        </w:rPr>
      </w:pPr>
      <w:r>
        <w:rPr>
          <w:rFonts w:ascii="Arial" w:cs="Arial" w:eastAsia="Arial" w:hAnsi="Arial"/>
          <w:sz w:val="16"/>
          <w:szCs w:val="16"/>
          <w:color w:val="231F20"/>
        </w:rPr>
        <w:t>Technip “Multiple Plan” subscribed for 1,083,070 shares. Employees benefit from an employer contribution while guaranteeing the initial investment at the end of a 5-year period, increased by the greater between the capitalized annual return of 1.5% and 10.3 times the protected average increase in Technip share value compared to the reference price. For each share bought by the employee, the bank in charge of structuring the operation financed the acquisition of nine additional shares through a banking complement. The initial investment of the employee is guaranteed. The capital guarantee and the multiple of the average increase are obtained through the transfer to the bank of the discount, the dividends and the other financial rights related to the shares.</w:t>
      </w:r>
    </w:p>
    <w:p>
      <w:pPr>
        <w:spacing w:after="0" w:line="396" w:lineRule="exact"/>
        <w:rPr>
          <w:sz w:val="20"/>
          <w:szCs w:val="20"/>
          <w:color w:val="auto"/>
        </w:rPr>
      </w:pPr>
    </w:p>
    <w:p>
      <w:pPr>
        <w:ind w:left="4"/>
        <w:spacing w:after="0"/>
        <w:rPr>
          <w:sz w:val="20"/>
          <w:szCs w:val="20"/>
          <w:color w:val="auto"/>
        </w:rPr>
      </w:pPr>
      <w:r>
        <w:rPr>
          <w:rFonts w:ascii="Arial" w:cs="Arial" w:eastAsia="Arial" w:hAnsi="Arial"/>
          <w:sz w:val="16"/>
          <w:szCs w:val="16"/>
          <w:color w:val="231F20"/>
        </w:rPr>
        <w:t>Holding period for all formulas is five years.</w:t>
      </w:r>
    </w:p>
    <w:p>
      <w:pPr>
        <w:spacing w:after="0" w:line="221" w:lineRule="exact"/>
        <w:rPr>
          <w:sz w:val="20"/>
          <w:szCs w:val="20"/>
          <w:color w:val="auto"/>
        </w:rPr>
      </w:pPr>
    </w:p>
    <w:p>
      <w:pPr>
        <w:jc w:val="both"/>
        <w:ind w:left="4"/>
        <w:spacing w:after="0" w:line="251" w:lineRule="auto"/>
        <w:rPr>
          <w:sz w:val="20"/>
          <w:szCs w:val="20"/>
          <w:color w:val="auto"/>
        </w:rPr>
      </w:pPr>
      <w:r>
        <w:rPr>
          <w:rFonts w:ascii="Arial" w:cs="Arial" w:eastAsia="Arial" w:hAnsi="Arial"/>
          <w:sz w:val="16"/>
          <w:szCs w:val="16"/>
          <w:color w:val="231F20"/>
        </w:rPr>
        <w:t>For some countries, depending of the national laws, only one or two of the three plans have been proposed. Terms and conditions of these plans have been adapted depending on local constraints linked to legal, tax or social matters. In some countries, Technip Multiple Plan has been replaced by a SAR plan (Stock Appreciation Rights). In order to hedge these SAR and finance the purchase of a hedging option, the Group issued 556,180 additional shares with the banking counterpart in charge of structuring the operation.</w:t>
      </w:r>
    </w:p>
    <w:p>
      <w:pPr>
        <w:spacing w:after="0" w:line="203" w:lineRule="exact"/>
        <w:rPr>
          <w:sz w:val="20"/>
          <w:szCs w:val="20"/>
          <w:color w:val="auto"/>
        </w:rPr>
      </w:pPr>
    </w:p>
    <w:p>
      <w:pPr>
        <w:jc w:val="both"/>
        <w:ind w:left="4"/>
        <w:spacing w:after="0" w:line="253" w:lineRule="auto"/>
        <w:rPr>
          <w:sz w:val="20"/>
          <w:szCs w:val="20"/>
          <w:color w:val="auto"/>
        </w:rPr>
      </w:pPr>
      <w:r>
        <w:rPr>
          <w:rFonts w:ascii="Arial" w:cs="Arial" w:eastAsia="Arial" w:hAnsi="Arial"/>
          <w:sz w:val="16"/>
          <w:szCs w:val="16"/>
          <w:color w:val="231F20"/>
        </w:rPr>
        <w:t>Following this capital increase, Technip issued 1,925,503 new shares on December 17, 2015. The increase in common stock amounted to €1.5 million and the increase in paid-in-surplus to €72.0 million, reduced by €0.5 million net charge for administrative costs related to this operation, for a total net amount of €73.0 million.</w:t>
      </w:r>
    </w:p>
    <w:p>
      <w:pPr>
        <w:spacing w:after="0" w:line="201" w:lineRule="exact"/>
        <w:rPr>
          <w:sz w:val="20"/>
          <w:szCs w:val="20"/>
          <w:color w:val="auto"/>
        </w:rPr>
      </w:pPr>
    </w:p>
    <w:p>
      <w:pPr>
        <w:jc w:val="both"/>
        <w:ind w:left="4"/>
        <w:spacing w:after="0" w:line="260" w:lineRule="auto"/>
        <w:rPr>
          <w:sz w:val="20"/>
          <w:szCs w:val="20"/>
          <w:color w:val="auto"/>
        </w:rPr>
      </w:pPr>
      <w:r>
        <w:rPr>
          <w:rFonts w:ascii="Arial" w:cs="Arial" w:eastAsia="Arial" w:hAnsi="Arial"/>
          <w:sz w:val="16"/>
          <w:szCs w:val="16"/>
          <w:color w:val="231F20"/>
        </w:rPr>
        <w:t>The charge recognized by the Group on this capital increase reserved for employees and recorded as payroll expense comprises the IFRS 2 charge corresponding to the lock-up costs for €7.9 million and a €5.1 million charge for the employer contributions paid by Technip depending on the formulas.</w:t>
      </w:r>
    </w:p>
    <w:p>
      <w:pPr>
        <w:spacing w:after="0" w:line="61" w:lineRule="exact"/>
        <w:rPr>
          <w:sz w:val="20"/>
          <w:szCs w:val="20"/>
          <w:color w:val="auto"/>
        </w:rPr>
      </w:pPr>
    </w:p>
    <w:p>
      <w:pPr>
        <w:ind w:left="4"/>
        <w:spacing w:after="0"/>
        <w:rPr>
          <w:sz w:val="20"/>
          <w:szCs w:val="20"/>
          <w:color w:val="auto"/>
        </w:rPr>
      </w:pPr>
      <w:r>
        <w:rPr>
          <w:rFonts w:ascii="Arial" w:cs="Arial" w:eastAsia="Arial" w:hAnsi="Arial"/>
          <w:sz w:val="16"/>
          <w:szCs w:val="16"/>
          <w:color w:val="231F20"/>
        </w:rPr>
        <w:t>In 2014, Technip did not proceed to any capital increase reserved for employees.</w:t>
      </w:r>
    </w:p>
    <w:p>
      <w:pPr>
        <w:sectPr>
          <w:pgSz w:w="11900" w:h="16838" w:orient="portrait"/>
          <w:cols w:equalWidth="0" w:num="1">
            <w:col w:w="11304"/>
          </w:cols>
          <w:pgMar w:left="356" w:top="676" w:right="239" w:bottom="1440" w:gutter="0" w:footer="0" w:header="0"/>
        </w:sectPr>
      </w:pPr>
    </w:p>
    <w:bookmarkStart w:id="136" w:name="page137"/>
    <w:bookmarkEnd w:id="136"/>
    <w:p>
      <w:pPr>
        <w:ind w:left="40"/>
        <w:spacing w:after="0"/>
        <w:rPr>
          <w:sz w:val="20"/>
          <w:szCs w:val="20"/>
          <w:color w:val="auto"/>
        </w:rPr>
      </w:pPr>
      <w:r>
        <w:rPr>
          <w:rFonts w:ascii="Arial" w:cs="Arial" w:eastAsia="Arial" w:hAnsi="Arial"/>
          <w:sz w:val="29"/>
          <w:szCs w:val="29"/>
          <w:b w:val="1"/>
          <w:bCs w:val="1"/>
          <w:color w:val="2360A6"/>
        </w:rPr>
        <w:t>Note 21 Financial Debts (Current and Non-Current)</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Financial Debts, Breakdown by Nature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Financial debts break down as follows:</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3300" w:type="dxa"/>
            <w:vAlign w:val="bottom"/>
            <w:tcBorders>
              <w:top w:val="single" w:sz="8" w:color="2360A6"/>
              <w:left w:val="single" w:sz="8" w:color="2360A6"/>
              <w:right w:val="single" w:sz="8" w:color="2360A6"/>
            </w:tcBorders>
          </w:tcPr>
          <w:p>
            <w:pPr>
              <w:spacing w:after="0"/>
              <w:rPr>
                <w:sz w:val="16"/>
                <w:szCs w:val="16"/>
                <w:color w:val="auto"/>
              </w:rPr>
            </w:pPr>
          </w:p>
        </w:tc>
        <w:tc>
          <w:tcPr>
            <w:tcW w:w="1080" w:type="dxa"/>
            <w:vAlign w:val="bottom"/>
            <w:tcBorders>
              <w:top w:val="single" w:sz="8" w:color="2360A6"/>
            </w:tcBorders>
            <w:shd w:val="clear" w:color="auto" w:fill="2360A6"/>
          </w:tcPr>
          <w:p>
            <w:pPr>
              <w:spacing w:after="0"/>
              <w:rPr>
                <w:sz w:val="16"/>
                <w:szCs w:val="16"/>
                <w:color w:val="auto"/>
              </w:rPr>
            </w:pPr>
          </w:p>
        </w:tc>
        <w:tc>
          <w:tcPr>
            <w:tcW w:w="1380" w:type="dxa"/>
            <w:vAlign w:val="bottom"/>
            <w:tcBorders>
              <w:top w:val="single" w:sz="8" w:color="2360A6"/>
              <w:right w:val="single" w:sz="8" w:color="2360A6"/>
            </w:tcBorders>
            <w:gridSpan w:val="2"/>
            <w:shd w:val="clear" w:color="auto" w:fill="2360A6"/>
          </w:tcPr>
          <w:p>
            <w:pPr>
              <w:jc w:val="center"/>
              <w:ind w:right="908"/>
              <w:spacing w:after="0"/>
              <w:rPr>
                <w:sz w:val="20"/>
                <w:szCs w:val="20"/>
                <w:color w:val="auto"/>
              </w:rPr>
            </w:pPr>
            <w:r>
              <w:rPr>
                <w:rFonts w:ascii="Arial" w:cs="Arial" w:eastAsia="Arial" w:hAnsi="Arial"/>
                <w:sz w:val="14"/>
                <w:szCs w:val="14"/>
                <w:b w:val="1"/>
                <w:bCs w:val="1"/>
                <w:color w:val="FFFFFF"/>
              </w:rPr>
              <w:t>As of</w:t>
            </w:r>
          </w:p>
        </w:tc>
        <w:tc>
          <w:tcPr>
            <w:tcW w:w="1060" w:type="dxa"/>
            <w:vAlign w:val="bottom"/>
            <w:tcBorders>
              <w:top w:val="single" w:sz="8" w:color="2360A6"/>
            </w:tcBorders>
          </w:tcPr>
          <w:p>
            <w:pPr>
              <w:spacing w:after="0"/>
              <w:rPr>
                <w:sz w:val="16"/>
                <w:szCs w:val="16"/>
                <w:color w:val="auto"/>
              </w:rPr>
            </w:pPr>
          </w:p>
        </w:tc>
        <w:tc>
          <w:tcPr>
            <w:tcW w:w="1380" w:type="dxa"/>
            <w:vAlign w:val="bottom"/>
            <w:tcBorders>
              <w:top w:val="single" w:sz="8" w:color="2360A6"/>
              <w:right w:val="single" w:sz="8" w:color="2360A6"/>
            </w:tcBorders>
            <w:gridSpan w:val="2"/>
          </w:tcPr>
          <w:p>
            <w:pPr>
              <w:jc w:val="center"/>
              <w:ind w:right="908"/>
              <w:spacing w:after="0"/>
              <w:rPr>
                <w:sz w:val="20"/>
                <w:szCs w:val="20"/>
                <w:color w:val="auto"/>
              </w:rPr>
            </w:pPr>
            <w:r>
              <w:rPr>
                <w:rFonts w:ascii="Arial" w:cs="Arial" w:eastAsia="Arial" w:hAnsi="Arial"/>
                <w:sz w:val="14"/>
                <w:szCs w:val="14"/>
                <w:b w:val="1"/>
                <w:bCs w:val="1"/>
                <w:color w:val="2360BA"/>
              </w:rPr>
              <w:t>As of</w:t>
            </w:r>
          </w:p>
        </w:tc>
        <w:tc>
          <w:tcPr>
            <w:tcW w:w="1040" w:type="dxa"/>
            <w:vAlign w:val="bottom"/>
            <w:tcBorders>
              <w:top w:val="single" w:sz="8" w:color="2360A6"/>
            </w:tcBorders>
          </w:tcPr>
          <w:p>
            <w:pPr>
              <w:spacing w:after="0"/>
              <w:rPr>
                <w:sz w:val="16"/>
                <w:szCs w:val="16"/>
                <w:color w:val="auto"/>
              </w:rPr>
            </w:pPr>
          </w:p>
        </w:tc>
        <w:tc>
          <w:tcPr>
            <w:tcW w:w="1360" w:type="dxa"/>
            <w:vAlign w:val="bottom"/>
            <w:tcBorders>
              <w:top w:val="single" w:sz="8" w:color="2360A6"/>
              <w:right w:val="single" w:sz="8" w:color="2360A6"/>
            </w:tcBorders>
            <w:gridSpan w:val="2"/>
          </w:tcPr>
          <w:p>
            <w:pPr>
              <w:jc w:val="center"/>
              <w:ind w:right="888"/>
              <w:spacing w:after="0"/>
              <w:rPr>
                <w:sz w:val="20"/>
                <w:szCs w:val="20"/>
                <w:color w:val="auto"/>
              </w:rPr>
            </w:pPr>
            <w:r>
              <w:rPr>
                <w:rFonts w:ascii="Arial" w:cs="Arial" w:eastAsia="Arial" w:hAnsi="Arial"/>
                <w:sz w:val="14"/>
                <w:szCs w:val="14"/>
                <w:b w:val="1"/>
                <w:bCs w:val="1"/>
                <w:color w:val="2360A6"/>
              </w:rPr>
              <w:t>As of</w:t>
            </w:r>
          </w:p>
        </w:tc>
      </w:tr>
      <w:tr>
        <w:trPr>
          <w:trHeight w:val="162"/>
        </w:trPr>
        <w:tc>
          <w:tcPr>
            <w:tcW w:w="3300" w:type="dxa"/>
            <w:vAlign w:val="bottom"/>
            <w:tcBorders>
              <w:left w:val="single" w:sz="8" w:color="2360A6"/>
              <w:right w:val="single" w:sz="8" w:color="2360A6"/>
            </w:tcBorders>
          </w:tcPr>
          <w:p>
            <w:pPr>
              <w:spacing w:after="0"/>
              <w:rPr>
                <w:sz w:val="14"/>
                <w:szCs w:val="14"/>
                <w:color w:val="auto"/>
              </w:rPr>
            </w:pPr>
          </w:p>
        </w:tc>
        <w:tc>
          <w:tcPr>
            <w:tcW w:w="2460" w:type="dxa"/>
            <w:vAlign w:val="bottom"/>
            <w:tcBorders>
              <w:right w:val="single" w:sz="8" w:color="2360A6"/>
            </w:tcBorders>
            <w:gridSpan w:val="3"/>
            <w:shd w:val="clear" w:color="auto" w:fill="2360A6"/>
          </w:tcPr>
          <w:p>
            <w:pPr>
              <w:jc w:val="center"/>
              <w:ind w:left="8"/>
              <w:spacing w:after="0"/>
              <w:rPr>
                <w:sz w:val="20"/>
                <w:szCs w:val="20"/>
                <w:color w:val="auto"/>
              </w:rPr>
            </w:pPr>
            <w:r>
              <w:rPr>
                <w:rFonts w:ascii="Arial" w:cs="Arial" w:eastAsia="Arial" w:hAnsi="Arial"/>
                <w:sz w:val="14"/>
                <w:szCs w:val="14"/>
                <w:b w:val="1"/>
                <w:bCs w:val="1"/>
                <w:color w:val="FFFFFF"/>
              </w:rPr>
              <w:t>December 31,</w:t>
            </w:r>
          </w:p>
        </w:tc>
        <w:tc>
          <w:tcPr>
            <w:tcW w:w="2440" w:type="dxa"/>
            <w:vAlign w:val="bottom"/>
            <w:tcBorders>
              <w:right w:val="single" w:sz="8" w:color="2360A6"/>
            </w:tcBorders>
            <w:gridSpan w:val="3"/>
          </w:tcPr>
          <w:p>
            <w:pPr>
              <w:jc w:val="center"/>
              <w:spacing w:after="0"/>
              <w:rPr>
                <w:sz w:val="20"/>
                <w:szCs w:val="20"/>
                <w:color w:val="auto"/>
              </w:rPr>
            </w:pPr>
            <w:r>
              <w:rPr>
                <w:rFonts w:ascii="Arial" w:cs="Arial" w:eastAsia="Arial" w:hAnsi="Arial"/>
                <w:sz w:val="14"/>
                <w:szCs w:val="14"/>
                <w:b w:val="1"/>
                <w:bCs w:val="1"/>
                <w:color w:val="2360BA"/>
              </w:rPr>
              <w:t>December 31,</w:t>
            </w:r>
          </w:p>
        </w:tc>
        <w:tc>
          <w:tcPr>
            <w:tcW w:w="2400" w:type="dxa"/>
            <w:vAlign w:val="bottom"/>
            <w:tcBorders>
              <w:right w:val="single" w:sz="8" w:color="2360A6"/>
            </w:tcBorders>
            <w:gridSpan w:val="3"/>
          </w:tcPr>
          <w:p>
            <w:pPr>
              <w:jc w:val="center"/>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3300" w:type="dxa"/>
            <w:vAlign w:val="bottom"/>
            <w:tcBorders>
              <w:left w:val="single" w:sz="8" w:color="2360A6"/>
              <w:right w:val="single" w:sz="8" w:color="2360A6"/>
            </w:tcBorders>
          </w:tcPr>
          <w:p>
            <w:pPr>
              <w:spacing w:after="0"/>
              <w:rPr>
                <w:sz w:val="17"/>
                <w:szCs w:val="17"/>
                <w:color w:val="auto"/>
              </w:rPr>
            </w:pPr>
          </w:p>
        </w:tc>
        <w:tc>
          <w:tcPr>
            <w:tcW w:w="1080" w:type="dxa"/>
            <w:vAlign w:val="bottom"/>
            <w:tcBorders>
              <w:bottom w:val="single" w:sz="8" w:color="2360A6"/>
            </w:tcBorders>
            <w:shd w:val="clear" w:color="auto" w:fill="2360A6"/>
          </w:tcPr>
          <w:p>
            <w:pPr>
              <w:spacing w:after="0"/>
              <w:rPr>
                <w:sz w:val="17"/>
                <w:szCs w:val="17"/>
                <w:color w:val="auto"/>
              </w:rPr>
            </w:pPr>
          </w:p>
        </w:tc>
        <w:tc>
          <w:tcPr>
            <w:tcW w:w="1380" w:type="dxa"/>
            <w:vAlign w:val="bottom"/>
            <w:tcBorders>
              <w:bottom w:val="single" w:sz="8" w:color="2360A6"/>
              <w:right w:val="single" w:sz="8" w:color="2360A6"/>
            </w:tcBorders>
            <w:gridSpan w:val="2"/>
            <w:shd w:val="clear" w:color="auto" w:fill="2360A6"/>
          </w:tcPr>
          <w:p>
            <w:pPr>
              <w:jc w:val="center"/>
              <w:ind w:right="908"/>
              <w:spacing w:after="0"/>
              <w:rPr>
                <w:sz w:val="20"/>
                <w:szCs w:val="20"/>
                <w:color w:val="auto"/>
              </w:rPr>
            </w:pPr>
            <w:r>
              <w:rPr>
                <w:rFonts w:ascii="Arial" w:cs="Arial" w:eastAsia="Arial" w:hAnsi="Arial"/>
                <w:sz w:val="14"/>
                <w:szCs w:val="14"/>
                <w:b w:val="1"/>
                <w:bCs w:val="1"/>
                <w:color w:val="FFFFFF"/>
              </w:rPr>
              <w:t>2016</w:t>
            </w:r>
          </w:p>
        </w:tc>
        <w:tc>
          <w:tcPr>
            <w:tcW w:w="1060" w:type="dxa"/>
            <w:vAlign w:val="bottom"/>
            <w:tcBorders>
              <w:bottom w:val="single" w:sz="8" w:color="2360A6"/>
            </w:tcBorders>
          </w:tcPr>
          <w:p>
            <w:pPr>
              <w:spacing w:after="0"/>
              <w:rPr>
                <w:sz w:val="17"/>
                <w:szCs w:val="17"/>
                <w:color w:val="auto"/>
              </w:rPr>
            </w:pPr>
          </w:p>
        </w:tc>
        <w:tc>
          <w:tcPr>
            <w:tcW w:w="1380" w:type="dxa"/>
            <w:vAlign w:val="bottom"/>
            <w:tcBorders>
              <w:bottom w:val="single" w:sz="8" w:color="2360A6"/>
              <w:right w:val="single" w:sz="8" w:color="2360A6"/>
            </w:tcBorders>
            <w:gridSpan w:val="2"/>
          </w:tcPr>
          <w:p>
            <w:pPr>
              <w:jc w:val="center"/>
              <w:ind w:right="908"/>
              <w:spacing w:after="0"/>
              <w:rPr>
                <w:sz w:val="20"/>
                <w:szCs w:val="20"/>
                <w:color w:val="auto"/>
              </w:rPr>
            </w:pPr>
            <w:r>
              <w:rPr>
                <w:rFonts w:ascii="Arial" w:cs="Arial" w:eastAsia="Arial" w:hAnsi="Arial"/>
                <w:sz w:val="14"/>
                <w:szCs w:val="14"/>
                <w:b w:val="1"/>
                <w:bCs w:val="1"/>
                <w:color w:val="2360BA"/>
              </w:rPr>
              <w:t>2015</w:t>
            </w:r>
          </w:p>
        </w:tc>
        <w:tc>
          <w:tcPr>
            <w:tcW w:w="1040" w:type="dxa"/>
            <w:vAlign w:val="bottom"/>
            <w:tcBorders>
              <w:bottom w:val="single" w:sz="8" w:color="2360A6"/>
            </w:tcBorders>
          </w:tcPr>
          <w:p>
            <w:pPr>
              <w:spacing w:after="0"/>
              <w:rPr>
                <w:sz w:val="17"/>
                <w:szCs w:val="17"/>
                <w:color w:val="auto"/>
              </w:rPr>
            </w:pPr>
          </w:p>
        </w:tc>
        <w:tc>
          <w:tcPr>
            <w:tcW w:w="1360" w:type="dxa"/>
            <w:vAlign w:val="bottom"/>
            <w:tcBorders>
              <w:bottom w:val="single" w:sz="8" w:color="2360A6"/>
              <w:right w:val="single" w:sz="8" w:color="2360A6"/>
            </w:tcBorders>
            <w:gridSpan w:val="2"/>
          </w:tcPr>
          <w:p>
            <w:pPr>
              <w:jc w:val="center"/>
              <w:ind w:right="888"/>
              <w:spacing w:after="0"/>
              <w:rPr>
                <w:sz w:val="20"/>
                <w:szCs w:val="20"/>
                <w:color w:val="auto"/>
              </w:rPr>
            </w:pPr>
            <w:r>
              <w:rPr>
                <w:rFonts w:ascii="Arial" w:cs="Arial" w:eastAsia="Arial" w:hAnsi="Arial"/>
                <w:sz w:val="14"/>
                <w:szCs w:val="14"/>
                <w:b w:val="1"/>
                <w:bCs w:val="1"/>
                <w:color w:val="2360A6"/>
              </w:rPr>
              <w:t>2014</w:t>
            </w:r>
          </w:p>
        </w:tc>
      </w:tr>
      <w:tr>
        <w:trPr>
          <w:trHeight w:val="175"/>
        </w:trPr>
        <w:tc>
          <w:tcPr>
            <w:tcW w:w="3300" w:type="dxa"/>
            <w:vAlign w:val="bottom"/>
            <w:tcBorders>
              <w:left w:val="single" w:sz="8" w:color="2360A6"/>
              <w:right w:val="single" w:sz="8" w:color="2360A6"/>
            </w:tcBorders>
          </w:tcPr>
          <w:p>
            <w:pPr>
              <w:spacing w:after="0"/>
              <w:rPr>
                <w:sz w:val="15"/>
                <w:szCs w:val="15"/>
                <w:color w:val="auto"/>
              </w:rPr>
            </w:pPr>
          </w:p>
        </w:tc>
        <w:tc>
          <w:tcPr>
            <w:tcW w:w="1080" w:type="dxa"/>
            <w:vAlign w:val="bottom"/>
            <w:shd w:val="clear" w:color="auto" w:fill="EDEDEE"/>
          </w:tcPr>
          <w:p>
            <w:pPr>
              <w:jc w:val="right"/>
              <w:spacing w:after="0"/>
              <w:rPr>
                <w:sz w:val="20"/>
                <w:szCs w:val="20"/>
                <w:color w:val="auto"/>
              </w:rPr>
            </w:pPr>
            <w:r>
              <w:rPr>
                <w:rFonts w:ascii="Arial" w:cs="Arial" w:eastAsia="Arial" w:hAnsi="Arial"/>
                <w:sz w:val="14"/>
                <w:szCs w:val="14"/>
                <w:b w:val="1"/>
                <w:bCs w:val="1"/>
                <w:color w:val="2360A6"/>
              </w:rPr>
              <w:t>Carrying</w:t>
            </w:r>
          </w:p>
        </w:tc>
        <w:tc>
          <w:tcPr>
            <w:tcW w:w="100" w:type="dxa"/>
            <w:vAlign w:val="bottom"/>
            <w:tcBorders>
              <w:right w:val="single" w:sz="8" w:color="2360A6"/>
            </w:tcBorders>
            <w:shd w:val="clear" w:color="auto" w:fill="EDEDEE"/>
          </w:tcPr>
          <w:p>
            <w:pPr>
              <w:spacing w:after="0"/>
              <w:rPr>
                <w:sz w:val="15"/>
                <w:szCs w:val="15"/>
                <w:color w:val="auto"/>
              </w:rPr>
            </w:pPr>
          </w:p>
        </w:tc>
        <w:tc>
          <w:tcPr>
            <w:tcW w:w="1280" w:type="dxa"/>
            <w:vAlign w:val="bottom"/>
            <w:tcBorders>
              <w:right w:val="single" w:sz="8" w:color="2360A6"/>
            </w:tcBorders>
            <w:shd w:val="clear" w:color="auto" w:fill="EDEDEE"/>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2360A6"/>
              </w:rPr>
              <w:t>Carrying</w:t>
            </w:r>
          </w:p>
        </w:tc>
        <w:tc>
          <w:tcPr>
            <w:tcW w:w="120" w:type="dxa"/>
            <w:vAlign w:val="bottom"/>
            <w:tcBorders>
              <w:right w:val="single" w:sz="8" w:color="2360A6"/>
            </w:tcBorders>
          </w:tcPr>
          <w:p>
            <w:pPr>
              <w:spacing w:after="0"/>
              <w:rPr>
                <w:sz w:val="15"/>
                <w:szCs w:val="15"/>
                <w:color w:val="auto"/>
              </w:rPr>
            </w:pPr>
          </w:p>
        </w:tc>
        <w:tc>
          <w:tcPr>
            <w:tcW w:w="1260" w:type="dxa"/>
            <w:vAlign w:val="bottom"/>
            <w:tcBorders>
              <w:right w:val="single" w:sz="8" w:color="2360A6"/>
            </w:tcBorders>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2360A6"/>
              </w:rPr>
              <w:t>Carrying</w:t>
            </w:r>
          </w:p>
        </w:tc>
        <w:tc>
          <w:tcPr>
            <w:tcW w:w="100" w:type="dxa"/>
            <w:vAlign w:val="bottom"/>
            <w:tcBorders>
              <w:right w:val="single" w:sz="8" w:color="2360A6"/>
            </w:tcBorders>
          </w:tcPr>
          <w:p>
            <w:pPr>
              <w:spacing w:after="0"/>
              <w:rPr>
                <w:sz w:val="15"/>
                <w:szCs w:val="15"/>
                <w:color w:val="auto"/>
              </w:rPr>
            </w:pPr>
          </w:p>
        </w:tc>
        <w:tc>
          <w:tcPr>
            <w:tcW w:w="1260" w:type="dxa"/>
            <w:vAlign w:val="bottom"/>
            <w:tcBorders>
              <w:right w:val="single" w:sz="8" w:color="2360A6"/>
            </w:tcBorders>
          </w:tcPr>
          <w:p>
            <w:pPr>
              <w:spacing w:after="0"/>
              <w:rPr>
                <w:sz w:val="15"/>
                <w:szCs w:val="15"/>
                <w:color w:val="auto"/>
              </w:rPr>
            </w:pPr>
          </w:p>
        </w:tc>
      </w:tr>
      <w:tr>
        <w:trPr>
          <w:trHeight w:val="196"/>
        </w:trPr>
        <w:tc>
          <w:tcPr>
            <w:tcW w:w="33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0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Amount</w:t>
            </w:r>
          </w:p>
        </w:tc>
        <w:tc>
          <w:tcPr>
            <w:tcW w:w="100" w:type="dxa"/>
            <w:vAlign w:val="bottom"/>
            <w:tcBorders>
              <w:bottom w:val="single" w:sz="8" w:color="2360A6"/>
              <w:right w:val="single" w:sz="8" w:color="2360A6"/>
            </w:tcBorders>
            <w:shd w:val="clear" w:color="auto" w:fill="EDEDEE"/>
          </w:tcPr>
          <w:p>
            <w:pPr>
              <w:spacing w:after="0"/>
              <w:rPr>
                <w:sz w:val="17"/>
                <w:szCs w:val="17"/>
                <w:color w:val="auto"/>
              </w:rPr>
            </w:pP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Fair Value</w:t>
            </w:r>
          </w:p>
        </w:tc>
        <w:tc>
          <w:tcPr>
            <w:tcW w:w="106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Amount</w:t>
            </w:r>
          </w:p>
        </w:tc>
        <w:tc>
          <w:tcPr>
            <w:tcW w:w="120" w:type="dxa"/>
            <w:vAlign w:val="bottom"/>
            <w:tcBorders>
              <w:bottom w:val="single" w:sz="8" w:color="2360A6"/>
              <w:right w:val="single" w:sz="8" w:color="2360A6"/>
            </w:tcBorders>
          </w:tcPr>
          <w:p>
            <w:pPr>
              <w:spacing w:after="0"/>
              <w:rPr>
                <w:sz w:val="17"/>
                <w:szCs w:val="17"/>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Fair Value</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Amount</w:t>
            </w:r>
          </w:p>
        </w:tc>
        <w:tc>
          <w:tcPr>
            <w:tcW w:w="100" w:type="dxa"/>
            <w:vAlign w:val="bottom"/>
            <w:tcBorders>
              <w:bottom w:val="single" w:sz="8" w:color="2360A6"/>
              <w:right w:val="single" w:sz="8" w:color="2360A6"/>
            </w:tcBorders>
          </w:tcPr>
          <w:p>
            <w:pPr>
              <w:spacing w:after="0"/>
              <w:rPr>
                <w:sz w:val="17"/>
                <w:szCs w:val="17"/>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Fair Value</w:t>
            </w:r>
          </w:p>
        </w:tc>
      </w:tr>
      <w:tr>
        <w:trPr>
          <w:trHeight w:val="210"/>
        </w:trPr>
        <w:tc>
          <w:tcPr>
            <w:tcW w:w="33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Synthetic Bonds</w:t>
            </w:r>
          </w:p>
        </w:tc>
        <w:tc>
          <w:tcPr>
            <w:tcW w:w="10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406.0</w:t>
            </w:r>
          </w:p>
        </w:tc>
        <w:tc>
          <w:tcPr>
            <w:tcW w:w="100" w:type="dxa"/>
            <w:vAlign w:val="bottom"/>
            <w:tcBorders>
              <w:bottom w:val="single" w:sz="8" w:color="2360A6"/>
              <w:right w:val="single" w:sz="8" w:color="2360A6"/>
            </w:tcBorders>
            <w:shd w:val="clear" w:color="auto" w:fill="EDEDEE"/>
          </w:tcPr>
          <w:p>
            <w:pPr>
              <w:spacing w:after="0"/>
              <w:rPr>
                <w:sz w:val="18"/>
                <w:szCs w:val="18"/>
                <w:color w:val="auto"/>
              </w:rPr>
            </w:pP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629.2</w:t>
            </w:r>
          </w:p>
        </w:tc>
        <w:tc>
          <w:tcPr>
            <w:tcW w:w="10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0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33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Convertible Bonds</w:t>
            </w:r>
          </w:p>
        </w:tc>
        <w:tc>
          <w:tcPr>
            <w:tcW w:w="10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w:t>
            </w:r>
          </w:p>
        </w:tc>
        <w:tc>
          <w:tcPr>
            <w:tcW w:w="100" w:type="dxa"/>
            <w:vAlign w:val="bottom"/>
            <w:tcBorders>
              <w:bottom w:val="single" w:sz="8" w:color="2360A6"/>
              <w:right w:val="single" w:sz="8" w:color="2360A6"/>
            </w:tcBorders>
            <w:shd w:val="clear" w:color="auto" w:fill="EDEDEE"/>
          </w:tcPr>
          <w:p>
            <w:pPr>
              <w:spacing w:after="0"/>
              <w:rPr>
                <w:sz w:val="18"/>
                <w:szCs w:val="18"/>
                <w:color w:val="auto"/>
              </w:rPr>
            </w:pP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483.2</w:t>
            </w:r>
          </w:p>
        </w:tc>
        <w:tc>
          <w:tcPr>
            <w:tcW w:w="12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496.8</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1,002.8</w:t>
            </w:r>
          </w:p>
        </w:tc>
        <w:tc>
          <w:tcPr>
            <w:tcW w:w="10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1,044.9</w:t>
            </w:r>
          </w:p>
        </w:tc>
      </w:tr>
      <w:tr>
        <w:trPr>
          <w:trHeight w:val="210"/>
        </w:trPr>
        <w:tc>
          <w:tcPr>
            <w:tcW w:w="33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Private Placements</w:t>
            </w:r>
          </w:p>
        </w:tc>
        <w:tc>
          <w:tcPr>
            <w:tcW w:w="10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870.1</w:t>
            </w:r>
          </w:p>
        </w:tc>
        <w:tc>
          <w:tcPr>
            <w:tcW w:w="100" w:type="dxa"/>
            <w:vAlign w:val="bottom"/>
            <w:tcBorders>
              <w:bottom w:val="single" w:sz="8" w:color="2360A6"/>
              <w:right w:val="single" w:sz="8" w:color="2360A6"/>
            </w:tcBorders>
            <w:shd w:val="clear" w:color="auto" w:fill="EDEDEE"/>
          </w:tcPr>
          <w:p>
            <w:pPr>
              <w:spacing w:after="0"/>
              <w:rPr>
                <w:sz w:val="18"/>
                <w:szCs w:val="18"/>
                <w:color w:val="auto"/>
              </w:rPr>
            </w:pP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972.9</w:t>
            </w:r>
          </w:p>
        </w:tc>
        <w:tc>
          <w:tcPr>
            <w:tcW w:w="10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869.1</w:t>
            </w:r>
          </w:p>
        </w:tc>
        <w:tc>
          <w:tcPr>
            <w:tcW w:w="12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946.0</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868.1</w:t>
            </w:r>
          </w:p>
        </w:tc>
        <w:tc>
          <w:tcPr>
            <w:tcW w:w="10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991.9</w:t>
            </w:r>
          </w:p>
        </w:tc>
      </w:tr>
      <w:tr>
        <w:trPr>
          <w:trHeight w:val="210"/>
        </w:trPr>
        <w:tc>
          <w:tcPr>
            <w:tcW w:w="33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Bank Borrowings</w:t>
            </w:r>
          </w:p>
        </w:tc>
        <w:tc>
          <w:tcPr>
            <w:tcW w:w="10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297.3</w:t>
            </w:r>
          </w:p>
        </w:tc>
        <w:tc>
          <w:tcPr>
            <w:tcW w:w="100" w:type="dxa"/>
            <w:vAlign w:val="bottom"/>
            <w:tcBorders>
              <w:bottom w:val="single" w:sz="8" w:color="2360A6"/>
              <w:right w:val="single" w:sz="8" w:color="2360A6"/>
            </w:tcBorders>
            <w:shd w:val="clear" w:color="auto" w:fill="EDEDEE"/>
          </w:tcPr>
          <w:p>
            <w:pPr>
              <w:spacing w:after="0"/>
              <w:rPr>
                <w:sz w:val="18"/>
                <w:szCs w:val="18"/>
                <w:color w:val="auto"/>
              </w:rPr>
            </w:pP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297.3</w:t>
            </w:r>
          </w:p>
        </w:tc>
        <w:tc>
          <w:tcPr>
            <w:tcW w:w="10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273.7</w:t>
            </w:r>
          </w:p>
        </w:tc>
        <w:tc>
          <w:tcPr>
            <w:tcW w:w="12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273.7</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485.7</w:t>
            </w:r>
          </w:p>
        </w:tc>
        <w:tc>
          <w:tcPr>
            <w:tcW w:w="10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485.7</w:t>
            </w:r>
          </w:p>
        </w:tc>
      </w:tr>
      <w:tr>
        <w:trPr>
          <w:trHeight w:val="210"/>
        </w:trPr>
        <w:tc>
          <w:tcPr>
            <w:tcW w:w="33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Total Non-Current Financial Debts</w:t>
            </w:r>
          </w:p>
        </w:tc>
        <w:tc>
          <w:tcPr>
            <w:tcW w:w="10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1,573.4</w:t>
            </w:r>
          </w:p>
        </w:tc>
        <w:tc>
          <w:tcPr>
            <w:tcW w:w="100" w:type="dxa"/>
            <w:vAlign w:val="bottom"/>
            <w:tcBorders>
              <w:bottom w:val="single" w:sz="8" w:color="2360A6"/>
              <w:right w:val="single" w:sz="8" w:color="2360A6"/>
            </w:tcBorders>
            <w:shd w:val="clear" w:color="auto" w:fill="EDEDEE"/>
          </w:tcPr>
          <w:p>
            <w:pPr>
              <w:spacing w:after="0"/>
              <w:rPr>
                <w:sz w:val="18"/>
                <w:szCs w:val="18"/>
                <w:color w:val="auto"/>
              </w:rPr>
            </w:pP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1,899.4</w:t>
            </w:r>
          </w:p>
        </w:tc>
        <w:tc>
          <w:tcPr>
            <w:tcW w:w="106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1,626.0</w:t>
            </w:r>
          </w:p>
        </w:tc>
        <w:tc>
          <w:tcPr>
            <w:tcW w:w="12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1,716.5</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2,356.6</w:t>
            </w:r>
          </w:p>
        </w:tc>
        <w:tc>
          <w:tcPr>
            <w:tcW w:w="10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2,522.5</w:t>
            </w:r>
          </w:p>
        </w:tc>
      </w:tr>
      <w:tr>
        <w:trPr>
          <w:trHeight w:val="210"/>
        </w:trPr>
        <w:tc>
          <w:tcPr>
            <w:tcW w:w="33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Convertible Bonds</w:t>
            </w:r>
          </w:p>
        </w:tc>
        <w:tc>
          <w:tcPr>
            <w:tcW w:w="10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497.6</w:t>
            </w:r>
          </w:p>
        </w:tc>
        <w:tc>
          <w:tcPr>
            <w:tcW w:w="100" w:type="dxa"/>
            <w:vAlign w:val="bottom"/>
            <w:tcBorders>
              <w:bottom w:val="single" w:sz="8" w:color="2360A6"/>
              <w:right w:val="single" w:sz="8" w:color="2360A6"/>
            </w:tcBorders>
            <w:shd w:val="clear" w:color="auto" w:fill="EDEDEE"/>
          </w:tcPr>
          <w:p>
            <w:pPr>
              <w:spacing w:after="0"/>
              <w:rPr>
                <w:sz w:val="18"/>
                <w:szCs w:val="18"/>
                <w:color w:val="auto"/>
              </w:rPr>
            </w:pP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497.6</w:t>
            </w:r>
          </w:p>
        </w:tc>
        <w:tc>
          <w:tcPr>
            <w:tcW w:w="10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550.0</w:t>
            </w:r>
          </w:p>
        </w:tc>
        <w:tc>
          <w:tcPr>
            <w:tcW w:w="12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550.0</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0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33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Commercial Papers</w:t>
            </w:r>
          </w:p>
        </w:tc>
        <w:tc>
          <w:tcPr>
            <w:tcW w:w="10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200.0</w:t>
            </w:r>
          </w:p>
        </w:tc>
        <w:tc>
          <w:tcPr>
            <w:tcW w:w="100" w:type="dxa"/>
            <w:vAlign w:val="bottom"/>
            <w:tcBorders>
              <w:bottom w:val="single" w:sz="8" w:color="2360A6"/>
              <w:right w:val="single" w:sz="8" w:color="2360A6"/>
            </w:tcBorders>
            <w:shd w:val="clear" w:color="auto" w:fill="EDEDEE"/>
          </w:tcPr>
          <w:p>
            <w:pPr>
              <w:spacing w:after="0"/>
              <w:rPr>
                <w:sz w:val="18"/>
                <w:szCs w:val="18"/>
                <w:color w:val="auto"/>
              </w:rPr>
            </w:pP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200.0</w:t>
            </w:r>
          </w:p>
        </w:tc>
        <w:tc>
          <w:tcPr>
            <w:tcW w:w="10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200.0</w:t>
            </w:r>
          </w:p>
        </w:tc>
        <w:tc>
          <w:tcPr>
            <w:tcW w:w="12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200.0</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156.0</w:t>
            </w:r>
          </w:p>
        </w:tc>
        <w:tc>
          <w:tcPr>
            <w:tcW w:w="10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156.0</w:t>
            </w:r>
          </w:p>
        </w:tc>
      </w:tr>
      <w:tr>
        <w:trPr>
          <w:trHeight w:val="210"/>
        </w:trPr>
        <w:tc>
          <w:tcPr>
            <w:tcW w:w="33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Bank Borrowings</w:t>
            </w:r>
          </w:p>
        </w:tc>
        <w:tc>
          <w:tcPr>
            <w:tcW w:w="10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131.6</w:t>
            </w:r>
          </w:p>
        </w:tc>
        <w:tc>
          <w:tcPr>
            <w:tcW w:w="100" w:type="dxa"/>
            <w:vAlign w:val="bottom"/>
            <w:tcBorders>
              <w:bottom w:val="single" w:sz="8" w:color="2360A6"/>
              <w:right w:val="single" w:sz="8" w:color="2360A6"/>
            </w:tcBorders>
            <w:shd w:val="clear" w:color="auto" w:fill="EDEDEE"/>
          </w:tcPr>
          <w:p>
            <w:pPr>
              <w:spacing w:after="0"/>
              <w:rPr>
                <w:sz w:val="18"/>
                <w:szCs w:val="18"/>
                <w:color w:val="auto"/>
              </w:rPr>
            </w:pP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131.6</w:t>
            </w:r>
          </w:p>
        </w:tc>
        <w:tc>
          <w:tcPr>
            <w:tcW w:w="10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160.5</w:t>
            </w:r>
          </w:p>
        </w:tc>
        <w:tc>
          <w:tcPr>
            <w:tcW w:w="12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160.5</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80.3</w:t>
            </w:r>
          </w:p>
        </w:tc>
        <w:tc>
          <w:tcPr>
            <w:tcW w:w="10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80.4</w:t>
            </w:r>
          </w:p>
        </w:tc>
      </w:tr>
      <w:tr>
        <w:trPr>
          <w:trHeight w:val="210"/>
        </w:trPr>
        <w:tc>
          <w:tcPr>
            <w:tcW w:w="33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Accrued Interests Payables</w:t>
            </w:r>
          </w:p>
        </w:tc>
        <w:tc>
          <w:tcPr>
            <w:tcW w:w="10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19.3</w:t>
            </w:r>
          </w:p>
        </w:tc>
        <w:tc>
          <w:tcPr>
            <w:tcW w:w="100" w:type="dxa"/>
            <w:vAlign w:val="bottom"/>
            <w:tcBorders>
              <w:bottom w:val="single" w:sz="8" w:color="2360A6"/>
              <w:right w:val="single" w:sz="8" w:color="2360A6"/>
            </w:tcBorders>
            <w:shd w:val="clear" w:color="auto" w:fill="EDEDEE"/>
          </w:tcPr>
          <w:p>
            <w:pPr>
              <w:spacing w:after="0"/>
              <w:rPr>
                <w:sz w:val="18"/>
                <w:szCs w:val="18"/>
                <w:color w:val="auto"/>
              </w:rPr>
            </w:pP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19.3</w:t>
            </w:r>
          </w:p>
        </w:tc>
        <w:tc>
          <w:tcPr>
            <w:tcW w:w="10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26.6</w:t>
            </w:r>
          </w:p>
        </w:tc>
        <w:tc>
          <w:tcPr>
            <w:tcW w:w="12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26.7</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20.1</w:t>
            </w:r>
          </w:p>
        </w:tc>
        <w:tc>
          <w:tcPr>
            <w:tcW w:w="10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20.1</w:t>
            </w:r>
          </w:p>
        </w:tc>
      </w:tr>
      <w:tr>
        <w:trPr>
          <w:trHeight w:val="210"/>
        </w:trPr>
        <w:tc>
          <w:tcPr>
            <w:tcW w:w="33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Total Current Financial Debts</w:t>
            </w:r>
          </w:p>
        </w:tc>
        <w:tc>
          <w:tcPr>
            <w:tcW w:w="108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848.5</w:t>
            </w:r>
          </w:p>
        </w:tc>
        <w:tc>
          <w:tcPr>
            <w:tcW w:w="100" w:type="dxa"/>
            <w:vAlign w:val="bottom"/>
            <w:tcBorders>
              <w:bottom w:val="single" w:sz="8" w:color="2360A6"/>
              <w:right w:val="single" w:sz="8" w:color="2360A6"/>
            </w:tcBorders>
            <w:shd w:val="clear" w:color="auto" w:fill="EDEDEE"/>
          </w:tcPr>
          <w:p>
            <w:pPr>
              <w:spacing w:after="0"/>
              <w:rPr>
                <w:sz w:val="18"/>
                <w:szCs w:val="18"/>
                <w:color w:val="auto"/>
              </w:rPr>
            </w:pPr>
          </w:p>
        </w:tc>
        <w:tc>
          <w:tcPr>
            <w:tcW w:w="12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848.5</w:t>
            </w:r>
          </w:p>
        </w:tc>
        <w:tc>
          <w:tcPr>
            <w:tcW w:w="106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937.1</w:t>
            </w:r>
          </w:p>
        </w:tc>
        <w:tc>
          <w:tcPr>
            <w:tcW w:w="12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937.2</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256.4</w:t>
            </w:r>
          </w:p>
        </w:tc>
        <w:tc>
          <w:tcPr>
            <w:tcW w:w="100" w:type="dxa"/>
            <w:vAlign w:val="bottom"/>
            <w:tcBorders>
              <w:bottom w:val="single" w:sz="8" w:color="2360A6"/>
              <w:right w:val="single" w:sz="8" w:color="2360A6"/>
            </w:tcBorders>
          </w:tcPr>
          <w:p>
            <w:pPr>
              <w:spacing w:after="0"/>
              <w:rPr>
                <w:sz w:val="18"/>
                <w:szCs w:val="18"/>
                <w:color w:val="auto"/>
              </w:rPr>
            </w:pP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256.5</w:t>
            </w:r>
          </w:p>
        </w:tc>
      </w:tr>
      <w:tr>
        <w:trPr>
          <w:trHeight w:val="210"/>
        </w:trPr>
        <w:tc>
          <w:tcPr>
            <w:tcW w:w="330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FINANCIAL DEBTS</w:t>
            </w:r>
          </w:p>
        </w:tc>
        <w:tc>
          <w:tcPr>
            <w:tcW w:w="108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2,421.9</w:t>
            </w:r>
          </w:p>
        </w:tc>
        <w:tc>
          <w:tcPr>
            <w:tcW w:w="100" w:type="dxa"/>
            <w:vAlign w:val="bottom"/>
            <w:tcBorders>
              <w:bottom w:val="single" w:sz="8" w:color="2360A6"/>
              <w:right w:val="single" w:sz="8" w:color="2360A6"/>
            </w:tcBorders>
            <w:shd w:val="clear" w:color="auto" w:fill="D2DEEC"/>
          </w:tcPr>
          <w:p>
            <w:pPr>
              <w:spacing w:after="0"/>
              <w:rPr>
                <w:sz w:val="18"/>
                <w:szCs w:val="18"/>
                <w:color w:val="auto"/>
              </w:rPr>
            </w:pPr>
          </w:p>
        </w:tc>
        <w:tc>
          <w:tcPr>
            <w:tcW w:w="12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2,747.9</w:t>
            </w:r>
          </w:p>
        </w:tc>
        <w:tc>
          <w:tcPr>
            <w:tcW w:w="106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2,563.1</w:t>
            </w:r>
          </w:p>
        </w:tc>
        <w:tc>
          <w:tcPr>
            <w:tcW w:w="120" w:type="dxa"/>
            <w:vAlign w:val="bottom"/>
            <w:tcBorders>
              <w:bottom w:val="single" w:sz="8" w:color="2360A6"/>
              <w:right w:val="single" w:sz="8" w:color="2360A6"/>
            </w:tcBorders>
            <w:shd w:val="clear" w:color="auto" w:fill="D2DEEC"/>
          </w:tcPr>
          <w:p>
            <w:pPr>
              <w:spacing w:after="0"/>
              <w:rPr>
                <w:sz w:val="18"/>
                <w:szCs w:val="18"/>
                <w:color w:val="auto"/>
              </w:rPr>
            </w:pPr>
          </w:p>
        </w:tc>
        <w:tc>
          <w:tcPr>
            <w:tcW w:w="12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2,653.7</w:t>
            </w:r>
          </w:p>
        </w:tc>
        <w:tc>
          <w:tcPr>
            <w:tcW w:w="104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2,613.0</w:t>
            </w:r>
          </w:p>
        </w:tc>
        <w:tc>
          <w:tcPr>
            <w:tcW w:w="100" w:type="dxa"/>
            <w:vAlign w:val="bottom"/>
            <w:tcBorders>
              <w:bottom w:val="single" w:sz="8" w:color="2360A6"/>
              <w:right w:val="single" w:sz="8" w:color="2360A6"/>
            </w:tcBorders>
            <w:shd w:val="clear" w:color="auto" w:fill="D2DEEC"/>
          </w:tcPr>
          <w:p>
            <w:pPr>
              <w:spacing w:after="0"/>
              <w:rPr>
                <w:sz w:val="18"/>
                <w:szCs w:val="18"/>
                <w:color w:val="auto"/>
              </w:rPr>
            </w:pPr>
          </w:p>
        </w:tc>
        <w:tc>
          <w:tcPr>
            <w:tcW w:w="12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2,779.0</w:t>
            </w:r>
          </w:p>
        </w:tc>
      </w:tr>
    </w:tbl>
    <w:p>
      <w:pPr>
        <w:spacing w:after="0" w:line="258" w:lineRule="exact"/>
        <w:rPr>
          <w:sz w:val="20"/>
          <w:szCs w:val="20"/>
          <w:color w:val="auto"/>
        </w:rPr>
      </w:pPr>
    </w:p>
    <w:p>
      <w:pPr>
        <w:ind w:left="40" w:right="20"/>
        <w:spacing w:after="0" w:line="260" w:lineRule="auto"/>
        <w:rPr>
          <w:sz w:val="20"/>
          <w:szCs w:val="20"/>
          <w:color w:val="auto"/>
        </w:rPr>
      </w:pPr>
      <w:r>
        <w:rPr>
          <w:rFonts w:ascii="Arial" w:cs="Arial" w:eastAsia="Arial" w:hAnsi="Arial"/>
          <w:sz w:val="16"/>
          <w:szCs w:val="16"/>
          <w:color w:val="231F20"/>
        </w:rPr>
        <w:t>The proceeds of €375 million non-dilutive cash-settled convertible bonds (Synthetic Bonds) and additional €75 million (“tap issue”) were received on January 25, 2016 and March 10, 2016 respectively (see b.).</w:t>
      </w:r>
    </w:p>
    <w:p>
      <w:pPr>
        <w:spacing w:after="0" w:line="236"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231F20"/>
        </w:rPr>
        <w:t>Convertible bonds include two bonds with an option for conversion and/or exchangeable for new or existing shares (OCEANE) issued on December 2011 and November 2010, along with the convertible debenture of Global Industries, Ltd. issued on July 2007 (see b).</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The following private placements are recorded in non-current financial debts:</w:t>
      </w:r>
    </w:p>
    <w:p>
      <w:pPr>
        <w:spacing w:after="0" w:line="5" w:lineRule="exact"/>
        <w:rPr>
          <w:sz w:val="20"/>
          <w:szCs w:val="20"/>
          <w:color w:val="auto"/>
        </w:rPr>
      </w:pPr>
    </w:p>
    <w:p>
      <w:pPr>
        <w:ind w:left="260" w:hanging="170"/>
        <w:spacing w:after="0" w:line="246" w:lineRule="auto"/>
        <w:tabs>
          <w:tab w:leader="none" w:pos="260" w:val="left"/>
        </w:tabs>
        <w:numPr>
          <w:ilvl w:val="0"/>
          <w:numId w:val="54"/>
        </w:numPr>
        <w:rPr>
          <w:rFonts w:ascii="Arial" w:cs="Arial" w:eastAsia="Arial" w:hAnsi="Arial"/>
          <w:sz w:val="16"/>
          <w:szCs w:val="16"/>
          <w:color w:val="006EBF"/>
        </w:rPr>
      </w:pPr>
      <w:r>
        <w:rPr>
          <w:rFonts w:ascii="Arial" w:cs="Arial" w:eastAsia="Arial" w:hAnsi="Arial"/>
          <w:sz w:val="16"/>
          <w:szCs w:val="16"/>
          <w:color w:val="231F20"/>
        </w:rPr>
        <w:t>on July 27, 2010, Technip achieved a private placement for €200 million (recorded for €198.9 million as of December 31, 2016). The maturity is 10 years; the annual coupon rate is 5.0%;</w:t>
      </w:r>
    </w:p>
    <w:p>
      <w:pPr>
        <w:ind w:left="260" w:hanging="170"/>
        <w:spacing w:after="0" w:line="246" w:lineRule="auto"/>
        <w:tabs>
          <w:tab w:leader="none" w:pos="260" w:val="left"/>
        </w:tabs>
        <w:numPr>
          <w:ilvl w:val="0"/>
          <w:numId w:val="54"/>
        </w:numPr>
        <w:rPr>
          <w:rFonts w:ascii="Arial" w:cs="Arial" w:eastAsia="Arial" w:hAnsi="Arial"/>
          <w:sz w:val="16"/>
          <w:szCs w:val="16"/>
          <w:color w:val="006EBF"/>
        </w:rPr>
      </w:pPr>
      <w:r>
        <w:rPr>
          <w:rFonts w:ascii="Arial" w:cs="Arial" w:eastAsia="Arial" w:hAnsi="Arial"/>
          <w:sz w:val="16"/>
          <w:szCs w:val="16"/>
          <w:color w:val="231F20"/>
        </w:rPr>
        <w:t>on June 14, 2012, Technip achieved a private placement for €150 million (recorded for €149.9 million as of December 31, 2016). The maturity is 10 years; the annual coupon rate is 3.4%;</w:t>
      </w:r>
    </w:p>
    <w:p>
      <w:pPr>
        <w:ind w:left="260" w:hanging="170"/>
        <w:spacing w:after="0" w:line="246" w:lineRule="auto"/>
        <w:tabs>
          <w:tab w:leader="none" w:pos="260" w:val="left"/>
        </w:tabs>
        <w:numPr>
          <w:ilvl w:val="0"/>
          <w:numId w:val="54"/>
        </w:numPr>
        <w:rPr>
          <w:rFonts w:ascii="Arial" w:cs="Arial" w:eastAsia="Arial" w:hAnsi="Arial"/>
          <w:sz w:val="16"/>
          <w:szCs w:val="16"/>
          <w:color w:val="006EBF"/>
        </w:rPr>
      </w:pPr>
      <w:r>
        <w:rPr>
          <w:rFonts w:ascii="Arial" w:cs="Arial" w:eastAsia="Arial" w:hAnsi="Arial"/>
          <w:sz w:val="16"/>
          <w:szCs w:val="16"/>
          <w:color w:val="231F20"/>
        </w:rPr>
        <w:t>on June 14, 2012, Technip achieved a private placement for €100 million (recorded for €96.0 million as of December 31, 2016). The maturity is 20 years; the annual coupon rate is 4.0%;</w:t>
      </w:r>
    </w:p>
    <w:p>
      <w:pPr>
        <w:ind w:left="260" w:right="20" w:hanging="170"/>
        <w:spacing w:after="0" w:line="246" w:lineRule="auto"/>
        <w:tabs>
          <w:tab w:leader="none" w:pos="260" w:val="left"/>
        </w:tabs>
        <w:numPr>
          <w:ilvl w:val="0"/>
          <w:numId w:val="54"/>
        </w:numPr>
        <w:rPr>
          <w:rFonts w:ascii="Arial" w:cs="Arial" w:eastAsia="Arial" w:hAnsi="Arial"/>
          <w:sz w:val="16"/>
          <w:szCs w:val="16"/>
          <w:color w:val="006EBF"/>
        </w:rPr>
      </w:pPr>
      <w:r>
        <w:rPr>
          <w:rFonts w:ascii="Arial" w:cs="Arial" w:eastAsia="Arial" w:hAnsi="Arial"/>
          <w:sz w:val="16"/>
          <w:szCs w:val="16"/>
          <w:color w:val="231F20"/>
        </w:rPr>
        <w:t>on June 15, 2012, Technip achieved a private placement for €75 million (recorded for €74.9 million as of December 31, 2016). The maturity is 15 years; the annual coupon rate is 4.0%;</w:t>
      </w:r>
    </w:p>
    <w:p>
      <w:pPr>
        <w:ind w:left="260" w:hanging="170"/>
        <w:spacing w:after="0" w:line="246" w:lineRule="auto"/>
        <w:tabs>
          <w:tab w:leader="none" w:pos="260" w:val="left"/>
        </w:tabs>
        <w:numPr>
          <w:ilvl w:val="0"/>
          <w:numId w:val="54"/>
        </w:numPr>
        <w:rPr>
          <w:rFonts w:ascii="Arial" w:cs="Arial" w:eastAsia="Arial" w:hAnsi="Arial"/>
          <w:sz w:val="16"/>
          <w:szCs w:val="16"/>
          <w:color w:val="006EBF"/>
        </w:rPr>
      </w:pPr>
      <w:r>
        <w:rPr>
          <w:rFonts w:ascii="Arial" w:cs="Arial" w:eastAsia="Arial" w:hAnsi="Arial"/>
          <w:sz w:val="16"/>
          <w:szCs w:val="16"/>
          <w:color w:val="231F20"/>
        </w:rPr>
        <w:t>on October 7, 2013, Technip achieved a private placement for €100 million (recorded for €96.6 million as of December 31, 2016). The maturity is 20 years; the annual coupon rate is 3.75%;</w:t>
      </w:r>
    </w:p>
    <w:p>
      <w:pPr>
        <w:ind w:left="260" w:right="20" w:hanging="170"/>
        <w:spacing w:after="0" w:line="246" w:lineRule="auto"/>
        <w:tabs>
          <w:tab w:leader="none" w:pos="260" w:val="left"/>
        </w:tabs>
        <w:numPr>
          <w:ilvl w:val="0"/>
          <w:numId w:val="54"/>
        </w:numPr>
        <w:rPr>
          <w:rFonts w:ascii="Arial" w:cs="Arial" w:eastAsia="Arial" w:hAnsi="Arial"/>
          <w:sz w:val="16"/>
          <w:szCs w:val="16"/>
          <w:color w:val="006EBF"/>
        </w:rPr>
      </w:pPr>
      <w:r>
        <w:rPr>
          <w:rFonts w:ascii="Arial" w:cs="Arial" w:eastAsia="Arial" w:hAnsi="Arial"/>
          <w:sz w:val="16"/>
          <w:szCs w:val="16"/>
          <w:color w:val="231F20"/>
        </w:rPr>
        <w:t>on October 16, 2013, Technip achieved a private placement for €130 million (recorded for €129.1 million as of December 31, 2016). The maturity is 10 years; the annual coupon rate is 3.15%;</w:t>
      </w:r>
    </w:p>
    <w:p>
      <w:pPr>
        <w:ind w:left="260" w:right="20" w:hanging="170"/>
        <w:spacing w:after="0" w:line="260" w:lineRule="auto"/>
        <w:tabs>
          <w:tab w:leader="none" w:pos="260" w:val="left"/>
        </w:tabs>
        <w:numPr>
          <w:ilvl w:val="0"/>
          <w:numId w:val="54"/>
        </w:numPr>
        <w:rPr>
          <w:rFonts w:ascii="Arial" w:cs="Arial" w:eastAsia="Arial" w:hAnsi="Arial"/>
          <w:sz w:val="16"/>
          <w:szCs w:val="16"/>
          <w:color w:val="006EBF"/>
        </w:rPr>
      </w:pPr>
      <w:r>
        <w:rPr>
          <w:rFonts w:ascii="Arial" w:cs="Arial" w:eastAsia="Arial" w:hAnsi="Arial"/>
          <w:sz w:val="16"/>
          <w:szCs w:val="16"/>
          <w:color w:val="231F20"/>
        </w:rPr>
        <w:t>on October 18, 2013, Technip achieved a private placement for €125 million (recorded for €124.7 million as of December 31, 2016). The maturity is 10 years; the annual coupon rate is 3.15%.</w:t>
      </w:r>
    </w:p>
    <w:p>
      <w:pPr>
        <w:spacing w:after="0" w:line="20"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231F20"/>
        </w:rPr>
        <w:t>Bank borrowings and credit facilities principally represent drawings on loans granted to one of the Brazilian subsidiaries for the purpose of pre-financing exports and re-financing investments.</w:t>
      </w:r>
    </w:p>
    <w:p>
      <w:pPr>
        <w:sectPr>
          <w:pgSz w:w="11900" w:h="16838" w:orient="portrait"/>
          <w:cols w:equalWidth="0" w:num="1">
            <w:col w:w="11340"/>
          </w:cols>
          <w:pgMar w:left="320" w:top="721" w:right="239" w:bottom="1440" w:gutter="0" w:footer="0" w:header="0"/>
        </w:sectPr>
      </w:pPr>
    </w:p>
    <w:bookmarkStart w:id="137" w:name="page138"/>
    <w:bookmarkEnd w:id="137"/>
    <w:p>
      <w:pPr>
        <w:spacing w:after="0"/>
        <w:rPr>
          <w:sz w:val="20"/>
          <w:szCs w:val="20"/>
          <w:color w:val="auto"/>
        </w:rPr>
      </w:pPr>
      <w:r>
        <w:rPr>
          <w:rFonts w:ascii="Arial" w:cs="Arial" w:eastAsia="Arial" w:hAnsi="Arial"/>
          <w:sz w:val="25"/>
          <w:szCs w:val="25"/>
          <w:b w:val="1"/>
          <w:bCs w:val="1"/>
          <w:color w:val="231F20"/>
        </w:rPr>
        <w:t>(B) Synthetic Bonds and Convertible Bonds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2016-2021 Synthetic bonds</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231F20"/>
        </w:rPr>
        <w:t>The proceeds of €375 million non-dilutive cash-settled convertible bonds (Synthetic Bonds) and additional €75 million (“tap issue”) were received on January 25, 2016 and March 10, 2016 respectively (recorded for €406.0 million as of December 31, 2016). The maturity is 5 years; the coupon rate is 0.875% per annum.</w:t>
      </w:r>
    </w:p>
    <w:p>
      <w:pPr>
        <w:spacing w:after="0" w:line="28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31F20"/>
        </w:rPr>
        <w:t>These issues of non-dilutive cash-settled convertible bonds, which are linked to the ordinary shares of Technip were backed-up simultaneously by the purchase of cash-settled equity call options in order to hedge Technip’s economic exposure to the potential exercise of the conversion rights embedded in the bonds. As the bonds will only be cash settled, the bonds will not result in the issuance of new ordinary shares or the delivery of existing ordinary shares upon conversion.</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231F20"/>
        </w:rPr>
        <w:t>Technip intends to use the net proceeds of these issues of bonds for general corporate purposes and to finance the purchase of the call options.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The bonds were issued at par for those placed on January 20, 2016 and at 112.43802% for those placed on March 3, 2016 resulting from an adjustment over the 3-day trading period following the placement (from March 4 until March 8, 2016) allowing to determine the share reference price at €48.8355, applied to the initial tap issue price of 110.5%, plus accrued interests. The conversion premium of 40% has been applied to Technip’s share reference price. This one, being equal to €40.7940 was determined as the arithmetic average of the daily volume weighted average price of the ordinary shares on the regulated market of Euronext in Paris over the 10 consecutive trading days from January 21 to February 3, 2016. The initial conversion price of the bonds was then fixed at €57.1116. Consequently, the initial conversion ratio was set at 1,750.9578 given the €100,000 nominal value of each bond.</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Any bondholder may, at its sole option, request the conversion in cash of all or part of the bonds it owns between a period starting on November 15, 2020 to the 38th business day before the maturity date, some exceptional circumstances (such as an event of change of control of Technip), giving a right to an early redemption at par.</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The bonds are listed on the Euronext Paris market and on the </w:t>
      </w:r>
      <w:r>
        <w:rPr>
          <w:rFonts w:ascii="Arial" w:cs="Arial" w:eastAsia="Arial" w:hAnsi="Arial"/>
          <w:sz w:val="16"/>
          <w:szCs w:val="16"/>
          <w:i w:val="1"/>
          <w:iCs w:val="1"/>
          <w:color w:val="231F20"/>
        </w:rPr>
        <w:t>Freiverkehr</w:t>
      </w:r>
      <w:r>
        <w:rPr>
          <w:rFonts w:ascii="Arial" w:cs="Arial" w:eastAsia="Arial" w:hAnsi="Arial"/>
          <w:sz w:val="16"/>
          <w:szCs w:val="16"/>
          <w:color w:val="231F20"/>
        </w:rPr>
        <w:t xml:space="preserve"> open market of Frankfurt.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2011-2017 Convertible bonds</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On December 15, 2011, Technip issued a bond with an option for conversion and/or exchangeable for new or existing shares (OCEANE) for €497.6 million, with a maturity date of January 1, 2017.</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The OCEANE convertible bond, which was approved by the French Securities Regulator (AMF) on December 7, 2011, has the main following features:</w:t>
      </w:r>
    </w:p>
    <w:p>
      <w:pPr>
        <w:spacing w:after="0" w:line="6" w:lineRule="exact"/>
        <w:rPr>
          <w:sz w:val="20"/>
          <w:szCs w:val="20"/>
          <w:color w:val="auto"/>
        </w:rPr>
      </w:pPr>
    </w:p>
    <w:p>
      <w:pPr>
        <w:ind w:left="180" w:hanging="171"/>
        <w:spacing w:after="0"/>
        <w:tabs>
          <w:tab w:leader="none" w:pos="180" w:val="left"/>
        </w:tabs>
        <w:numPr>
          <w:ilvl w:val="0"/>
          <w:numId w:val="55"/>
        </w:numPr>
        <w:rPr>
          <w:rFonts w:ascii="Arial" w:cs="Arial" w:eastAsia="Arial" w:hAnsi="Arial"/>
          <w:sz w:val="18"/>
          <w:szCs w:val="18"/>
          <w:color w:val="006EBF"/>
        </w:rPr>
      </w:pPr>
      <w:r>
        <w:rPr>
          <w:rFonts w:ascii="Arial" w:cs="Arial" w:eastAsia="Arial" w:hAnsi="Arial"/>
          <w:sz w:val="16"/>
          <w:szCs w:val="16"/>
          <w:color w:val="231F20"/>
        </w:rPr>
        <w:t>issued at a price of €96.09 (the number of bonds issued was 5,178,455);</w:t>
      </w:r>
    </w:p>
    <w:p>
      <w:pPr>
        <w:spacing w:after="0" w:line="21" w:lineRule="exact"/>
        <w:rPr>
          <w:rFonts w:ascii="Arial" w:cs="Arial" w:eastAsia="Arial" w:hAnsi="Arial"/>
          <w:sz w:val="18"/>
          <w:szCs w:val="18"/>
          <w:color w:val="006EBF"/>
        </w:rPr>
      </w:pPr>
    </w:p>
    <w:p>
      <w:pPr>
        <w:ind w:left="180" w:hanging="171"/>
        <w:spacing w:after="0" w:line="255" w:lineRule="auto"/>
        <w:tabs>
          <w:tab w:leader="none" w:pos="180" w:val="left"/>
        </w:tabs>
        <w:numPr>
          <w:ilvl w:val="0"/>
          <w:numId w:val="55"/>
        </w:numPr>
        <w:rPr>
          <w:rFonts w:ascii="Arial" w:cs="Arial" w:eastAsia="Arial" w:hAnsi="Arial"/>
          <w:sz w:val="18"/>
          <w:szCs w:val="18"/>
          <w:color w:val="006EBF"/>
        </w:rPr>
      </w:pPr>
      <w:r>
        <w:rPr>
          <w:rFonts w:ascii="Arial" w:cs="Arial" w:eastAsia="Arial" w:hAnsi="Arial"/>
          <w:sz w:val="16"/>
          <w:szCs w:val="16"/>
          <w:color w:val="231F20"/>
        </w:rPr>
        <w:t>a coupon of 0.25% payable on January 31 of each year, which amounts to €0.24 per year and per bond. (The first coupon payment on January 31, 2012, amounted to €0.03 per bond);</w:t>
      </w:r>
    </w:p>
    <w:p>
      <w:pPr>
        <w:spacing w:after="0" w:line="4" w:lineRule="exact"/>
        <w:rPr>
          <w:rFonts w:ascii="Arial" w:cs="Arial" w:eastAsia="Arial" w:hAnsi="Arial"/>
          <w:sz w:val="18"/>
          <w:szCs w:val="18"/>
          <w:color w:val="006EBF"/>
        </w:rPr>
      </w:pPr>
    </w:p>
    <w:p>
      <w:pPr>
        <w:ind w:left="180" w:hanging="171"/>
        <w:spacing w:after="0"/>
        <w:tabs>
          <w:tab w:leader="none" w:pos="180" w:val="left"/>
        </w:tabs>
        <w:numPr>
          <w:ilvl w:val="0"/>
          <w:numId w:val="55"/>
        </w:numPr>
        <w:rPr>
          <w:rFonts w:ascii="Arial" w:cs="Arial" w:eastAsia="Arial" w:hAnsi="Arial"/>
          <w:sz w:val="18"/>
          <w:szCs w:val="18"/>
          <w:color w:val="006EBF"/>
        </w:rPr>
      </w:pPr>
      <w:r>
        <w:rPr>
          <w:rFonts w:ascii="Arial" w:cs="Arial" w:eastAsia="Arial" w:hAnsi="Arial"/>
          <w:sz w:val="16"/>
          <w:szCs w:val="16"/>
          <w:color w:val="231F20"/>
        </w:rPr>
        <w:t>a redemption date was set on January 1, 2017, for bonds not converted into shares at such date;</w:t>
      </w:r>
    </w:p>
    <w:p>
      <w:pPr>
        <w:spacing w:after="0" w:line="9" w:lineRule="exact"/>
        <w:rPr>
          <w:rFonts w:ascii="Arial" w:cs="Arial" w:eastAsia="Arial" w:hAnsi="Arial"/>
          <w:sz w:val="18"/>
          <w:szCs w:val="18"/>
          <w:color w:val="006EBF"/>
        </w:rPr>
      </w:pPr>
    </w:p>
    <w:p>
      <w:pPr>
        <w:ind w:left="180" w:hanging="171"/>
        <w:spacing w:after="0"/>
        <w:tabs>
          <w:tab w:leader="none" w:pos="180" w:val="left"/>
        </w:tabs>
        <w:numPr>
          <w:ilvl w:val="0"/>
          <w:numId w:val="55"/>
        </w:numPr>
        <w:rPr>
          <w:rFonts w:ascii="Arial" w:cs="Arial" w:eastAsia="Arial" w:hAnsi="Arial"/>
          <w:sz w:val="18"/>
          <w:szCs w:val="18"/>
          <w:color w:val="006EBF"/>
        </w:rPr>
      </w:pPr>
      <w:r>
        <w:rPr>
          <w:rFonts w:ascii="Arial" w:cs="Arial" w:eastAsia="Arial" w:hAnsi="Arial"/>
          <w:sz w:val="16"/>
          <w:szCs w:val="16"/>
          <w:color w:val="231F20"/>
        </w:rPr>
        <w:t>the option for bondholders to convert their bonds into shares at any time at the ratio of one share for one bond; and</w:t>
      </w:r>
    </w:p>
    <w:p>
      <w:pPr>
        <w:spacing w:after="0" w:line="21" w:lineRule="exact"/>
        <w:rPr>
          <w:rFonts w:ascii="Arial" w:cs="Arial" w:eastAsia="Arial" w:hAnsi="Arial"/>
          <w:sz w:val="18"/>
          <w:szCs w:val="18"/>
          <w:color w:val="006EBF"/>
        </w:rPr>
      </w:pPr>
    </w:p>
    <w:p>
      <w:pPr>
        <w:ind w:left="180" w:hanging="171"/>
        <w:spacing w:after="0" w:line="265" w:lineRule="auto"/>
        <w:tabs>
          <w:tab w:leader="none" w:pos="180" w:val="left"/>
        </w:tabs>
        <w:numPr>
          <w:ilvl w:val="0"/>
          <w:numId w:val="55"/>
        </w:numPr>
        <w:rPr>
          <w:rFonts w:ascii="Arial" w:cs="Arial" w:eastAsia="Arial" w:hAnsi="Arial"/>
          <w:sz w:val="18"/>
          <w:szCs w:val="18"/>
          <w:color w:val="006EBF"/>
        </w:rPr>
      </w:pPr>
      <w:r>
        <w:rPr>
          <w:rFonts w:ascii="Arial" w:cs="Arial" w:eastAsia="Arial" w:hAnsi="Arial"/>
          <w:sz w:val="16"/>
          <w:szCs w:val="16"/>
          <w:color w:val="231F20"/>
        </w:rPr>
        <w:t>the option for the Group to call for early redemption of the bonds at any time on or after the third anniversary of the issue date for a price at par plus accrued interests if the quoted value of the share exceeds 130% of the par value of the bond.</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231F20"/>
        </w:rPr>
        <w:t>As required by IAS 32, the OCEANE convertible bond is recognized in two distinct components:</w:t>
      </w:r>
    </w:p>
    <w:p>
      <w:pPr>
        <w:spacing w:after="0" w:line="19" w:lineRule="exact"/>
        <w:rPr>
          <w:sz w:val="20"/>
          <w:szCs w:val="20"/>
          <w:color w:val="auto"/>
        </w:rPr>
      </w:pPr>
    </w:p>
    <w:p>
      <w:pPr>
        <w:ind w:left="180" w:right="2360" w:hanging="171"/>
        <w:spacing w:after="0" w:line="243" w:lineRule="auto"/>
        <w:tabs>
          <w:tab w:leader="none" w:pos="180" w:val="left"/>
        </w:tabs>
        <w:numPr>
          <w:ilvl w:val="0"/>
          <w:numId w:val="56"/>
        </w:numPr>
        <w:rPr>
          <w:rFonts w:ascii="Arial" w:cs="Arial" w:eastAsia="Arial" w:hAnsi="Arial"/>
          <w:sz w:val="18"/>
          <w:szCs w:val="18"/>
          <w:color w:val="006EBF"/>
        </w:rPr>
      </w:pPr>
      <w:r>
        <w:rPr>
          <w:rFonts w:ascii="Arial" w:cs="Arial" w:eastAsia="Arial" w:hAnsi="Arial"/>
          <w:sz w:val="16"/>
          <w:szCs w:val="16"/>
          <w:color w:val="231F20"/>
        </w:rPr>
        <w:t>a debt component is recognized at amortized cost for an initial amount of €420.4 million, net from its share of issuing costs. The effective rate is 3.7%. As of December 31, 2016, the debt component amounted to €497.6 million; and</w:t>
      </w:r>
    </w:p>
    <w:p>
      <w:pPr>
        <w:spacing w:after="0" w:line="9" w:lineRule="exact"/>
        <w:rPr>
          <w:rFonts w:ascii="Arial" w:cs="Arial" w:eastAsia="Arial" w:hAnsi="Arial"/>
          <w:sz w:val="18"/>
          <w:szCs w:val="18"/>
          <w:color w:val="006EBF"/>
        </w:rPr>
      </w:pPr>
    </w:p>
    <w:p>
      <w:pPr>
        <w:jc w:val="both"/>
        <w:ind w:left="180" w:hanging="171"/>
        <w:spacing w:after="0" w:line="264" w:lineRule="auto"/>
        <w:tabs>
          <w:tab w:leader="none" w:pos="180" w:val="left"/>
        </w:tabs>
        <w:numPr>
          <w:ilvl w:val="0"/>
          <w:numId w:val="56"/>
        </w:numPr>
        <w:rPr>
          <w:rFonts w:ascii="Arial" w:cs="Arial" w:eastAsia="Arial" w:hAnsi="Arial"/>
          <w:sz w:val="18"/>
          <w:szCs w:val="18"/>
          <w:color w:val="006EBF"/>
        </w:rPr>
      </w:pPr>
      <w:r>
        <w:rPr>
          <w:rFonts w:ascii="Arial" w:cs="Arial" w:eastAsia="Arial" w:hAnsi="Arial"/>
          <w:sz w:val="16"/>
          <w:szCs w:val="16"/>
          <w:color w:val="231F20"/>
        </w:rPr>
        <w:t>a conversion option component is recognized in equity for an amount equal to the difference between the issuing price of the OCEANE convertible bond and the value of the debt component. The carrying amount is recognized net of its proportionate share of the debt issuance costs for an amount of €73.1 million and net of corresponding deferred taxes. This value is not revalued but will be adjusted to take into account the conversion of bonds.</w:t>
      </w:r>
    </w:p>
    <w:p>
      <w:pPr>
        <w:spacing w:after="0" w:line="2" w:lineRule="exact"/>
        <w:rPr>
          <w:rFonts w:ascii="Arial" w:cs="Arial" w:eastAsia="Arial" w:hAnsi="Arial"/>
          <w:sz w:val="18"/>
          <w:szCs w:val="18"/>
          <w:color w:val="006EBF"/>
        </w:rPr>
      </w:pPr>
    </w:p>
    <w:p>
      <w:pPr>
        <w:ind w:left="180" w:hanging="171"/>
        <w:spacing w:after="0"/>
        <w:tabs>
          <w:tab w:leader="none" w:pos="180" w:val="left"/>
        </w:tabs>
        <w:numPr>
          <w:ilvl w:val="0"/>
          <w:numId w:val="56"/>
        </w:numPr>
        <w:rPr>
          <w:rFonts w:ascii="Arial" w:cs="Arial" w:eastAsia="Arial" w:hAnsi="Arial"/>
          <w:sz w:val="16"/>
          <w:szCs w:val="16"/>
          <w:color w:val="006EBF"/>
        </w:rPr>
      </w:pPr>
      <w:r>
        <w:rPr>
          <w:rFonts w:ascii="Arial" w:cs="Arial" w:eastAsia="Arial" w:hAnsi="Arial"/>
          <w:sz w:val="16"/>
          <w:szCs w:val="16"/>
          <w:color w:val="auto"/>
        </w:rPr>
        <w:t>On January 2, 2017, Technip reimbursed the 2011-2017 convertible bond for an amount of €497.6 million.</w:t>
      </w:r>
    </w:p>
    <w:p>
      <w:pPr>
        <w:sectPr>
          <w:pgSz w:w="11900" w:h="16838" w:orient="portrait"/>
          <w:cols w:equalWidth="0" w:num="1">
            <w:col w:w="11340"/>
          </w:cols>
          <w:pgMar w:left="320" w:top="676" w:right="239" w:bottom="1440" w:gutter="0" w:footer="0" w:header="0"/>
        </w:sectPr>
      </w:pPr>
    </w:p>
    <w:bookmarkStart w:id="138" w:name="page139"/>
    <w:bookmarkEnd w:id="138"/>
    <w:p>
      <w:pPr>
        <w:ind w:left="80"/>
        <w:spacing w:after="0"/>
        <w:rPr>
          <w:sz w:val="20"/>
          <w:szCs w:val="20"/>
          <w:color w:val="auto"/>
        </w:rPr>
      </w:pPr>
      <w:r>
        <w:rPr>
          <w:rFonts w:ascii="Arial" w:cs="Arial" w:eastAsia="Arial" w:hAnsi="Arial"/>
          <w:sz w:val="16"/>
          <w:szCs w:val="16"/>
          <w:b w:val="1"/>
          <w:bCs w:val="1"/>
          <w:color w:val="231F20"/>
        </w:rPr>
        <w:t>2010-2016 Convertible bonds</w:t>
      </w:r>
    </w:p>
    <w:p>
      <w:pPr>
        <w:spacing w:after="0" w:line="133" w:lineRule="exact"/>
        <w:rPr>
          <w:sz w:val="20"/>
          <w:szCs w:val="20"/>
          <w:color w:val="auto"/>
        </w:rPr>
      </w:pPr>
    </w:p>
    <w:p>
      <w:pPr>
        <w:ind w:left="80"/>
        <w:spacing w:after="0" w:line="260" w:lineRule="auto"/>
        <w:rPr>
          <w:sz w:val="20"/>
          <w:szCs w:val="20"/>
          <w:color w:val="auto"/>
        </w:rPr>
      </w:pPr>
      <w:r>
        <w:rPr>
          <w:rFonts w:ascii="Arial" w:cs="Arial" w:eastAsia="Arial" w:hAnsi="Arial"/>
          <w:sz w:val="16"/>
          <w:szCs w:val="16"/>
          <w:color w:val="231F20"/>
        </w:rPr>
        <w:t>On November 17, 2010, Technip issued a bond with an option for conversion and/or exchangeable for new or existing shares (OCEANE) for approximately €550.0 million, with a maturity date of January 1, 2016.</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The OCEANE convertible bond, which was approved by the French Securities Regulator (AMF) on November 9, 2010, has the main following features:</w:t>
      </w:r>
    </w:p>
    <w:p>
      <w:pPr>
        <w:spacing w:after="0" w:line="6" w:lineRule="exact"/>
        <w:rPr>
          <w:sz w:val="20"/>
          <w:szCs w:val="20"/>
          <w:color w:val="auto"/>
        </w:rPr>
      </w:pPr>
    </w:p>
    <w:p>
      <w:pPr>
        <w:ind w:left="260" w:hanging="171"/>
        <w:spacing w:after="0"/>
        <w:tabs>
          <w:tab w:leader="none" w:pos="260" w:val="left"/>
        </w:tabs>
        <w:numPr>
          <w:ilvl w:val="0"/>
          <w:numId w:val="57"/>
        </w:numPr>
        <w:rPr>
          <w:rFonts w:ascii="Arial" w:cs="Arial" w:eastAsia="Arial" w:hAnsi="Arial"/>
          <w:sz w:val="18"/>
          <w:szCs w:val="18"/>
          <w:color w:val="006EBF"/>
        </w:rPr>
      </w:pPr>
      <w:r>
        <w:rPr>
          <w:rFonts w:ascii="Arial" w:cs="Arial" w:eastAsia="Arial" w:hAnsi="Arial"/>
          <w:sz w:val="16"/>
          <w:szCs w:val="16"/>
          <w:color w:val="231F20"/>
        </w:rPr>
        <w:t>issued at a price of €83.10 (the number of bonds issued was 6,618,531);</w:t>
      </w:r>
    </w:p>
    <w:p>
      <w:pPr>
        <w:spacing w:after="0" w:line="21" w:lineRule="exact"/>
        <w:rPr>
          <w:rFonts w:ascii="Arial" w:cs="Arial" w:eastAsia="Arial" w:hAnsi="Arial"/>
          <w:sz w:val="18"/>
          <w:szCs w:val="18"/>
          <w:color w:val="006EBF"/>
        </w:rPr>
      </w:pPr>
    </w:p>
    <w:p>
      <w:pPr>
        <w:ind w:left="420" w:hanging="331"/>
        <w:spacing w:after="0" w:line="255" w:lineRule="auto"/>
        <w:tabs>
          <w:tab w:leader="none" w:pos="249" w:val="left"/>
        </w:tabs>
        <w:numPr>
          <w:ilvl w:val="0"/>
          <w:numId w:val="57"/>
        </w:numPr>
        <w:rPr>
          <w:rFonts w:ascii="Arial" w:cs="Arial" w:eastAsia="Arial" w:hAnsi="Arial"/>
          <w:sz w:val="18"/>
          <w:szCs w:val="18"/>
          <w:color w:val="006EBF"/>
        </w:rPr>
      </w:pPr>
      <w:r>
        <w:rPr>
          <w:rFonts w:ascii="Arial" w:cs="Arial" w:eastAsia="Arial" w:hAnsi="Arial"/>
          <w:sz w:val="16"/>
          <w:szCs w:val="16"/>
          <w:color w:val="231F20"/>
        </w:rPr>
        <w:t>a coupon of 0.50% payable on January 31 of each year, which amounts to €0.42 per year and per bond. (The first coupon payment on January 31, 2011, amounted to €0.09 per bond);</w:t>
      </w:r>
    </w:p>
    <w:p>
      <w:pPr>
        <w:spacing w:after="0" w:line="4" w:lineRule="exact"/>
        <w:rPr>
          <w:rFonts w:ascii="Arial" w:cs="Arial" w:eastAsia="Arial" w:hAnsi="Arial"/>
          <w:sz w:val="18"/>
          <w:szCs w:val="18"/>
          <w:color w:val="006EBF"/>
        </w:rPr>
      </w:pPr>
    </w:p>
    <w:p>
      <w:pPr>
        <w:ind w:left="260" w:hanging="171"/>
        <w:spacing w:after="0"/>
        <w:tabs>
          <w:tab w:leader="none" w:pos="260" w:val="left"/>
        </w:tabs>
        <w:numPr>
          <w:ilvl w:val="0"/>
          <w:numId w:val="57"/>
        </w:numPr>
        <w:rPr>
          <w:rFonts w:ascii="Arial" w:cs="Arial" w:eastAsia="Arial" w:hAnsi="Arial"/>
          <w:sz w:val="18"/>
          <w:szCs w:val="18"/>
          <w:color w:val="006EBF"/>
        </w:rPr>
      </w:pPr>
      <w:r>
        <w:rPr>
          <w:rFonts w:ascii="Arial" w:cs="Arial" w:eastAsia="Arial" w:hAnsi="Arial"/>
          <w:sz w:val="16"/>
          <w:szCs w:val="16"/>
          <w:color w:val="231F20"/>
        </w:rPr>
        <w:t>a redemption date was set on January 1, 2016, for bonds not converted into shares at such date;</w:t>
      </w:r>
    </w:p>
    <w:p>
      <w:pPr>
        <w:spacing w:after="0" w:line="9" w:lineRule="exact"/>
        <w:rPr>
          <w:rFonts w:ascii="Arial" w:cs="Arial" w:eastAsia="Arial" w:hAnsi="Arial"/>
          <w:sz w:val="18"/>
          <w:szCs w:val="18"/>
          <w:color w:val="006EBF"/>
        </w:rPr>
      </w:pPr>
    </w:p>
    <w:p>
      <w:pPr>
        <w:ind w:left="260" w:hanging="171"/>
        <w:spacing w:after="0"/>
        <w:tabs>
          <w:tab w:leader="none" w:pos="260" w:val="left"/>
        </w:tabs>
        <w:numPr>
          <w:ilvl w:val="0"/>
          <w:numId w:val="57"/>
        </w:numPr>
        <w:rPr>
          <w:rFonts w:ascii="Arial" w:cs="Arial" w:eastAsia="Arial" w:hAnsi="Arial"/>
          <w:sz w:val="18"/>
          <w:szCs w:val="18"/>
          <w:color w:val="006EBF"/>
        </w:rPr>
      </w:pPr>
      <w:r>
        <w:rPr>
          <w:rFonts w:ascii="Arial" w:cs="Arial" w:eastAsia="Arial" w:hAnsi="Arial"/>
          <w:sz w:val="16"/>
          <w:szCs w:val="16"/>
          <w:color w:val="231F20"/>
        </w:rPr>
        <w:t>the option for bondholders to convert their bonds into shares at any time at the ratio of one share for one bond; and</w:t>
      </w:r>
    </w:p>
    <w:p>
      <w:pPr>
        <w:spacing w:after="0" w:line="9" w:lineRule="exact"/>
        <w:rPr>
          <w:rFonts w:ascii="Arial" w:cs="Arial" w:eastAsia="Arial" w:hAnsi="Arial"/>
          <w:sz w:val="18"/>
          <w:szCs w:val="18"/>
          <w:color w:val="006EBF"/>
        </w:rPr>
      </w:pPr>
    </w:p>
    <w:p>
      <w:pPr>
        <w:ind w:left="260" w:hanging="171"/>
        <w:spacing w:after="0"/>
        <w:tabs>
          <w:tab w:leader="none" w:pos="260" w:val="left"/>
        </w:tabs>
        <w:numPr>
          <w:ilvl w:val="0"/>
          <w:numId w:val="57"/>
        </w:numPr>
        <w:rPr>
          <w:rFonts w:ascii="Arial" w:cs="Arial" w:eastAsia="Arial" w:hAnsi="Arial"/>
          <w:sz w:val="18"/>
          <w:szCs w:val="18"/>
          <w:color w:val="006EBF"/>
        </w:rPr>
      </w:pPr>
      <w:r>
        <w:rPr>
          <w:rFonts w:ascii="Arial" w:cs="Arial" w:eastAsia="Arial" w:hAnsi="Arial"/>
          <w:sz w:val="16"/>
          <w:szCs w:val="16"/>
          <w:color w:val="231F20"/>
        </w:rPr>
        <w:t>the option for the Group to call for early redemption of the bonds at any time on or after the third anniversary of the issue date for a price at par plus accrued</w:t>
      </w:r>
    </w:p>
    <w:p>
      <w:pPr>
        <w:spacing w:after="0" w:line="21" w:lineRule="exact"/>
        <w:rPr>
          <w:sz w:val="20"/>
          <w:szCs w:val="20"/>
          <w:color w:val="auto"/>
        </w:rPr>
      </w:pPr>
    </w:p>
    <w:p>
      <w:pPr>
        <w:jc w:val="center"/>
        <w:ind w:right="4620"/>
        <w:spacing w:after="0"/>
        <w:rPr>
          <w:sz w:val="20"/>
          <w:szCs w:val="20"/>
          <w:color w:val="auto"/>
        </w:rPr>
      </w:pPr>
      <w:r>
        <w:rPr>
          <w:rFonts w:ascii="Arial" w:cs="Arial" w:eastAsia="Arial" w:hAnsi="Arial"/>
          <w:sz w:val="16"/>
          <w:szCs w:val="16"/>
          <w:color w:val="231F20"/>
        </w:rPr>
        <w:t>interest if the quoted value of the share exceeds 130% of the par value of the bond.</w:t>
      </w:r>
    </w:p>
    <w:p>
      <w:pPr>
        <w:spacing w:after="0" w:line="19" w:lineRule="exact"/>
        <w:rPr>
          <w:sz w:val="20"/>
          <w:szCs w:val="20"/>
          <w:color w:val="auto"/>
        </w:rPr>
      </w:pPr>
    </w:p>
    <w:p>
      <w:pPr>
        <w:jc w:val="center"/>
        <w:ind w:right="4560"/>
        <w:spacing w:after="0"/>
        <w:rPr>
          <w:sz w:val="20"/>
          <w:szCs w:val="20"/>
          <w:color w:val="auto"/>
        </w:rPr>
      </w:pPr>
      <w:r>
        <w:rPr>
          <w:rFonts w:ascii="Arial" w:cs="Arial" w:eastAsia="Arial" w:hAnsi="Arial"/>
          <w:sz w:val="16"/>
          <w:szCs w:val="16"/>
          <w:color w:val="231F20"/>
        </w:rPr>
        <w:t>As required by IAS 32, the OCEANE convertible bond is recognized in two distinct components:</w:t>
      </w:r>
    </w:p>
    <w:p>
      <w:pPr>
        <w:spacing w:after="0" w:line="6" w:lineRule="exact"/>
        <w:rPr>
          <w:sz w:val="20"/>
          <w:szCs w:val="20"/>
          <w:color w:val="auto"/>
        </w:rPr>
      </w:pPr>
    </w:p>
    <w:p>
      <w:pPr>
        <w:ind w:left="260" w:hanging="171"/>
        <w:spacing w:after="0"/>
        <w:tabs>
          <w:tab w:leader="none" w:pos="260" w:val="left"/>
        </w:tabs>
        <w:numPr>
          <w:ilvl w:val="0"/>
          <w:numId w:val="58"/>
        </w:numPr>
        <w:rPr>
          <w:rFonts w:ascii="Arial" w:cs="Arial" w:eastAsia="Arial" w:hAnsi="Arial"/>
          <w:sz w:val="18"/>
          <w:szCs w:val="18"/>
          <w:color w:val="006EBF"/>
        </w:rPr>
      </w:pPr>
      <w:r>
        <w:rPr>
          <w:rFonts w:ascii="Arial" w:cs="Arial" w:eastAsia="Arial" w:hAnsi="Arial"/>
          <w:sz w:val="16"/>
          <w:szCs w:val="16"/>
          <w:color w:val="231F20"/>
        </w:rPr>
        <w:t>a debt component is recognized at amortized cost for an initial amount of €480.9 million, net from its share of issuing costs. The effective rate is 3.2%; and</w:t>
      </w:r>
    </w:p>
    <w:p>
      <w:pPr>
        <w:spacing w:after="0" w:line="21" w:lineRule="exact"/>
        <w:rPr>
          <w:rFonts w:ascii="Arial" w:cs="Arial" w:eastAsia="Arial" w:hAnsi="Arial"/>
          <w:sz w:val="18"/>
          <w:szCs w:val="18"/>
          <w:color w:val="006EBF"/>
        </w:rPr>
      </w:pPr>
    </w:p>
    <w:p>
      <w:pPr>
        <w:jc w:val="both"/>
        <w:ind w:left="260" w:hanging="171"/>
        <w:spacing w:after="0" w:line="271" w:lineRule="auto"/>
        <w:tabs>
          <w:tab w:leader="none" w:pos="260" w:val="left"/>
        </w:tabs>
        <w:numPr>
          <w:ilvl w:val="0"/>
          <w:numId w:val="58"/>
        </w:numPr>
        <w:rPr>
          <w:rFonts w:ascii="Arial" w:cs="Arial" w:eastAsia="Arial" w:hAnsi="Arial"/>
          <w:sz w:val="18"/>
          <w:szCs w:val="18"/>
          <w:color w:val="006EBF"/>
        </w:rPr>
      </w:pPr>
      <w:r>
        <w:rPr>
          <w:rFonts w:ascii="Arial" w:cs="Arial" w:eastAsia="Arial" w:hAnsi="Arial"/>
          <w:sz w:val="16"/>
          <w:szCs w:val="16"/>
          <w:color w:val="231F20"/>
        </w:rPr>
        <w:t>a conversion option component is recognized in equity for an amount equal to the difference between the issuing price of the OCEANE convertible bond and the value of the debt component. The carrying amount is recognized net of its proportionate share of the debt issuance costs for an amount of €63.3 million and net of corresponding deferred taxes. This value is not revalued but will be adjusted to take into account the conversion of bonds.</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On January 4, 2016, at their maturity date, Technip redeemed the 2010-2016 convertible bonds issued on November 17, 2010 for an amount of €550 million.</w:t>
      </w:r>
    </w:p>
    <w:p>
      <w:pPr>
        <w:spacing w:after="0" w:line="9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231F20"/>
        </w:rPr>
        <w:t>2007-2027 Convertible bonds</w:t>
      </w:r>
    </w:p>
    <w:p>
      <w:pPr>
        <w:spacing w:after="0" w:line="133" w:lineRule="exact"/>
        <w:rPr>
          <w:sz w:val="20"/>
          <w:szCs w:val="20"/>
          <w:color w:val="auto"/>
        </w:rPr>
      </w:pPr>
    </w:p>
    <w:p>
      <w:pPr>
        <w:jc w:val="both"/>
        <w:ind w:left="80"/>
        <w:spacing w:after="0" w:line="251" w:lineRule="auto"/>
        <w:rPr>
          <w:sz w:val="20"/>
          <w:szCs w:val="20"/>
          <w:color w:val="auto"/>
        </w:rPr>
      </w:pPr>
      <w:r>
        <w:rPr>
          <w:rFonts w:ascii="Arial" w:cs="Arial" w:eastAsia="Arial" w:hAnsi="Arial"/>
          <w:sz w:val="16"/>
          <w:szCs w:val="16"/>
          <w:color w:val="231F20"/>
        </w:rPr>
        <w:t>On July 27, 2007, Global Industries, Ltd. issued a convertible debenture for a total amount of USD325 million (recorded for €251.2 million as of December 31, 2011). This bond came along with an annual interest rate of 2.75% and a maturity date of August 1, 2027. On January 11, 2012, Global Industries, Ltd. reimbursed a principal amount of USD322.6 million (corresponding to 99.3% of outstanding bonds) and paid USD3.9 million in interests to the bondholders. The non-tendered bonds were redeemed in August 2016.</w:t>
      </w:r>
    </w:p>
    <w:p>
      <w:pPr>
        <w:spacing w:after="0" w:line="292"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231F20"/>
        </w:rPr>
        <w:t>(C) Analysis by Type of Interest Rate</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Analysis by type of interest rate after yield management is as follows:</w:t>
      </w:r>
    </w:p>
    <w:p>
      <w:pPr>
        <w:spacing w:after="0" w:line="118" w:lineRule="exact"/>
        <w:rPr>
          <w:sz w:val="20"/>
          <w:szCs w:val="20"/>
          <w:color w:val="auto"/>
        </w:rPr>
      </w:pPr>
    </w:p>
    <w:tbl>
      <w:tblPr>
        <w:tblLayout w:type="fixed"/>
        <w:tblInd w:w="390" w:type="dxa"/>
        <w:tblCellMar>
          <w:top w:w="0" w:type="dxa"/>
          <w:left w:w="0" w:type="dxa"/>
          <w:bottom w:w="0" w:type="dxa"/>
          <w:right w:w="0" w:type="dxa"/>
        </w:tblCellMar>
      </w:tblPr>
      <w:tr>
        <w:trPr>
          <w:trHeight w:val="189"/>
        </w:trPr>
        <w:tc>
          <w:tcPr>
            <w:tcW w:w="4920" w:type="dxa"/>
            <w:vAlign w:val="bottom"/>
            <w:tcBorders>
              <w:top w:val="single" w:sz="8" w:color="2360A6"/>
              <w:left w:val="single" w:sz="8" w:color="2360A6"/>
              <w:right w:val="single" w:sz="8" w:color="2360A6"/>
            </w:tcBorders>
          </w:tcPr>
          <w:p>
            <w:pPr>
              <w:spacing w:after="0"/>
              <w:rPr>
                <w:sz w:val="16"/>
                <w:szCs w:val="16"/>
                <w:color w:val="auto"/>
              </w:rPr>
            </w:pPr>
          </w:p>
        </w:tc>
        <w:tc>
          <w:tcPr>
            <w:tcW w:w="1920" w:type="dxa"/>
            <w:vAlign w:val="bottom"/>
            <w:tcBorders>
              <w:top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w:t>
            </w:r>
          </w:p>
        </w:tc>
        <w:tc>
          <w:tcPr>
            <w:tcW w:w="192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As of</w:t>
            </w:r>
          </w:p>
        </w:tc>
        <w:tc>
          <w:tcPr>
            <w:tcW w:w="192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As of</w:t>
            </w:r>
          </w:p>
        </w:tc>
      </w:tr>
      <w:tr>
        <w:trPr>
          <w:trHeight w:val="162"/>
        </w:trPr>
        <w:tc>
          <w:tcPr>
            <w:tcW w:w="4920" w:type="dxa"/>
            <w:vAlign w:val="bottom"/>
            <w:tcBorders>
              <w:left w:val="single" w:sz="8" w:color="2360A6"/>
              <w:right w:val="single" w:sz="8" w:color="2360A6"/>
            </w:tcBorders>
          </w:tcPr>
          <w:p>
            <w:pPr>
              <w:spacing w:after="0"/>
              <w:rPr>
                <w:sz w:val="14"/>
                <w:szCs w:val="14"/>
                <w:color w:val="auto"/>
              </w:rPr>
            </w:pPr>
          </w:p>
        </w:tc>
        <w:tc>
          <w:tcPr>
            <w:tcW w:w="1920" w:type="dxa"/>
            <w:vAlign w:val="bottom"/>
            <w:tcBorders>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December 31,</w:t>
            </w:r>
          </w:p>
        </w:tc>
        <w:tc>
          <w:tcPr>
            <w:tcW w:w="192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December 31,</w:t>
            </w:r>
          </w:p>
        </w:tc>
        <w:tc>
          <w:tcPr>
            <w:tcW w:w="192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92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2015</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Fixed Rate</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2,319.9</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2,385.3</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2,419.7</w:t>
            </w:r>
          </w:p>
        </w:tc>
      </w:tr>
      <w:tr>
        <w:trPr>
          <w:trHeight w:val="210"/>
        </w:trPr>
        <w:tc>
          <w:tcPr>
            <w:tcW w:w="4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Floating Rate</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102.0</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177.8</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193.3</w:t>
            </w:r>
          </w:p>
        </w:tc>
      </w:tr>
      <w:tr>
        <w:trPr>
          <w:trHeight w:val="210"/>
        </w:trPr>
        <w:tc>
          <w:tcPr>
            <w:tcW w:w="492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FINANCIAL DEBTS</w:t>
            </w:r>
          </w:p>
        </w:tc>
        <w:tc>
          <w:tcPr>
            <w:tcW w:w="19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2,421.9</w:t>
            </w:r>
          </w:p>
        </w:tc>
        <w:tc>
          <w:tcPr>
            <w:tcW w:w="19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2,563.1</w:t>
            </w:r>
          </w:p>
        </w:tc>
        <w:tc>
          <w:tcPr>
            <w:tcW w:w="19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2,613.0</w:t>
            </w:r>
          </w:p>
        </w:tc>
      </w:tr>
    </w:tbl>
    <w:p>
      <w:pPr>
        <w:spacing w:after="0" w:line="224"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2360A6"/>
        </w:rPr>
        <w:t>As of December 31, 2016</w:t>
      </w:r>
    </w:p>
    <w:p>
      <w:pPr>
        <w:spacing w:after="0" w:line="241" w:lineRule="exact"/>
        <w:rPr>
          <w:sz w:val="20"/>
          <w:szCs w:val="20"/>
          <w:color w:val="auto"/>
        </w:rPr>
      </w:pPr>
    </w:p>
    <w:p>
      <w:pPr>
        <w:jc w:val="both"/>
        <w:ind w:left="80"/>
        <w:spacing w:after="0" w:line="251" w:lineRule="auto"/>
        <w:rPr>
          <w:sz w:val="20"/>
          <w:szCs w:val="20"/>
          <w:color w:val="auto"/>
        </w:rPr>
      </w:pPr>
      <w:r>
        <w:rPr>
          <w:rFonts w:ascii="Arial" w:cs="Arial" w:eastAsia="Arial" w:hAnsi="Arial"/>
          <w:sz w:val="16"/>
          <w:szCs w:val="16"/>
          <w:color w:val="231F20"/>
        </w:rPr>
        <w:t>As of December 31, 2016, the debt was essentially issued at fixed rate. The fixed rate debt mainly comprised the synthetic bond, the 2011-2017 convertible bonds, private placements, drawings on loans granted for the purpose of financing assets to one Norwegian (70% of the loan financed at fixed rate) and one British entity, drawings on subsidized export finance loans granted to one of the Brazilian subsidiaries for the purpose of pre-financing exports and refinancing investments, and finally the commercial papers issued by Technip.</w:t>
      </w:r>
    </w:p>
    <w:p>
      <w:pPr>
        <w:spacing w:after="0" w:line="203" w:lineRule="exact"/>
        <w:rPr>
          <w:sz w:val="20"/>
          <w:szCs w:val="20"/>
          <w:color w:val="auto"/>
        </w:rPr>
      </w:pPr>
    </w:p>
    <w:p>
      <w:pPr>
        <w:jc w:val="both"/>
        <w:ind w:left="80"/>
        <w:spacing w:after="0" w:line="253" w:lineRule="auto"/>
        <w:rPr>
          <w:sz w:val="20"/>
          <w:szCs w:val="20"/>
          <w:color w:val="auto"/>
        </w:rPr>
      </w:pPr>
      <w:r>
        <w:rPr>
          <w:rFonts w:ascii="Arial" w:cs="Arial" w:eastAsia="Arial" w:hAnsi="Arial"/>
          <w:sz w:val="16"/>
          <w:szCs w:val="16"/>
          <w:color w:val="231F20"/>
        </w:rPr>
        <w:t>Over the financial year 2016, the average rate of the fixed rate debt was 3.8% compared to 4.0% in 2015. Over the same period, the average rate of the Group’s overall debt (fixed and floating rate) remained stable at 4.7% compared to 2015. The average rate of debt is calculated by dividing the amount of financial costs for the fiscal year (excluding bank fees not expressly related to the debt) and the average outstanding debt for the fiscal year.</w:t>
      </w:r>
    </w:p>
    <w:p>
      <w:pPr>
        <w:sectPr>
          <w:pgSz w:w="11900" w:h="16838" w:orient="portrait"/>
          <w:cols w:equalWidth="0" w:num="1">
            <w:col w:w="11420"/>
          </w:cols>
          <w:pgMar w:left="240" w:top="688" w:right="23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b w:val="1"/>
          <w:bCs w:val="1"/>
          <w:color w:val="2360A6"/>
        </w:rPr>
        <w:t>As of December 31, 2015</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of December 31, 2015, the debt was essentially issued at fixed rate. The fixed rate debt mainly comprised the two convertible bonds, private placements, drawings on subsidized export finance loans granted to one of the Brazilian subsidiaries for the purpose of pre-financing exports and refinancing investments, and finally the commercial paper issued by Technip.</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Over the financial year 2015, the average rate of the fixed rate debt was 4.0% compared to 3.9% in 2014. Over the same period, the average rate of the Group’s overall debt (fixed and floating rate) was 4.7% compared to 3.9% per year in 2014. The average rate of debt is calculated by dividing the amount of financial costs for the fiscal year (excluding bank fees not expressly related to the debt) and the average outstanding debt for the fiscal year.</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2014</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of December 31, 2014, the debt was essentially issued at fixed rate. The fixed rate debt mainly comprised the two convertible bonds, private placements, drawings on subsidized export finance loans granted to one of the Brazilian subsidiaries for the purpose of pre-financing exports and refinancing investments, and finally the commercial paper issued by Technip.</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Over the financial year 2014, the average rate of the fixed rate debt was 3.94% compared to 3.72% in 2013. Over the same period, the average rate of the Group’s overall debt (fixed and floating rate) was 3.90% compared to 3.73% per year in 2013. The average rate of debt is calculated by dividing the amount of financial costs for the fiscal year (excluding bank fees not expressly related to the debt) and the average outstanding debt for the fiscal year.</w:t>
      </w:r>
    </w:p>
    <w:p>
      <w:pPr>
        <w:spacing w:after="0" w:line="61"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(D) Analysis by Currency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Analysis by currency is as follows:</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5340" w:type="dxa"/>
            <w:vAlign w:val="bottom"/>
            <w:tcBorders>
              <w:top w:val="single" w:sz="8" w:color="2360A6"/>
              <w:left w:val="single" w:sz="8" w:color="2360A6"/>
              <w:right w:val="single" w:sz="8" w:color="2360A6"/>
            </w:tcBorders>
          </w:tcPr>
          <w:p>
            <w:pPr>
              <w:spacing w:after="0"/>
              <w:rPr>
                <w:sz w:val="16"/>
                <w:szCs w:val="16"/>
                <w:color w:val="auto"/>
              </w:rPr>
            </w:pPr>
          </w:p>
        </w:tc>
        <w:tc>
          <w:tcPr>
            <w:tcW w:w="1800" w:type="dxa"/>
            <w:vAlign w:val="bottom"/>
            <w:tcBorders>
              <w:top w:val="single" w:sz="8" w:color="2360A6"/>
              <w:right w:val="single" w:sz="8" w:color="2360A6"/>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As of</w:t>
            </w:r>
          </w:p>
        </w:tc>
        <w:tc>
          <w:tcPr>
            <w:tcW w:w="1700" w:type="dxa"/>
            <w:vAlign w:val="bottom"/>
            <w:tcBorders>
              <w:top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BA"/>
              </w:rPr>
              <w:t>As of</w:t>
            </w:r>
          </w:p>
        </w:tc>
        <w:tc>
          <w:tcPr>
            <w:tcW w:w="1780" w:type="dxa"/>
            <w:vAlign w:val="bottom"/>
            <w:tcBorders>
              <w:top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As of</w:t>
            </w:r>
          </w:p>
        </w:tc>
      </w:tr>
      <w:tr>
        <w:trPr>
          <w:trHeight w:val="162"/>
        </w:trPr>
        <w:tc>
          <w:tcPr>
            <w:tcW w:w="5340" w:type="dxa"/>
            <w:vAlign w:val="bottom"/>
            <w:tcBorders>
              <w:left w:val="single" w:sz="8" w:color="2360A6"/>
              <w:right w:val="single" w:sz="8" w:color="2360A6"/>
            </w:tcBorders>
          </w:tcPr>
          <w:p>
            <w:pPr>
              <w:spacing w:after="0"/>
              <w:rPr>
                <w:sz w:val="14"/>
                <w:szCs w:val="14"/>
                <w:color w:val="auto"/>
              </w:rPr>
            </w:pPr>
          </w:p>
        </w:tc>
        <w:tc>
          <w:tcPr>
            <w:tcW w:w="1800" w:type="dxa"/>
            <w:vAlign w:val="bottom"/>
            <w:tcBorders>
              <w:right w:val="single" w:sz="8" w:color="2360A6"/>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December 31,</w:t>
            </w:r>
          </w:p>
        </w:tc>
        <w:tc>
          <w:tcPr>
            <w:tcW w:w="170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BA"/>
              </w:rPr>
              <w:t>December 31,</w:t>
            </w:r>
          </w:p>
        </w:tc>
        <w:tc>
          <w:tcPr>
            <w:tcW w:w="178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5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1800" w:type="dxa"/>
            <w:vAlign w:val="bottom"/>
            <w:tcBorders>
              <w:bottom w:val="single" w:sz="8" w:color="2360A6"/>
              <w:right w:val="single" w:sz="8" w:color="2360A6"/>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2016</w:t>
            </w: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BA"/>
              </w:rPr>
              <w:t>2015</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2014</w:t>
            </w:r>
          </w:p>
        </w:tc>
      </w:tr>
      <w:tr>
        <w:trPr>
          <w:trHeight w:val="210"/>
        </w:trPr>
        <w:tc>
          <w:tcPr>
            <w:tcW w:w="5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Euro</w:t>
            </w:r>
          </w:p>
        </w:tc>
        <w:tc>
          <w:tcPr>
            <w:tcW w:w="18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1,991.6</w:t>
            </w: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2,119.2</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2,046.0</w:t>
            </w:r>
          </w:p>
        </w:tc>
      </w:tr>
      <w:tr>
        <w:trPr>
          <w:trHeight w:val="210"/>
        </w:trPr>
        <w:tc>
          <w:tcPr>
            <w:tcW w:w="5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Brazilian Real</w:t>
            </w:r>
          </w:p>
        </w:tc>
        <w:tc>
          <w:tcPr>
            <w:tcW w:w="18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203.0</w:t>
            </w: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389.5</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564.9</w:t>
            </w:r>
          </w:p>
        </w:tc>
      </w:tr>
      <w:tr>
        <w:trPr>
          <w:trHeight w:val="210"/>
        </w:trPr>
        <w:tc>
          <w:tcPr>
            <w:tcW w:w="5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Pound Sterling</w:t>
            </w:r>
          </w:p>
        </w:tc>
        <w:tc>
          <w:tcPr>
            <w:tcW w:w="18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185.4</w:t>
            </w: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5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Norwegian Krone</w:t>
            </w:r>
          </w:p>
        </w:tc>
        <w:tc>
          <w:tcPr>
            <w:tcW w:w="18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41.9</w:t>
            </w: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48.5</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5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US Dollar</w:t>
            </w:r>
          </w:p>
        </w:tc>
        <w:tc>
          <w:tcPr>
            <w:tcW w:w="18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2.2</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2.0</w:t>
            </w:r>
          </w:p>
        </w:tc>
      </w:tr>
      <w:tr>
        <w:trPr>
          <w:trHeight w:val="210"/>
        </w:trPr>
        <w:tc>
          <w:tcPr>
            <w:tcW w:w="5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w:t>
            </w:r>
          </w:p>
        </w:tc>
        <w:tc>
          <w:tcPr>
            <w:tcW w:w="18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3.7</w:t>
            </w:r>
          </w:p>
        </w:tc>
        <w:tc>
          <w:tcPr>
            <w:tcW w:w="17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0.1</w:t>
            </w:r>
          </w:p>
        </w:tc>
      </w:tr>
      <w:tr>
        <w:trPr>
          <w:trHeight w:val="210"/>
        </w:trPr>
        <w:tc>
          <w:tcPr>
            <w:tcW w:w="5340" w:type="dxa"/>
            <w:vAlign w:val="bottom"/>
            <w:tcBorders>
              <w:left w:val="single" w:sz="8" w:color="2360A6"/>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FINANCIAL DEBTS</w:t>
            </w:r>
          </w:p>
        </w:tc>
        <w:tc>
          <w:tcPr>
            <w:tcW w:w="180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2,421.9</w:t>
            </w:r>
          </w:p>
        </w:tc>
        <w:tc>
          <w:tcPr>
            <w:tcW w:w="170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2,563.1</w:t>
            </w:r>
          </w:p>
        </w:tc>
        <w:tc>
          <w:tcPr>
            <w:tcW w:w="17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2,613.0</w:t>
            </w:r>
          </w:p>
        </w:tc>
      </w:tr>
    </w:tbl>
    <w:p>
      <w:pPr>
        <w:sectPr>
          <w:pgSz w:w="11900" w:h="16838" w:orient="portrait"/>
          <w:cols w:equalWidth="0" w:num="1">
            <w:col w:w="11340"/>
          </w:cols>
          <w:pgMar w:left="320" w:top="607" w:right="239" w:bottom="1440" w:gutter="0" w:footer="0" w:header="0"/>
        </w:sectPr>
      </w:pPr>
    </w:p>
    <w:bookmarkStart w:id="140" w:name="page141"/>
    <w:bookmarkEnd w:id="140"/>
    <w:p>
      <w:pPr>
        <w:spacing w:after="0"/>
        <w:rPr>
          <w:sz w:val="20"/>
          <w:szCs w:val="20"/>
          <w:color w:val="auto"/>
        </w:rPr>
      </w:pPr>
      <w:r>
        <w:rPr>
          <w:rFonts w:ascii="Arial" w:cs="Arial" w:eastAsia="Arial" w:hAnsi="Arial"/>
          <w:sz w:val="25"/>
          <w:szCs w:val="25"/>
          <w:b w:val="1"/>
          <w:bCs w:val="1"/>
          <w:color w:val="231F20"/>
        </w:rPr>
        <w:t>(E) Schedule of Financial Debts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The schedule of financial debts is as follows:</w:t>
      </w:r>
    </w:p>
    <w:p>
      <w:pPr>
        <w:spacing w:after="0" w:line="118" w:lineRule="exact"/>
        <w:rPr>
          <w:sz w:val="20"/>
          <w:szCs w:val="20"/>
          <w:color w:val="auto"/>
        </w:rPr>
      </w:pPr>
    </w:p>
    <w:tbl>
      <w:tblPr>
        <w:tblLayout w:type="fixed"/>
        <w:tblInd w:w="390" w:type="dxa"/>
        <w:tblCellMar>
          <w:top w:w="0" w:type="dxa"/>
          <w:left w:w="0" w:type="dxa"/>
          <w:bottom w:w="0" w:type="dxa"/>
          <w:right w:w="0" w:type="dxa"/>
        </w:tblCellMar>
      </w:tblPr>
      <w:tr>
        <w:trPr>
          <w:trHeight w:val="189"/>
        </w:trPr>
        <w:tc>
          <w:tcPr>
            <w:tcW w:w="3920" w:type="dxa"/>
            <w:vAlign w:val="bottom"/>
            <w:tcBorders>
              <w:top w:val="single" w:sz="8" w:color="2360A6"/>
              <w:left w:val="single" w:sz="8" w:color="2360A6"/>
              <w:right w:val="single" w:sz="8" w:color="2360A6"/>
            </w:tcBorders>
          </w:tcPr>
          <w:p>
            <w:pPr>
              <w:spacing w:after="0"/>
              <w:rPr>
                <w:sz w:val="16"/>
                <w:szCs w:val="16"/>
                <w:color w:val="auto"/>
              </w:rPr>
            </w:pPr>
          </w:p>
        </w:tc>
        <w:tc>
          <w:tcPr>
            <w:tcW w:w="940" w:type="dxa"/>
            <w:vAlign w:val="bottom"/>
            <w:tcBorders>
              <w:top w:val="single" w:sz="8" w:color="2360A6"/>
              <w:right w:val="single" w:sz="8" w:color="2360A6"/>
            </w:tcBorders>
          </w:tcPr>
          <w:p>
            <w:pPr>
              <w:spacing w:after="0"/>
              <w:rPr>
                <w:sz w:val="16"/>
                <w:szCs w:val="16"/>
                <w:color w:val="auto"/>
              </w:rPr>
            </w:pPr>
          </w:p>
        </w:tc>
        <w:tc>
          <w:tcPr>
            <w:tcW w:w="940" w:type="dxa"/>
            <w:vAlign w:val="bottom"/>
            <w:tcBorders>
              <w:top w:val="single" w:sz="8" w:color="2360A6"/>
              <w:right w:val="single" w:sz="8" w:color="2360A6"/>
            </w:tcBorders>
          </w:tcPr>
          <w:p>
            <w:pPr>
              <w:spacing w:after="0"/>
              <w:rPr>
                <w:sz w:val="16"/>
                <w:szCs w:val="16"/>
                <w:color w:val="auto"/>
              </w:rPr>
            </w:pPr>
          </w:p>
        </w:tc>
        <w:tc>
          <w:tcPr>
            <w:tcW w:w="960" w:type="dxa"/>
            <w:vAlign w:val="bottom"/>
            <w:tcBorders>
              <w:top w:val="single" w:sz="8" w:color="2360A6"/>
              <w:right w:val="single" w:sz="8" w:color="2360A6"/>
            </w:tcBorders>
          </w:tcPr>
          <w:p>
            <w:pPr>
              <w:spacing w:after="0"/>
              <w:rPr>
                <w:sz w:val="16"/>
                <w:szCs w:val="16"/>
                <w:color w:val="auto"/>
              </w:rPr>
            </w:pPr>
          </w:p>
        </w:tc>
        <w:tc>
          <w:tcPr>
            <w:tcW w:w="940" w:type="dxa"/>
            <w:vAlign w:val="bottom"/>
            <w:tcBorders>
              <w:top w:val="single" w:sz="8" w:color="2360A6"/>
              <w:right w:val="single" w:sz="8" w:color="2360A6"/>
            </w:tcBorders>
          </w:tcPr>
          <w:p>
            <w:pPr>
              <w:spacing w:after="0"/>
              <w:rPr>
                <w:sz w:val="16"/>
                <w:szCs w:val="16"/>
                <w:color w:val="auto"/>
              </w:rPr>
            </w:pPr>
          </w:p>
        </w:tc>
        <w:tc>
          <w:tcPr>
            <w:tcW w:w="940" w:type="dxa"/>
            <w:vAlign w:val="bottom"/>
            <w:tcBorders>
              <w:top w:val="single" w:sz="8" w:color="2360A6"/>
              <w:right w:val="single" w:sz="8" w:color="2360A6"/>
            </w:tcBorders>
          </w:tcPr>
          <w:p>
            <w:pPr>
              <w:spacing w:after="0"/>
              <w:rPr>
                <w:sz w:val="16"/>
                <w:szCs w:val="16"/>
                <w:color w:val="auto"/>
              </w:rPr>
            </w:pPr>
          </w:p>
        </w:tc>
        <w:tc>
          <w:tcPr>
            <w:tcW w:w="94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2022 and</w:t>
            </w:r>
          </w:p>
        </w:tc>
        <w:tc>
          <w:tcPr>
            <w:tcW w:w="960" w:type="dxa"/>
            <w:vAlign w:val="bottom"/>
            <w:tcBorders>
              <w:top w:val="single" w:sz="8" w:color="2360A6"/>
              <w:right w:val="single" w:sz="8" w:color="2360A6"/>
            </w:tcBorders>
            <w:shd w:val="clear" w:color="auto" w:fill="2360A6"/>
          </w:tcPr>
          <w:p>
            <w:pPr>
              <w:spacing w:after="0"/>
              <w:rPr>
                <w:sz w:val="16"/>
                <w:szCs w:val="16"/>
                <w:color w:val="auto"/>
              </w:rPr>
            </w:pPr>
          </w:p>
        </w:tc>
      </w:tr>
      <w:tr>
        <w:trPr>
          <w:trHeight w:val="196"/>
        </w:trPr>
        <w:tc>
          <w:tcPr>
            <w:tcW w:w="3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2017</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2018</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2019</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2020</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2021</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beyond</w:t>
            </w:r>
          </w:p>
        </w:tc>
        <w:tc>
          <w:tcPr>
            <w:tcW w:w="96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210"/>
        </w:trPr>
        <w:tc>
          <w:tcPr>
            <w:tcW w:w="3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Fixed Rate</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830.6</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24.9</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26.2</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225.1</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429.0</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784.1</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2,319.9</w:t>
            </w:r>
          </w:p>
        </w:tc>
      </w:tr>
      <w:tr>
        <w:trPr>
          <w:trHeight w:val="210"/>
        </w:trPr>
        <w:tc>
          <w:tcPr>
            <w:tcW w:w="3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Floating Rate</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17.9</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17.0</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17.0</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17.0</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18.7</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14.4</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102.0</w:t>
            </w:r>
          </w:p>
        </w:tc>
      </w:tr>
      <w:tr>
        <w:trPr>
          <w:trHeight w:val="229"/>
        </w:trPr>
        <w:tc>
          <w:tcPr>
            <w:tcW w:w="3920" w:type="dxa"/>
            <w:vAlign w:val="bottom"/>
            <w:tcBorders>
              <w:left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FINANCIAL DEBTS AS OF</w:t>
            </w:r>
          </w:p>
        </w:tc>
        <w:tc>
          <w:tcPr>
            <w:tcW w:w="940" w:type="dxa"/>
            <w:vAlign w:val="bottom"/>
            <w:tcBorders>
              <w:right w:val="single" w:sz="8" w:color="2360A6"/>
            </w:tcBorders>
            <w:shd w:val="clear" w:color="auto" w:fill="D2DEEC"/>
          </w:tcPr>
          <w:p>
            <w:pPr>
              <w:spacing w:after="0"/>
              <w:rPr>
                <w:sz w:val="19"/>
                <w:szCs w:val="19"/>
                <w:color w:val="auto"/>
              </w:rPr>
            </w:pPr>
          </w:p>
        </w:tc>
        <w:tc>
          <w:tcPr>
            <w:tcW w:w="940" w:type="dxa"/>
            <w:vAlign w:val="bottom"/>
            <w:tcBorders>
              <w:right w:val="single" w:sz="8" w:color="2360A6"/>
            </w:tcBorders>
            <w:shd w:val="clear" w:color="auto" w:fill="D2DEEC"/>
          </w:tcPr>
          <w:p>
            <w:pPr>
              <w:spacing w:after="0"/>
              <w:rPr>
                <w:sz w:val="19"/>
                <w:szCs w:val="19"/>
                <w:color w:val="auto"/>
              </w:rPr>
            </w:pPr>
          </w:p>
        </w:tc>
        <w:tc>
          <w:tcPr>
            <w:tcW w:w="960" w:type="dxa"/>
            <w:vAlign w:val="bottom"/>
            <w:tcBorders>
              <w:right w:val="single" w:sz="8" w:color="2360A6"/>
            </w:tcBorders>
            <w:shd w:val="clear" w:color="auto" w:fill="D2DEEC"/>
          </w:tcPr>
          <w:p>
            <w:pPr>
              <w:spacing w:after="0"/>
              <w:rPr>
                <w:sz w:val="19"/>
                <w:szCs w:val="19"/>
                <w:color w:val="auto"/>
              </w:rPr>
            </w:pPr>
          </w:p>
        </w:tc>
        <w:tc>
          <w:tcPr>
            <w:tcW w:w="940" w:type="dxa"/>
            <w:vAlign w:val="bottom"/>
            <w:tcBorders>
              <w:right w:val="single" w:sz="8" w:color="2360A6"/>
            </w:tcBorders>
            <w:shd w:val="clear" w:color="auto" w:fill="D2DEEC"/>
          </w:tcPr>
          <w:p>
            <w:pPr>
              <w:spacing w:after="0"/>
              <w:rPr>
                <w:sz w:val="19"/>
                <w:szCs w:val="19"/>
                <w:color w:val="auto"/>
              </w:rPr>
            </w:pPr>
          </w:p>
        </w:tc>
        <w:tc>
          <w:tcPr>
            <w:tcW w:w="940" w:type="dxa"/>
            <w:vAlign w:val="bottom"/>
            <w:tcBorders>
              <w:right w:val="single" w:sz="8" w:color="2360A6"/>
            </w:tcBorders>
            <w:shd w:val="clear" w:color="auto" w:fill="D2DEEC"/>
          </w:tcPr>
          <w:p>
            <w:pPr>
              <w:spacing w:after="0"/>
              <w:rPr>
                <w:sz w:val="19"/>
                <w:szCs w:val="19"/>
                <w:color w:val="auto"/>
              </w:rPr>
            </w:pPr>
          </w:p>
        </w:tc>
        <w:tc>
          <w:tcPr>
            <w:tcW w:w="940" w:type="dxa"/>
            <w:vAlign w:val="bottom"/>
            <w:tcBorders>
              <w:right w:val="single" w:sz="8" w:color="2360A6"/>
            </w:tcBorders>
            <w:shd w:val="clear" w:color="auto" w:fill="D2DEEC"/>
          </w:tcPr>
          <w:p>
            <w:pPr>
              <w:spacing w:after="0"/>
              <w:rPr>
                <w:sz w:val="19"/>
                <w:szCs w:val="19"/>
                <w:color w:val="auto"/>
              </w:rPr>
            </w:pPr>
          </w:p>
        </w:tc>
        <w:tc>
          <w:tcPr>
            <w:tcW w:w="960" w:type="dxa"/>
            <w:vAlign w:val="bottom"/>
            <w:tcBorders>
              <w:right w:val="single" w:sz="8" w:color="2360A6"/>
            </w:tcBorders>
            <w:shd w:val="clear" w:color="auto" w:fill="D2DEEC"/>
          </w:tcPr>
          <w:p>
            <w:pPr>
              <w:spacing w:after="0"/>
              <w:rPr>
                <w:sz w:val="19"/>
                <w:szCs w:val="19"/>
                <w:color w:val="auto"/>
              </w:rPr>
            </w:pPr>
          </w:p>
        </w:tc>
      </w:tr>
      <w:tr>
        <w:trPr>
          <w:trHeight w:val="196"/>
        </w:trPr>
        <w:tc>
          <w:tcPr>
            <w:tcW w:w="392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DECEMBER 31, 2016</w:t>
            </w:r>
          </w:p>
        </w:tc>
        <w:tc>
          <w:tcPr>
            <w:tcW w:w="94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848.5</w:t>
            </w:r>
          </w:p>
        </w:tc>
        <w:tc>
          <w:tcPr>
            <w:tcW w:w="94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41.9</w:t>
            </w:r>
          </w:p>
        </w:tc>
        <w:tc>
          <w:tcPr>
            <w:tcW w:w="9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43.2</w:t>
            </w:r>
          </w:p>
        </w:tc>
        <w:tc>
          <w:tcPr>
            <w:tcW w:w="94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242.1</w:t>
            </w:r>
          </w:p>
        </w:tc>
        <w:tc>
          <w:tcPr>
            <w:tcW w:w="94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447.7</w:t>
            </w:r>
          </w:p>
        </w:tc>
        <w:tc>
          <w:tcPr>
            <w:tcW w:w="94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798.5</w:t>
            </w:r>
          </w:p>
        </w:tc>
        <w:tc>
          <w:tcPr>
            <w:tcW w:w="9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2,421.9</w:t>
            </w:r>
          </w:p>
        </w:tc>
      </w:tr>
      <w:tr>
        <w:trPr>
          <w:trHeight w:val="135"/>
        </w:trPr>
        <w:tc>
          <w:tcPr>
            <w:tcW w:w="3920" w:type="dxa"/>
            <w:vAlign w:val="bottom"/>
            <w:tcBorders>
              <w:bottom w:val="single" w:sz="8" w:color="2360A6"/>
            </w:tcBorders>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960" w:type="dxa"/>
            <w:vAlign w:val="bottom"/>
            <w:tcBorders>
              <w:bottom w:val="single" w:sz="8" w:color="2360A6"/>
            </w:tcBorders>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960" w:type="dxa"/>
            <w:vAlign w:val="bottom"/>
            <w:tcBorders>
              <w:bottom w:val="single" w:sz="8" w:color="2360A6"/>
            </w:tcBorders>
          </w:tcPr>
          <w:p>
            <w:pPr>
              <w:spacing w:after="0"/>
              <w:rPr>
                <w:sz w:val="11"/>
                <w:szCs w:val="11"/>
                <w:color w:val="auto"/>
              </w:rPr>
            </w:pPr>
          </w:p>
        </w:tc>
      </w:tr>
      <w:tr>
        <w:trPr>
          <w:trHeight w:val="169"/>
        </w:trPr>
        <w:tc>
          <w:tcPr>
            <w:tcW w:w="3920" w:type="dxa"/>
            <w:vAlign w:val="bottom"/>
            <w:tcBorders>
              <w:left w:val="single" w:sz="8" w:color="2360A6"/>
              <w:right w:val="single" w:sz="8" w:color="2360A6"/>
            </w:tcBorders>
          </w:tcPr>
          <w:p>
            <w:pPr>
              <w:spacing w:after="0"/>
              <w:rPr>
                <w:sz w:val="14"/>
                <w:szCs w:val="14"/>
                <w:color w:val="auto"/>
              </w:rPr>
            </w:pPr>
          </w:p>
        </w:tc>
        <w:tc>
          <w:tcPr>
            <w:tcW w:w="940" w:type="dxa"/>
            <w:vAlign w:val="bottom"/>
            <w:tcBorders>
              <w:right w:val="single" w:sz="8" w:color="2360A6"/>
            </w:tcBorders>
          </w:tcPr>
          <w:p>
            <w:pPr>
              <w:spacing w:after="0"/>
              <w:rPr>
                <w:sz w:val="14"/>
                <w:szCs w:val="14"/>
                <w:color w:val="auto"/>
              </w:rPr>
            </w:pPr>
          </w:p>
        </w:tc>
        <w:tc>
          <w:tcPr>
            <w:tcW w:w="940" w:type="dxa"/>
            <w:vAlign w:val="bottom"/>
            <w:tcBorders>
              <w:right w:val="single" w:sz="8" w:color="2360A6"/>
            </w:tcBorders>
          </w:tcPr>
          <w:p>
            <w:pPr>
              <w:spacing w:after="0"/>
              <w:rPr>
                <w:sz w:val="14"/>
                <w:szCs w:val="14"/>
                <w:color w:val="auto"/>
              </w:rPr>
            </w:pPr>
          </w:p>
        </w:tc>
        <w:tc>
          <w:tcPr>
            <w:tcW w:w="960" w:type="dxa"/>
            <w:vAlign w:val="bottom"/>
            <w:tcBorders>
              <w:right w:val="single" w:sz="8" w:color="2360A6"/>
            </w:tcBorders>
          </w:tcPr>
          <w:p>
            <w:pPr>
              <w:spacing w:after="0"/>
              <w:rPr>
                <w:sz w:val="14"/>
                <w:szCs w:val="14"/>
                <w:color w:val="auto"/>
              </w:rPr>
            </w:pPr>
          </w:p>
        </w:tc>
        <w:tc>
          <w:tcPr>
            <w:tcW w:w="940" w:type="dxa"/>
            <w:vAlign w:val="bottom"/>
            <w:tcBorders>
              <w:right w:val="single" w:sz="8" w:color="2360A6"/>
            </w:tcBorders>
          </w:tcPr>
          <w:p>
            <w:pPr>
              <w:spacing w:after="0"/>
              <w:rPr>
                <w:sz w:val="14"/>
                <w:szCs w:val="14"/>
                <w:color w:val="auto"/>
              </w:rPr>
            </w:pPr>
          </w:p>
        </w:tc>
        <w:tc>
          <w:tcPr>
            <w:tcW w:w="940" w:type="dxa"/>
            <w:vAlign w:val="bottom"/>
            <w:tcBorders>
              <w:right w:val="single" w:sz="8" w:color="2360A6"/>
            </w:tcBorders>
          </w:tcPr>
          <w:p>
            <w:pPr>
              <w:spacing w:after="0"/>
              <w:rPr>
                <w:sz w:val="14"/>
                <w:szCs w:val="14"/>
                <w:color w:val="auto"/>
              </w:rPr>
            </w:pPr>
          </w:p>
        </w:tc>
        <w:tc>
          <w:tcPr>
            <w:tcW w:w="94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2021 and</w:t>
            </w:r>
          </w:p>
        </w:tc>
        <w:tc>
          <w:tcPr>
            <w:tcW w:w="960" w:type="dxa"/>
            <w:vAlign w:val="bottom"/>
            <w:tcBorders>
              <w:right w:val="single" w:sz="8" w:color="2360A6"/>
            </w:tcBorders>
          </w:tcPr>
          <w:p>
            <w:pPr>
              <w:spacing w:after="0"/>
              <w:rPr>
                <w:sz w:val="14"/>
                <w:szCs w:val="14"/>
                <w:color w:val="auto"/>
              </w:rPr>
            </w:pPr>
          </w:p>
        </w:tc>
      </w:tr>
      <w:tr>
        <w:trPr>
          <w:trHeight w:val="196"/>
        </w:trPr>
        <w:tc>
          <w:tcPr>
            <w:tcW w:w="3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2016</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2017</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2018</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2019</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2020</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beyond</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Total</w:t>
            </w:r>
          </w:p>
        </w:tc>
      </w:tr>
      <w:tr>
        <w:trPr>
          <w:trHeight w:val="210"/>
        </w:trPr>
        <w:tc>
          <w:tcPr>
            <w:tcW w:w="3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Fixed Rate</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916.1</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560.1</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10.5</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9.1</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207.7</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681.8</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2,385.3</w:t>
            </w:r>
          </w:p>
        </w:tc>
      </w:tr>
      <w:tr>
        <w:trPr>
          <w:trHeight w:val="210"/>
        </w:trPr>
        <w:tc>
          <w:tcPr>
            <w:tcW w:w="3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Floating Rate</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21.0</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13.8</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89.7</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13.8</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13.8</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25.7</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177.8</w:t>
            </w:r>
          </w:p>
        </w:tc>
      </w:tr>
      <w:tr>
        <w:trPr>
          <w:trHeight w:val="229"/>
        </w:trPr>
        <w:tc>
          <w:tcPr>
            <w:tcW w:w="3920" w:type="dxa"/>
            <w:vAlign w:val="bottom"/>
            <w:tcBorders>
              <w:left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FINANCIAL DEBTS AS OF</w:t>
            </w:r>
          </w:p>
        </w:tc>
        <w:tc>
          <w:tcPr>
            <w:tcW w:w="940" w:type="dxa"/>
            <w:vAlign w:val="bottom"/>
            <w:tcBorders>
              <w:right w:val="single" w:sz="8" w:color="2360A6"/>
            </w:tcBorders>
            <w:shd w:val="clear" w:color="auto" w:fill="D2DEEC"/>
          </w:tcPr>
          <w:p>
            <w:pPr>
              <w:spacing w:after="0"/>
              <w:rPr>
                <w:sz w:val="19"/>
                <w:szCs w:val="19"/>
                <w:color w:val="auto"/>
              </w:rPr>
            </w:pPr>
          </w:p>
        </w:tc>
        <w:tc>
          <w:tcPr>
            <w:tcW w:w="940" w:type="dxa"/>
            <w:vAlign w:val="bottom"/>
            <w:tcBorders>
              <w:right w:val="single" w:sz="8" w:color="2360A6"/>
            </w:tcBorders>
            <w:shd w:val="clear" w:color="auto" w:fill="D2DEEC"/>
          </w:tcPr>
          <w:p>
            <w:pPr>
              <w:spacing w:after="0"/>
              <w:rPr>
                <w:sz w:val="19"/>
                <w:szCs w:val="19"/>
                <w:color w:val="auto"/>
              </w:rPr>
            </w:pPr>
          </w:p>
        </w:tc>
        <w:tc>
          <w:tcPr>
            <w:tcW w:w="960" w:type="dxa"/>
            <w:vAlign w:val="bottom"/>
            <w:tcBorders>
              <w:right w:val="single" w:sz="8" w:color="2360A6"/>
            </w:tcBorders>
            <w:shd w:val="clear" w:color="auto" w:fill="D2DEEC"/>
          </w:tcPr>
          <w:p>
            <w:pPr>
              <w:spacing w:after="0"/>
              <w:rPr>
                <w:sz w:val="19"/>
                <w:szCs w:val="19"/>
                <w:color w:val="auto"/>
              </w:rPr>
            </w:pPr>
          </w:p>
        </w:tc>
        <w:tc>
          <w:tcPr>
            <w:tcW w:w="940" w:type="dxa"/>
            <w:vAlign w:val="bottom"/>
            <w:tcBorders>
              <w:right w:val="single" w:sz="8" w:color="2360A6"/>
            </w:tcBorders>
            <w:shd w:val="clear" w:color="auto" w:fill="D2DEEC"/>
          </w:tcPr>
          <w:p>
            <w:pPr>
              <w:spacing w:after="0"/>
              <w:rPr>
                <w:sz w:val="19"/>
                <w:szCs w:val="19"/>
                <w:color w:val="auto"/>
              </w:rPr>
            </w:pPr>
          </w:p>
        </w:tc>
        <w:tc>
          <w:tcPr>
            <w:tcW w:w="940" w:type="dxa"/>
            <w:vAlign w:val="bottom"/>
            <w:tcBorders>
              <w:right w:val="single" w:sz="8" w:color="2360A6"/>
            </w:tcBorders>
            <w:shd w:val="clear" w:color="auto" w:fill="D2DEEC"/>
          </w:tcPr>
          <w:p>
            <w:pPr>
              <w:spacing w:after="0"/>
              <w:rPr>
                <w:sz w:val="19"/>
                <w:szCs w:val="19"/>
                <w:color w:val="auto"/>
              </w:rPr>
            </w:pPr>
          </w:p>
        </w:tc>
        <w:tc>
          <w:tcPr>
            <w:tcW w:w="940" w:type="dxa"/>
            <w:vAlign w:val="bottom"/>
            <w:tcBorders>
              <w:right w:val="single" w:sz="8" w:color="2360A6"/>
            </w:tcBorders>
            <w:shd w:val="clear" w:color="auto" w:fill="D2DEEC"/>
          </w:tcPr>
          <w:p>
            <w:pPr>
              <w:spacing w:after="0"/>
              <w:rPr>
                <w:sz w:val="19"/>
                <w:szCs w:val="19"/>
                <w:color w:val="auto"/>
              </w:rPr>
            </w:pPr>
          </w:p>
        </w:tc>
        <w:tc>
          <w:tcPr>
            <w:tcW w:w="960" w:type="dxa"/>
            <w:vAlign w:val="bottom"/>
            <w:tcBorders>
              <w:right w:val="single" w:sz="8" w:color="2360A6"/>
            </w:tcBorders>
            <w:shd w:val="clear" w:color="auto" w:fill="D2DEEC"/>
          </w:tcPr>
          <w:p>
            <w:pPr>
              <w:spacing w:after="0"/>
              <w:rPr>
                <w:sz w:val="19"/>
                <w:szCs w:val="19"/>
                <w:color w:val="auto"/>
              </w:rPr>
            </w:pPr>
          </w:p>
        </w:tc>
      </w:tr>
      <w:tr>
        <w:trPr>
          <w:trHeight w:val="196"/>
        </w:trPr>
        <w:tc>
          <w:tcPr>
            <w:tcW w:w="392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DECEMBER 31, 2015</w:t>
            </w:r>
          </w:p>
        </w:tc>
        <w:tc>
          <w:tcPr>
            <w:tcW w:w="94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937.1</w:t>
            </w:r>
          </w:p>
        </w:tc>
        <w:tc>
          <w:tcPr>
            <w:tcW w:w="94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573.9</w:t>
            </w:r>
          </w:p>
        </w:tc>
        <w:tc>
          <w:tcPr>
            <w:tcW w:w="9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100.2</w:t>
            </w:r>
          </w:p>
        </w:tc>
        <w:tc>
          <w:tcPr>
            <w:tcW w:w="94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22.9</w:t>
            </w:r>
          </w:p>
        </w:tc>
        <w:tc>
          <w:tcPr>
            <w:tcW w:w="94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221.5</w:t>
            </w:r>
          </w:p>
        </w:tc>
        <w:tc>
          <w:tcPr>
            <w:tcW w:w="94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707.5</w:t>
            </w:r>
          </w:p>
        </w:tc>
        <w:tc>
          <w:tcPr>
            <w:tcW w:w="9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2,563.1</w:t>
            </w:r>
          </w:p>
        </w:tc>
      </w:tr>
      <w:tr>
        <w:trPr>
          <w:trHeight w:val="135"/>
        </w:trPr>
        <w:tc>
          <w:tcPr>
            <w:tcW w:w="3920" w:type="dxa"/>
            <w:vAlign w:val="bottom"/>
            <w:tcBorders>
              <w:bottom w:val="single" w:sz="8" w:color="2360A6"/>
            </w:tcBorders>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960" w:type="dxa"/>
            <w:vAlign w:val="bottom"/>
            <w:tcBorders>
              <w:bottom w:val="single" w:sz="8" w:color="2360A6"/>
            </w:tcBorders>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960" w:type="dxa"/>
            <w:vAlign w:val="bottom"/>
            <w:tcBorders>
              <w:bottom w:val="single" w:sz="8" w:color="2360A6"/>
            </w:tcBorders>
          </w:tcPr>
          <w:p>
            <w:pPr>
              <w:spacing w:after="0"/>
              <w:rPr>
                <w:sz w:val="11"/>
                <w:szCs w:val="11"/>
                <w:color w:val="auto"/>
              </w:rPr>
            </w:pPr>
          </w:p>
        </w:tc>
      </w:tr>
      <w:tr>
        <w:trPr>
          <w:trHeight w:val="169"/>
        </w:trPr>
        <w:tc>
          <w:tcPr>
            <w:tcW w:w="3920" w:type="dxa"/>
            <w:vAlign w:val="bottom"/>
            <w:tcBorders>
              <w:left w:val="single" w:sz="8" w:color="2360A6"/>
              <w:right w:val="single" w:sz="8" w:color="2360A6"/>
            </w:tcBorders>
          </w:tcPr>
          <w:p>
            <w:pPr>
              <w:spacing w:after="0"/>
              <w:rPr>
                <w:sz w:val="14"/>
                <w:szCs w:val="14"/>
                <w:color w:val="auto"/>
              </w:rPr>
            </w:pPr>
          </w:p>
        </w:tc>
        <w:tc>
          <w:tcPr>
            <w:tcW w:w="940" w:type="dxa"/>
            <w:vAlign w:val="bottom"/>
            <w:tcBorders>
              <w:right w:val="single" w:sz="8" w:color="2360A6"/>
            </w:tcBorders>
          </w:tcPr>
          <w:p>
            <w:pPr>
              <w:spacing w:after="0"/>
              <w:rPr>
                <w:sz w:val="14"/>
                <w:szCs w:val="14"/>
                <w:color w:val="auto"/>
              </w:rPr>
            </w:pPr>
          </w:p>
        </w:tc>
        <w:tc>
          <w:tcPr>
            <w:tcW w:w="940" w:type="dxa"/>
            <w:vAlign w:val="bottom"/>
            <w:tcBorders>
              <w:right w:val="single" w:sz="8" w:color="2360A6"/>
            </w:tcBorders>
          </w:tcPr>
          <w:p>
            <w:pPr>
              <w:spacing w:after="0"/>
              <w:rPr>
                <w:sz w:val="14"/>
                <w:szCs w:val="14"/>
                <w:color w:val="auto"/>
              </w:rPr>
            </w:pPr>
          </w:p>
        </w:tc>
        <w:tc>
          <w:tcPr>
            <w:tcW w:w="960" w:type="dxa"/>
            <w:vAlign w:val="bottom"/>
            <w:tcBorders>
              <w:right w:val="single" w:sz="8" w:color="2360A6"/>
            </w:tcBorders>
          </w:tcPr>
          <w:p>
            <w:pPr>
              <w:spacing w:after="0"/>
              <w:rPr>
                <w:sz w:val="14"/>
                <w:szCs w:val="14"/>
                <w:color w:val="auto"/>
              </w:rPr>
            </w:pPr>
          </w:p>
        </w:tc>
        <w:tc>
          <w:tcPr>
            <w:tcW w:w="940" w:type="dxa"/>
            <w:vAlign w:val="bottom"/>
            <w:tcBorders>
              <w:right w:val="single" w:sz="8" w:color="2360A6"/>
            </w:tcBorders>
          </w:tcPr>
          <w:p>
            <w:pPr>
              <w:spacing w:after="0"/>
              <w:rPr>
                <w:sz w:val="14"/>
                <w:szCs w:val="14"/>
                <w:color w:val="auto"/>
              </w:rPr>
            </w:pPr>
          </w:p>
        </w:tc>
        <w:tc>
          <w:tcPr>
            <w:tcW w:w="940" w:type="dxa"/>
            <w:vAlign w:val="bottom"/>
            <w:tcBorders>
              <w:right w:val="single" w:sz="8" w:color="2360A6"/>
            </w:tcBorders>
          </w:tcPr>
          <w:p>
            <w:pPr>
              <w:spacing w:after="0"/>
              <w:rPr>
                <w:sz w:val="14"/>
                <w:szCs w:val="14"/>
                <w:color w:val="auto"/>
              </w:rPr>
            </w:pPr>
          </w:p>
        </w:tc>
        <w:tc>
          <w:tcPr>
            <w:tcW w:w="94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2020 and</w:t>
            </w:r>
          </w:p>
        </w:tc>
        <w:tc>
          <w:tcPr>
            <w:tcW w:w="960" w:type="dxa"/>
            <w:vAlign w:val="bottom"/>
            <w:tcBorders>
              <w:right w:val="single" w:sz="8" w:color="2360A6"/>
            </w:tcBorders>
          </w:tcPr>
          <w:p>
            <w:pPr>
              <w:spacing w:after="0"/>
              <w:rPr>
                <w:sz w:val="14"/>
                <w:szCs w:val="14"/>
                <w:color w:val="auto"/>
              </w:rPr>
            </w:pPr>
          </w:p>
        </w:tc>
      </w:tr>
      <w:tr>
        <w:trPr>
          <w:trHeight w:val="196"/>
        </w:trPr>
        <w:tc>
          <w:tcPr>
            <w:tcW w:w="3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auto"/>
              </w:rPr>
              <w:t>In millions of Euro</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2015</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2016</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2017</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2018</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2019</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beyond</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Total</w:t>
            </w:r>
          </w:p>
        </w:tc>
      </w:tr>
      <w:tr>
        <w:trPr>
          <w:trHeight w:val="210"/>
        </w:trPr>
        <w:tc>
          <w:tcPr>
            <w:tcW w:w="3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Fixed Rate</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243.8</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718.9</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562.9</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5.4</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4.1</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884.6</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2,419.7</w:t>
            </w:r>
          </w:p>
        </w:tc>
      </w:tr>
      <w:tr>
        <w:trPr>
          <w:trHeight w:val="210"/>
        </w:trPr>
        <w:tc>
          <w:tcPr>
            <w:tcW w:w="3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Floating Rate</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12.6</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11.4</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11.4</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112.3</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11.4</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34.2</w:t>
            </w:r>
          </w:p>
        </w:tc>
        <w:tc>
          <w:tcPr>
            <w:tcW w:w="9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193.3</w:t>
            </w:r>
          </w:p>
        </w:tc>
      </w:tr>
      <w:tr>
        <w:trPr>
          <w:trHeight w:val="229"/>
        </w:trPr>
        <w:tc>
          <w:tcPr>
            <w:tcW w:w="3920" w:type="dxa"/>
            <w:vAlign w:val="bottom"/>
            <w:tcBorders>
              <w:left w:val="single" w:sz="8" w:color="2360A6"/>
              <w:right w:val="single" w:sz="8" w:color="2360A6"/>
            </w:tcBorders>
            <w:shd w:val="clear" w:color="auto" w:fill="D4DAEB"/>
          </w:tcPr>
          <w:p>
            <w:pPr>
              <w:ind w:left="40"/>
              <w:spacing w:after="0"/>
              <w:rPr>
                <w:sz w:val="20"/>
                <w:szCs w:val="20"/>
                <w:color w:val="auto"/>
              </w:rPr>
            </w:pPr>
            <w:r>
              <w:rPr>
                <w:rFonts w:ascii="Arial" w:cs="Arial" w:eastAsia="Arial" w:hAnsi="Arial"/>
                <w:sz w:val="14"/>
                <w:szCs w:val="14"/>
                <w:b w:val="1"/>
                <w:bCs w:val="1"/>
                <w:color w:val="2360A6"/>
              </w:rPr>
              <w:t>TOTAL FINANCIAL DEBTS AS OF</w:t>
            </w:r>
          </w:p>
        </w:tc>
        <w:tc>
          <w:tcPr>
            <w:tcW w:w="940" w:type="dxa"/>
            <w:vAlign w:val="bottom"/>
            <w:tcBorders>
              <w:right w:val="single" w:sz="8" w:color="2360A6"/>
            </w:tcBorders>
            <w:shd w:val="clear" w:color="auto" w:fill="D4DAEB"/>
          </w:tcPr>
          <w:p>
            <w:pPr>
              <w:spacing w:after="0"/>
              <w:rPr>
                <w:sz w:val="19"/>
                <w:szCs w:val="19"/>
                <w:color w:val="auto"/>
              </w:rPr>
            </w:pPr>
          </w:p>
        </w:tc>
        <w:tc>
          <w:tcPr>
            <w:tcW w:w="940" w:type="dxa"/>
            <w:vAlign w:val="bottom"/>
            <w:tcBorders>
              <w:right w:val="single" w:sz="8" w:color="2360A6"/>
            </w:tcBorders>
            <w:shd w:val="clear" w:color="auto" w:fill="D4DAEB"/>
          </w:tcPr>
          <w:p>
            <w:pPr>
              <w:spacing w:after="0"/>
              <w:rPr>
                <w:sz w:val="19"/>
                <w:szCs w:val="19"/>
                <w:color w:val="auto"/>
              </w:rPr>
            </w:pPr>
          </w:p>
        </w:tc>
        <w:tc>
          <w:tcPr>
            <w:tcW w:w="960" w:type="dxa"/>
            <w:vAlign w:val="bottom"/>
            <w:tcBorders>
              <w:right w:val="single" w:sz="8" w:color="2360A6"/>
            </w:tcBorders>
            <w:shd w:val="clear" w:color="auto" w:fill="D4DAEB"/>
          </w:tcPr>
          <w:p>
            <w:pPr>
              <w:spacing w:after="0"/>
              <w:rPr>
                <w:sz w:val="19"/>
                <w:szCs w:val="19"/>
                <w:color w:val="auto"/>
              </w:rPr>
            </w:pPr>
          </w:p>
        </w:tc>
        <w:tc>
          <w:tcPr>
            <w:tcW w:w="940" w:type="dxa"/>
            <w:vAlign w:val="bottom"/>
            <w:tcBorders>
              <w:right w:val="single" w:sz="8" w:color="2360A6"/>
            </w:tcBorders>
            <w:shd w:val="clear" w:color="auto" w:fill="D4DAEB"/>
          </w:tcPr>
          <w:p>
            <w:pPr>
              <w:spacing w:after="0"/>
              <w:rPr>
                <w:sz w:val="19"/>
                <w:szCs w:val="19"/>
                <w:color w:val="auto"/>
              </w:rPr>
            </w:pPr>
          </w:p>
        </w:tc>
        <w:tc>
          <w:tcPr>
            <w:tcW w:w="940" w:type="dxa"/>
            <w:vAlign w:val="bottom"/>
            <w:tcBorders>
              <w:right w:val="single" w:sz="8" w:color="2360A6"/>
            </w:tcBorders>
            <w:shd w:val="clear" w:color="auto" w:fill="D4DAEB"/>
          </w:tcPr>
          <w:p>
            <w:pPr>
              <w:spacing w:after="0"/>
              <w:rPr>
                <w:sz w:val="19"/>
                <w:szCs w:val="19"/>
                <w:color w:val="auto"/>
              </w:rPr>
            </w:pPr>
          </w:p>
        </w:tc>
        <w:tc>
          <w:tcPr>
            <w:tcW w:w="940" w:type="dxa"/>
            <w:vAlign w:val="bottom"/>
            <w:tcBorders>
              <w:right w:val="single" w:sz="8" w:color="2360A6"/>
            </w:tcBorders>
            <w:shd w:val="clear" w:color="auto" w:fill="D4DAEB"/>
          </w:tcPr>
          <w:p>
            <w:pPr>
              <w:spacing w:after="0"/>
              <w:rPr>
                <w:sz w:val="19"/>
                <w:szCs w:val="19"/>
                <w:color w:val="auto"/>
              </w:rPr>
            </w:pPr>
          </w:p>
        </w:tc>
        <w:tc>
          <w:tcPr>
            <w:tcW w:w="960" w:type="dxa"/>
            <w:vAlign w:val="bottom"/>
            <w:tcBorders>
              <w:right w:val="single" w:sz="8" w:color="2360A6"/>
            </w:tcBorders>
            <w:shd w:val="clear" w:color="auto" w:fill="D4DAEB"/>
          </w:tcPr>
          <w:p>
            <w:pPr>
              <w:spacing w:after="0"/>
              <w:rPr>
                <w:sz w:val="19"/>
                <w:szCs w:val="19"/>
                <w:color w:val="auto"/>
              </w:rPr>
            </w:pPr>
          </w:p>
        </w:tc>
      </w:tr>
      <w:tr>
        <w:trPr>
          <w:trHeight w:val="196"/>
        </w:trPr>
        <w:tc>
          <w:tcPr>
            <w:tcW w:w="3920" w:type="dxa"/>
            <w:vAlign w:val="bottom"/>
            <w:tcBorders>
              <w:left w:val="single" w:sz="8" w:color="2360A6"/>
              <w:bottom w:val="single" w:sz="8" w:color="2360A6"/>
              <w:right w:val="single" w:sz="8" w:color="2360A6"/>
            </w:tcBorders>
            <w:shd w:val="clear" w:color="auto" w:fill="D4DAEB"/>
          </w:tcPr>
          <w:p>
            <w:pPr>
              <w:ind w:left="40"/>
              <w:spacing w:after="0"/>
              <w:rPr>
                <w:sz w:val="20"/>
                <w:szCs w:val="20"/>
                <w:color w:val="auto"/>
              </w:rPr>
            </w:pPr>
            <w:r>
              <w:rPr>
                <w:rFonts w:ascii="Arial" w:cs="Arial" w:eastAsia="Arial" w:hAnsi="Arial"/>
                <w:sz w:val="14"/>
                <w:szCs w:val="14"/>
                <w:b w:val="1"/>
                <w:bCs w:val="1"/>
                <w:color w:val="2360A6"/>
              </w:rPr>
              <w:t>DECEMBER 31, 2014</w:t>
            </w:r>
          </w:p>
        </w:tc>
        <w:tc>
          <w:tcPr>
            <w:tcW w:w="940" w:type="dxa"/>
            <w:vAlign w:val="bottom"/>
            <w:tcBorders>
              <w:bottom w:val="single" w:sz="8" w:color="2360A6"/>
              <w:right w:val="single" w:sz="8" w:color="2360A6"/>
            </w:tcBorders>
            <w:shd w:val="clear" w:color="auto" w:fill="D4DAEB"/>
          </w:tcPr>
          <w:p>
            <w:pPr>
              <w:jc w:val="right"/>
              <w:spacing w:after="0"/>
              <w:rPr>
                <w:sz w:val="20"/>
                <w:szCs w:val="20"/>
                <w:color w:val="auto"/>
              </w:rPr>
            </w:pPr>
            <w:r>
              <w:rPr>
                <w:rFonts w:ascii="Arial" w:cs="Arial" w:eastAsia="Arial" w:hAnsi="Arial"/>
                <w:sz w:val="14"/>
                <w:szCs w:val="14"/>
                <w:b w:val="1"/>
                <w:bCs w:val="1"/>
                <w:color w:val="2360A6"/>
              </w:rPr>
              <w:t>256.4</w:t>
            </w:r>
          </w:p>
        </w:tc>
        <w:tc>
          <w:tcPr>
            <w:tcW w:w="940" w:type="dxa"/>
            <w:vAlign w:val="bottom"/>
            <w:tcBorders>
              <w:bottom w:val="single" w:sz="8" w:color="2360A6"/>
              <w:right w:val="single" w:sz="8" w:color="2360A6"/>
            </w:tcBorders>
            <w:shd w:val="clear" w:color="auto" w:fill="D4DAEB"/>
          </w:tcPr>
          <w:p>
            <w:pPr>
              <w:jc w:val="right"/>
              <w:spacing w:after="0"/>
              <w:rPr>
                <w:sz w:val="20"/>
                <w:szCs w:val="20"/>
                <w:color w:val="auto"/>
              </w:rPr>
            </w:pPr>
            <w:r>
              <w:rPr>
                <w:rFonts w:ascii="Arial" w:cs="Arial" w:eastAsia="Arial" w:hAnsi="Arial"/>
                <w:sz w:val="14"/>
                <w:szCs w:val="14"/>
                <w:b w:val="1"/>
                <w:bCs w:val="1"/>
                <w:color w:val="2360A6"/>
              </w:rPr>
              <w:t>730.4</w:t>
            </w:r>
          </w:p>
        </w:tc>
        <w:tc>
          <w:tcPr>
            <w:tcW w:w="960" w:type="dxa"/>
            <w:vAlign w:val="bottom"/>
            <w:tcBorders>
              <w:bottom w:val="single" w:sz="8" w:color="2360A6"/>
              <w:right w:val="single" w:sz="8" w:color="2360A6"/>
            </w:tcBorders>
            <w:shd w:val="clear" w:color="auto" w:fill="D4DAEB"/>
          </w:tcPr>
          <w:p>
            <w:pPr>
              <w:jc w:val="right"/>
              <w:spacing w:after="0"/>
              <w:rPr>
                <w:sz w:val="20"/>
                <w:szCs w:val="20"/>
                <w:color w:val="auto"/>
              </w:rPr>
            </w:pPr>
            <w:r>
              <w:rPr>
                <w:rFonts w:ascii="Arial" w:cs="Arial" w:eastAsia="Arial" w:hAnsi="Arial"/>
                <w:sz w:val="14"/>
                <w:szCs w:val="14"/>
                <w:b w:val="1"/>
                <w:bCs w:val="1"/>
                <w:color w:val="2360A6"/>
              </w:rPr>
              <w:t>574.3</w:t>
            </w:r>
          </w:p>
        </w:tc>
        <w:tc>
          <w:tcPr>
            <w:tcW w:w="940" w:type="dxa"/>
            <w:vAlign w:val="bottom"/>
            <w:tcBorders>
              <w:bottom w:val="single" w:sz="8" w:color="2360A6"/>
              <w:right w:val="single" w:sz="8" w:color="2360A6"/>
            </w:tcBorders>
            <w:shd w:val="clear" w:color="auto" w:fill="D4DAEB"/>
          </w:tcPr>
          <w:p>
            <w:pPr>
              <w:jc w:val="right"/>
              <w:spacing w:after="0"/>
              <w:rPr>
                <w:sz w:val="20"/>
                <w:szCs w:val="20"/>
                <w:color w:val="auto"/>
              </w:rPr>
            </w:pPr>
            <w:r>
              <w:rPr>
                <w:rFonts w:ascii="Arial" w:cs="Arial" w:eastAsia="Arial" w:hAnsi="Arial"/>
                <w:sz w:val="14"/>
                <w:szCs w:val="14"/>
                <w:b w:val="1"/>
                <w:bCs w:val="1"/>
                <w:color w:val="2360A6"/>
              </w:rPr>
              <w:t>117.7</w:t>
            </w:r>
          </w:p>
        </w:tc>
        <w:tc>
          <w:tcPr>
            <w:tcW w:w="940" w:type="dxa"/>
            <w:vAlign w:val="bottom"/>
            <w:tcBorders>
              <w:bottom w:val="single" w:sz="8" w:color="2360A6"/>
              <w:right w:val="single" w:sz="8" w:color="2360A6"/>
            </w:tcBorders>
            <w:shd w:val="clear" w:color="auto" w:fill="D4DAEB"/>
          </w:tcPr>
          <w:p>
            <w:pPr>
              <w:jc w:val="right"/>
              <w:spacing w:after="0"/>
              <w:rPr>
                <w:sz w:val="20"/>
                <w:szCs w:val="20"/>
                <w:color w:val="auto"/>
              </w:rPr>
            </w:pPr>
            <w:r>
              <w:rPr>
                <w:rFonts w:ascii="Arial" w:cs="Arial" w:eastAsia="Arial" w:hAnsi="Arial"/>
                <w:sz w:val="14"/>
                <w:szCs w:val="14"/>
                <w:b w:val="1"/>
                <w:bCs w:val="1"/>
                <w:color w:val="2360A6"/>
              </w:rPr>
              <w:t>15.5</w:t>
            </w:r>
          </w:p>
        </w:tc>
        <w:tc>
          <w:tcPr>
            <w:tcW w:w="940" w:type="dxa"/>
            <w:vAlign w:val="bottom"/>
            <w:tcBorders>
              <w:bottom w:val="single" w:sz="8" w:color="2360A6"/>
              <w:right w:val="single" w:sz="8" w:color="2360A6"/>
            </w:tcBorders>
            <w:shd w:val="clear" w:color="auto" w:fill="D4DAEB"/>
          </w:tcPr>
          <w:p>
            <w:pPr>
              <w:jc w:val="right"/>
              <w:spacing w:after="0"/>
              <w:rPr>
                <w:sz w:val="20"/>
                <w:szCs w:val="20"/>
                <w:color w:val="auto"/>
              </w:rPr>
            </w:pPr>
            <w:r>
              <w:rPr>
                <w:rFonts w:ascii="Arial" w:cs="Arial" w:eastAsia="Arial" w:hAnsi="Arial"/>
                <w:sz w:val="14"/>
                <w:szCs w:val="14"/>
                <w:b w:val="1"/>
                <w:bCs w:val="1"/>
                <w:color w:val="2360A6"/>
              </w:rPr>
              <w:t>918.8</w:t>
            </w:r>
          </w:p>
        </w:tc>
        <w:tc>
          <w:tcPr>
            <w:tcW w:w="960" w:type="dxa"/>
            <w:vAlign w:val="bottom"/>
            <w:tcBorders>
              <w:bottom w:val="single" w:sz="8" w:color="2360A6"/>
              <w:right w:val="single" w:sz="8" w:color="2360A6"/>
            </w:tcBorders>
            <w:shd w:val="clear" w:color="auto" w:fill="D4DAEB"/>
          </w:tcPr>
          <w:p>
            <w:pPr>
              <w:jc w:val="right"/>
              <w:spacing w:after="0"/>
              <w:rPr>
                <w:sz w:val="20"/>
                <w:szCs w:val="20"/>
                <w:color w:val="auto"/>
              </w:rPr>
            </w:pPr>
            <w:r>
              <w:rPr>
                <w:rFonts w:ascii="Arial" w:cs="Arial" w:eastAsia="Arial" w:hAnsi="Arial"/>
                <w:sz w:val="14"/>
                <w:szCs w:val="14"/>
                <w:b w:val="1"/>
                <w:bCs w:val="1"/>
                <w:color w:val="2360A6"/>
              </w:rPr>
              <w:t>2,613.0</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(F) Secured Financial Debts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Secured financial debts are as follows:</w:t>
      </w:r>
    </w:p>
    <w:p>
      <w:pPr>
        <w:spacing w:after="0" w:line="118" w:lineRule="exact"/>
        <w:rPr>
          <w:sz w:val="20"/>
          <w:szCs w:val="20"/>
          <w:color w:val="auto"/>
        </w:rPr>
      </w:pPr>
    </w:p>
    <w:tbl>
      <w:tblPr>
        <w:tblLayout w:type="fixed"/>
        <w:tblInd w:w="230" w:type="dxa"/>
        <w:tblCellMar>
          <w:top w:w="0" w:type="dxa"/>
          <w:left w:w="0" w:type="dxa"/>
          <w:bottom w:w="0" w:type="dxa"/>
          <w:right w:w="0" w:type="dxa"/>
        </w:tblCellMar>
      </w:tblPr>
      <w:tr>
        <w:trPr>
          <w:trHeight w:val="224"/>
        </w:trPr>
        <w:tc>
          <w:tcPr>
            <w:tcW w:w="1960" w:type="dxa"/>
            <w:vAlign w:val="bottom"/>
            <w:tcBorders>
              <w:top w:val="single" w:sz="8" w:color="2360A6"/>
              <w:left w:val="single" w:sz="8" w:color="2360A6"/>
              <w:right w:val="single" w:sz="8" w:color="2360A6"/>
            </w:tcBorders>
          </w:tcPr>
          <w:p>
            <w:pPr>
              <w:spacing w:after="0"/>
              <w:rPr>
                <w:sz w:val="19"/>
                <w:szCs w:val="19"/>
                <w:color w:val="auto"/>
              </w:rPr>
            </w:pPr>
          </w:p>
        </w:tc>
        <w:tc>
          <w:tcPr>
            <w:tcW w:w="2640" w:type="dxa"/>
            <w:vAlign w:val="bottom"/>
            <w:tcBorders>
              <w:top w:val="single" w:sz="8" w:color="2360A6"/>
              <w:bottom w:val="single" w:sz="8" w:color="2360A6"/>
              <w:right w:val="single" w:sz="8" w:color="2360A6"/>
            </w:tcBorders>
            <w:gridSpan w:val="3"/>
            <w:shd w:val="clear" w:color="auto" w:fill="EDEDEE"/>
          </w:tcPr>
          <w:p>
            <w:pPr>
              <w:jc w:val="right"/>
              <w:ind w:right="410"/>
              <w:spacing w:after="0"/>
              <w:rPr>
                <w:sz w:val="20"/>
                <w:szCs w:val="20"/>
                <w:color w:val="auto"/>
              </w:rPr>
            </w:pPr>
            <w:r>
              <w:rPr>
                <w:rFonts w:ascii="Arial" w:cs="Arial" w:eastAsia="Arial" w:hAnsi="Arial"/>
                <w:sz w:val="14"/>
                <w:szCs w:val="14"/>
                <w:b w:val="1"/>
                <w:bCs w:val="1"/>
                <w:color w:val="2360A6"/>
              </w:rPr>
              <w:t>As of December 31, 2016</w:t>
            </w:r>
          </w:p>
        </w:tc>
        <w:tc>
          <w:tcPr>
            <w:tcW w:w="2700" w:type="dxa"/>
            <w:vAlign w:val="bottom"/>
            <w:tcBorders>
              <w:top w:val="single" w:sz="8" w:color="2360A6"/>
              <w:bottom w:val="single" w:sz="8" w:color="2360A6"/>
              <w:right w:val="single" w:sz="8" w:color="2360A6"/>
            </w:tcBorders>
            <w:gridSpan w:val="3"/>
          </w:tcPr>
          <w:p>
            <w:pPr>
              <w:jc w:val="right"/>
              <w:ind w:right="431"/>
              <w:spacing w:after="0"/>
              <w:rPr>
                <w:sz w:val="20"/>
                <w:szCs w:val="20"/>
                <w:color w:val="auto"/>
              </w:rPr>
            </w:pPr>
            <w:r>
              <w:rPr>
                <w:rFonts w:ascii="Arial" w:cs="Arial" w:eastAsia="Arial" w:hAnsi="Arial"/>
                <w:sz w:val="14"/>
                <w:szCs w:val="14"/>
                <w:b w:val="1"/>
                <w:bCs w:val="1"/>
                <w:color w:val="2360A6"/>
              </w:rPr>
              <w:t>As of December 31, 2015</w:t>
            </w:r>
          </w:p>
        </w:tc>
        <w:tc>
          <w:tcPr>
            <w:tcW w:w="2800" w:type="dxa"/>
            <w:vAlign w:val="bottom"/>
            <w:tcBorders>
              <w:top w:val="single" w:sz="8" w:color="2360A6"/>
              <w:bottom w:val="single" w:sz="8" w:color="2360A6"/>
            </w:tcBorders>
            <w:gridSpan w:val="3"/>
          </w:tcPr>
          <w:p>
            <w:pPr>
              <w:ind w:left="940"/>
              <w:spacing w:after="0"/>
              <w:rPr>
                <w:sz w:val="20"/>
                <w:szCs w:val="20"/>
                <w:color w:val="auto"/>
              </w:rPr>
            </w:pPr>
            <w:r>
              <w:rPr>
                <w:rFonts w:ascii="Arial" w:cs="Arial" w:eastAsia="Arial" w:hAnsi="Arial"/>
                <w:sz w:val="14"/>
                <w:szCs w:val="14"/>
                <w:b w:val="1"/>
                <w:bCs w:val="1"/>
                <w:color w:val="2360A6"/>
              </w:rPr>
              <w:t>As of December 31, 2014</w:t>
            </w:r>
          </w:p>
        </w:tc>
        <w:tc>
          <w:tcPr>
            <w:tcW w:w="760" w:type="dxa"/>
            <w:vAlign w:val="bottom"/>
            <w:tcBorders>
              <w:top w:val="single" w:sz="8" w:color="2360A6"/>
              <w:bottom w:val="single" w:sz="8" w:color="2360A6"/>
              <w:right w:val="single" w:sz="8" w:color="2360A6"/>
            </w:tcBorders>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960" w:type="dxa"/>
            <w:vAlign w:val="bottom"/>
            <w:tcBorders>
              <w:left w:val="single" w:sz="8" w:color="2360A6"/>
              <w:right w:val="single" w:sz="8" w:color="2360A6"/>
            </w:tcBorders>
            <w:vMerge w:val="restart"/>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900" w:type="dxa"/>
            <w:vAlign w:val="bottom"/>
            <w:tcBorders>
              <w:right w:val="single" w:sz="8" w:color="2360A6"/>
            </w:tcBorders>
            <w:shd w:val="clear" w:color="auto" w:fill="EDEDEE"/>
          </w:tcPr>
          <w:p>
            <w:pPr>
              <w:spacing w:after="0"/>
              <w:rPr>
                <w:sz w:val="11"/>
                <w:szCs w:val="11"/>
                <w:color w:val="auto"/>
              </w:rPr>
            </w:pPr>
          </w:p>
        </w:tc>
        <w:tc>
          <w:tcPr>
            <w:tcW w:w="980" w:type="dxa"/>
            <w:vAlign w:val="bottom"/>
            <w:tcBorders>
              <w:right w:val="single" w:sz="8" w:color="2360A6"/>
            </w:tcBorders>
            <w:shd w:val="clear" w:color="auto" w:fill="EDEDEE"/>
          </w:tcPr>
          <w:p>
            <w:pPr>
              <w:jc w:val="right"/>
              <w:spacing w:after="0"/>
              <w:rPr>
                <w:sz w:val="20"/>
                <w:szCs w:val="20"/>
                <w:color w:val="auto"/>
              </w:rPr>
            </w:pPr>
            <w:r>
              <w:rPr>
                <w:rFonts w:ascii="Arial" w:cs="Arial" w:eastAsia="Arial" w:hAnsi="Arial"/>
                <w:sz w:val="11"/>
                <w:szCs w:val="11"/>
                <w:b w:val="1"/>
                <w:bCs w:val="1"/>
                <w:color w:val="2360A6"/>
              </w:rPr>
              <w:t>Without</w:t>
            </w:r>
          </w:p>
        </w:tc>
        <w:tc>
          <w:tcPr>
            <w:tcW w:w="760" w:type="dxa"/>
            <w:vAlign w:val="bottom"/>
            <w:tcBorders>
              <w:right w:val="single" w:sz="8" w:color="2360A6"/>
            </w:tcBorders>
            <w:vMerge w:val="restart"/>
            <w:shd w:val="clear" w:color="auto" w:fill="2360A6"/>
          </w:tcPr>
          <w:p>
            <w:pPr>
              <w:jc w:val="right"/>
              <w:spacing w:after="0"/>
              <w:rPr>
                <w:sz w:val="20"/>
                <w:szCs w:val="20"/>
                <w:color w:val="auto"/>
              </w:rPr>
            </w:pPr>
            <w:r>
              <w:rPr>
                <w:rFonts w:ascii="Arial" w:cs="Arial" w:eastAsia="Arial" w:hAnsi="Arial"/>
                <w:sz w:val="13"/>
                <w:szCs w:val="13"/>
                <w:b w:val="1"/>
                <w:bCs w:val="1"/>
                <w:color w:val="FFFFFF"/>
              </w:rPr>
              <w:t>Total</w:t>
            </w:r>
          </w:p>
        </w:tc>
        <w:tc>
          <w:tcPr>
            <w:tcW w:w="860" w:type="dxa"/>
            <w:vAlign w:val="bottom"/>
            <w:tcBorders>
              <w:right w:val="single" w:sz="8" w:color="2360A6"/>
            </w:tcBorders>
          </w:tcPr>
          <w:p>
            <w:pPr>
              <w:spacing w:after="0"/>
              <w:rPr>
                <w:sz w:val="11"/>
                <w:szCs w:val="11"/>
                <w:color w:val="auto"/>
              </w:rPr>
            </w:pPr>
          </w:p>
        </w:tc>
        <w:tc>
          <w:tcPr>
            <w:tcW w:w="980" w:type="dxa"/>
            <w:vAlign w:val="bottom"/>
            <w:tcBorders>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Without</w:t>
            </w:r>
          </w:p>
        </w:tc>
        <w:tc>
          <w:tcPr>
            <w:tcW w:w="860" w:type="dxa"/>
            <w:vAlign w:val="bottom"/>
            <w:tcBorders>
              <w:right w:val="single" w:sz="8" w:color="2360A6"/>
            </w:tcBorders>
          </w:tcPr>
          <w:p>
            <w:pPr>
              <w:spacing w:after="0"/>
              <w:rPr>
                <w:sz w:val="11"/>
                <w:szCs w:val="11"/>
                <w:color w:val="auto"/>
              </w:rPr>
            </w:pPr>
          </w:p>
        </w:tc>
        <w:tc>
          <w:tcPr>
            <w:tcW w:w="1200" w:type="dxa"/>
            <w:vAlign w:val="bottom"/>
            <w:tcBorders>
              <w:right w:val="single" w:sz="8" w:color="2360A6"/>
            </w:tcBorders>
          </w:tcPr>
          <w:p>
            <w:pPr>
              <w:spacing w:after="0"/>
              <w:rPr>
                <w:sz w:val="11"/>
                <w:szCs w:val="11"/>
                <w:color w:val="auto"/>
              </w:rPr>
            </w:pPr>
          </w:p>
        </w:tc>
        <w:tc>
          <w:tcPr>
            <w:tcW w:w="1180" w:type="dxa"/>
            <w:vAlign w:val="bottom"/>
            <w:tcBorders>
              <w:right w:val="single" w:sz="8" w:color="2360A6"/>
            </w:tcBorders>
          </w:tcPr>
          <w:p>
            <w:pPr>
              <w:jc w:val="right"/>
              <w:ind w:right="73"/>
              <w:spacing w:after="0"/>
              <w:rPr>
                <w:sz w:val="20"/>
                <w:szCs w:val="20"/>
                <w:color w:val="auto"/>
              </w:rPr>
            </w:pPr>
            <w:r>
              <w:rPr>
                <w:rFonts w:ascii="Arial" w:cs="Arial" w:eastAsia="Arial" w:hAnsi="Arial"/>
                <w:sz w:val="11"/>
                <w:szCs w:val="11"/>
                <w:b w:val="1"/>
                <w:bCs w:val="1"/>
                <w:color w:val="2360A6"/>
              </w:rPr>
              <w:t>Without</w:t>
            </w:r>
          </w:p>
        </w:tc>
        <w:tc>
          <w:tcPr>
            <w:tcW w:w="420" w:type="dxa"/>
            <w:vAlign w:val="bottom"/>
          </w:tcPr>
          <w:p>
            <w:pPr>
              <w:spacing w:after="0"/>
              <w:rPr>
                <w:sz w:val="11"/>
                <w:szCs w:val="11"/>
                <w:color w:val="auto"/>
              </w:rPr>
            </w:pPr>
          </w:p>
        </w:tc>
        <w:tc>
          <w:tcPr>
            <w:tcW w:w="760" w:type="dxa"/>
            <w:vAlign w:val="bottom"/>
            <w:tcBorders>
              <w:right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960" w:type="dxa"/>
            <w:vAlign w:val="bottom"/>
            <w:tcBorders>
              <w:left w:val="single" w:sz="8" w:color="2360A6"/>
              <w:bottom w:val="single" w:sz="8" w:color="2360A6"/>
              <w:right w:val="single" w:sz="8" w:color="2360A6"/>
            </w:tcBorders>
            <w:vMerge w:val="continue"/>
          </w:tcPr>
          <w:p>
            <w:pPr>
              <w:spacing w:after="0"/>
              <w:rPr>
                <w:sz w:val="13"/>
                <w:szCs w:val="13"/>
                <w:color w:val="auto"/>
              </w:rPr>
            </w:pPr>
          </w:p>
        </w:tc>
        <w:tc>
          <w:tcPr>
            <w:tcW w:w="900" w:type="dxa"/>
            <w:vAlign w:val="bottom"/>
            <w:tcBorders>
              <w:bottom w:val="single" w:sz="8" w:color="2360A6"/>
              <w:right w:val="single" w:sz="8" w:color="2360A6"/>
            </w:tcBorders>
            <w:shd w:val="clear" w:color="auto" w:fill="EDEDEE"/>
          </w:tcPr>
          <w:p>
            <w:pPr>
              <w:jc w:val="right"/>
              <w:ind w:right="71"/>
              <w:spacing w:after="0"/>
              <w:rPr>
                <w:sz w:val="20"/>
                <w:szCs w:val="20"/>
                <w:color w:val="auto"/>
              </w:rPr>
            </w:pPr>
            <w:r>
              <w:rPr>
                <w:rFonts w:ascii="Arial" w:cs="Arial" w:eastAsia="Arial" w:hAnsi="Arial"/>
                <w:sz w:val="11"/>
                <w:szCs w:val="11"/>
                <w:b w:val="1"/>
                <w:bCs w:val="1"/>
                <w:color w:val="2360A6"/>
              </w:rPr>
              <w:t>Guarantee</w:t>
            </w:r>
          </w:p>
        </w:tc>
        <w:tc>
          <w:tcPr>
            <w:tcW w:w="9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1"/>
                <w:szCs w:val="11"/>
                <w:b w:val="1"/>
                <w:bCs w:val="1"/>
                <w:color w:val="2360A6"/>
              </w:rPr>
              <w:t>Guarantee</w:t>
            </w:r>
          </w:p>
        </w:tc>
        <w:tc>
          <w:tcPr>
            <w:tcW w:w="760" w:type="dxa"/>
            <w:vAlign w:val="bottom"/>
            <w:tcBorders>
              <w:bottom w:val="single" w:sz="8" w:color="2360A6"/>
              <w:right w:val="single" w:sz="8" w:color="2360A6"/>
            </w:tcBorders>
            <w:vMerge w:val="continue"/>
            <w:shd w:val="clear" w:color="auto" w:fill="2360A6"/>
          </w:tcPr>
          <w:p>
            <w:pPr>
              <w:spacing w:after="0"/>
              <w:rPr>
                <w:sz w:val="13"/>
                <w:szCs w:val="13"/>
                <w:color w:val="auto"/>
              </w:rPr>
            </w:pPr>
          </w:p>
        </w:tc>
        <w:tc>
          <w:tcPr>
            <w:tcW w:w="860" w:type="dxa"/>
            <w:vAlign w:val="bottom"/>
            <w:tcBorders>
              <w:bottom w:val="single" w:sz="8" w:color="2360A6"/>
              <w:right w:val="single" w:sz="8" w:color="2360A6"/>
            </w:tcBorders>
          </w:tcPr>
          <w:p>
            <w:pPr>
              <w:jc w:val="right"/>
              <w:ind w:right="51"/>
              <w:spacing w:after="0"/>
              <w:rPr>
                <w:sz w:val="20"/>
                <w:szCs w:val="20"/>
                <w:color w:val="auto"/>
              </w:rPr>
            </w:pPr>
            <w:r>
              <w:rPr>
                <w:rFonts w:ascii="Arial" w:cs="Arial" w:eastAsia="Arial" w:hAnsi="Arial"/>
                <w:sz w:val="11"/>
                <w:szCs w:val="11"/>
                <w:b w:val="1"/>
                <w:bCs w:val="1"/>
                <w:color w:val="2360A6"/>
              </w:rPr>
              <w:t>Guarantee</w:t>
            </w:r>
          </w:p>
        </w:tc>
        <w:tc>
          <w:tcPr>
            <w:tcW w:w="9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Guarantee</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1"/>
                <w:szCs w:val="11"/>
                <w:b w:val="1"/>
                <w:bCs w:val="1"/>
                <w:color w:val="2360A6"/>
              </w:rPr>
              <w:t>Total</w:t>
            </w:r>
          </w:p>
        </w:tc>
        <w:tc>
          <w:tcPr>
            <w:tcW w:w="1200" w:type="dxa"/>
            <w:vAlign w:val="bottom"/>
            <w:tcBorders>
              <w:bottom w:val="single" w:sz="8" w:color="2360A6"/>
              <w:right w:val="single" w:sz="8" w:color="2360A6"/>
            </w:tcBorders>
          </w:tcPr>
          <w:p>
            <w:pPr>
              <w:jc w:val="right"/>
              <w:ind w:right="71"/>
              <w:spacing w:after="0"/>
              <w:rPr>
                <w:sz w:val="20"/>
                <w:szCs w:val="20"/>
                <w:color w:val="auto"/>
              </w:rPr>
            </w:pPr>
            <w:r>
              <w:rPr>
                <w:rFonts w:ascii="Arial" w:cs="Arial" w:eastAsia="Arial" w:hAnsi="Arial"/>
                <w:sz w:val="11"/>
                <w:szCs w:val="11"/>
                <w:b w:val="1"/>
                <w:bCs w:val="1"/>
                <w:color w:val="2360A6"/>
              </w:rPr>
              <w:t>Guarantee</w:t>
            </w:r>
          </w:p>
        </w:tc>
        <w:tc>
          <w:tcPr>
            <w:tcW w:w="1180" w:type="dxa"/>
            <w:vAlign w:val="bottom"/>
            <w:tcBorders>
              <w:bottom w:val="single" w:sz="8" w:color="2360A6"/>
              <w:right w:val="single" w:sz="8" w:color="2360A6"/>
            </w:tcBorders>
          </w:tcPr>
          <w:p>
            <w:pPr>
              <w:jc w:val="right"/>
              <w:ind w:right="73"/>
              <w:spacing w:after="0"/>
              <w:rPr>
                <w:sz w:val="20"/>
                <w:szCs w:val="20"/>
                <w:color w:val="auto"/>
              </w:rPr>
            </w:pPr>
            <w:r>
              <w:rPr>
                <w:rFonts w:ascii="Arial" w:cs="Arial" w:eastAsia="Arial" w:hAnsi="Arial"/>
                <w:sz w:val="11"/>
                <w:szCs w:val="11"/>
                <w:b w:val="1"/>
                <w:bCs w:val="1"/>
                <w:color w:val="2360A6"/>
              </w:rPr>
              <w:t>Guarantee</w:t>
            </w:r>
          </w:p>
        </w:tc>
        <w:tc>
          <w:tcPr>
            <w:tcW w:w="420" w:type="dxa"/>
            <w:vAlign w:val="bottom"/>
            <w:tcBorders>
              <w:bottom w:val="single" w:sz="8" w:color="2360A6"/>
            </w:tcBorders>
          </w:tcPr>
          <w:p>
            <w:pPr>
              <w:spacing w:after="0"/>
              <w:rPr>
                <w:sz w:val="13"/>
                <w:szCs w:val="13"/>
                <w:color w:val="auto"/>
              </w:rPr>
            </w:pPr>
          </w:p>
        </w:tc>
        <w:tc>
          <w:tcPr>
            <w:tcW w:w="760" w:type="dxa"/>
            <w:vAlign w:val="bottom"/>
            <w:tcBorders>
              <w:bottom w:val="single" w:sz="8" w:color="2360A6"/>
              <w:right w:val="single" w:sz="8" w:color="2360A6"/>
            </w:tcBorders>
          </w:tcPr>
          <w:p>
            <w:pPr>
              <w:jc w:val="right"/>
              <w:ind w:right="51"/>
              <w:spacing w:after="0"/>
              <w:rPr>
                <w:sz w:val="20"/>
                <w:szCs w:val="20"/>
                <w:color w:val="auto"/>
              </w:rPr>
            </w:pPr>
            <w:r>
              <w:rPr>
                <w:rFonts w:ascii="Arial" w:cs="Arial" w:eastAsia="Arial" w:hAnsi="Arial"/>
                <w:sz w:val="11"/>
                <w:szCs w:val="11"/>
                <w:b w:val="1"/>
                <w:bCs w:val="1"/>
                <w:color w:val="2360A6"/>
              </w:rPr>
              <w:t>Total</w:t>
            </w:r>
          </w:p>
        </w:tc>
        <w:tc>
          <w:tcPr>
            <w:tcW w:w="0" w:type="dxa"/>
            <w:vAlign w:val="bottom"/>
          </w:tcPr>
          <w:p>
            <w:pPr>
              <w:spacing w:after="0"/>
              <w:rPr>
                <w:sz w:val="1"/>
                <w:szCs w:val="1"/>
                <w:color w:val="auto"/>
              </w:rPr>
            </w:pPr>
          </w:p>
        </w:tc>
      </w:tr>
      <w:tr>
        <w:trPr>
          <w:trHeight w:val="193"/>
        </w:trPr>
        <w:tc>
          <w:tcPr>
            <w:tcW w:w="1960" w:type="dxa"/>
            <w:vAlign w:val="bottom"/>
            <w:tcBorders>
              <w:left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Bank Overdrafts, Current</w:t>
            </w:r>
          </w:p>
        </w:tc>
        <w:tc>
          <w:tcPr>
            <w:tcW w:w="900" w:type="dxa"/>
            <w:vAlign w:val="bottom"/>
            <w:tcBorders>
              <w:right w:val="single" w:sz="8" w:color="2360A6"/>
            </w:tcBorders>
            <w:shd w:val="clear" w:color="auto" w:fill="EDEDEE"/>
          </w:tcPr>
          <w:p>
            <w:pPr>
              <w:spacing w:after="0"/>
              <w:rPr>
                <w:sz w:val="16"/>
                <w:szCs w:val="16"/>
                <w:color w:val="auto"/>
              </w:rPr>
            </w:pPr>
          </w:p>
        </w:tc>
        <w:tc>
          <w:tcPr>
            <w:tcW w:w="980" w:type="dxa"/>
            <w:vAlign w:val="bottom"/>
            <w:tcBorders>
              <w:right w:val="single" w:sz="8" w:color="2360A6"/>
            </w:tcBorders>
            <w:shd w:val="clear" w:color="auto" w:fill="EDEDEE"/>
          </w:tcPr>
          <w:p>
            <w:pPr>
              <w:spacing w:after="0"/>
              <w:rPr>
                <w:sz w:val="16"/>
                <w:szCs w:val="16"/>
                <w:color w:val="auto"/>
              </w:rPr>
            </w:pPr>
          </w:p>
        </w:tc>
        <w:tc>
          <w:tcPr>
            <w:tcW w:w="760" w:type="dxa"/>
            <w:vAlign w:val="bottom"/>
            <w:tcBorders>
              <w:right w:val="single" w:sz="8" w:color="2360A6"/>
            </w:tcBorders>
            <w:shd w:val="clear" w:color="auto" w:fill="EDEDEE"/>
          </w:tcPr>
          <w:p>
            <w:pPr>
              <w:spacing w:after="0"/>
              <w:rPr>
                <w:sz w:val="16"/>
                <w:szCs w:val="16"/>
                <w:color w:val="auto"/>
              </w:rPr>
            </w:pPr>
          </w:p>
        </w:tc>
        <w:tc>
          <w:tcPr>
            <w:tcW w:w="860" w:type="dxa"/>
            <w:vAlign w:val="bottom"/>
            <w:tcBorders>
              <w:right w:val="single" w:sz="8" w:color="2360A6"/>
            </w:tcBorders>
          </w:tcPr>
          <w:p>
            <w:pPr>
              <w:spacing w:after="0"/>
              <w:rPr>
                <w:sz w:val="16"/>
                <w:szCs w:val="16"/>
                <w:color w:val="auto"/>
              </w:rPr>
            </w:pPr>
          </w:p>
        </w:tc>
        <w:tc>
          <w:tcPr>
            <w:tcW w:w="980" w:type="dxa"/>
            <w:vAlign w:val="bottom"/>
            <w:tcBorders>
              <w:right w:val="single" w:sz="8" w:color="2360A6"/>
            </w:tcBorders>
          </w:tcPr>
          <w:p>
            <w:pPr>
              <w:spacing w:after="0"/>
              <w:rPr>
                <w:sz w:val="16"/>
                <w:szCs w:val="16"/>
                <w:color w:val="auto"/>
              </w:rPr>
            </w:pPr>
          </w:p>
        </w:tc>
        <w:tc>
          <w:tcPr>
            <w:tcW w:w="860" w:type="dxa"/>
            <w:vAlign w:val="bottom"/>
            <w:tcBorders>
              <w:right w:val="single" w:sz="8" w:color="2360A6"/>
            </w:tcBorders>
          </w:tcPr>
          <w:p>
            <w:pPr>
              <w:spacing w:after="0"/>
              <w:rPr>
                <w:sz w:val="16"/>
                <w:szCs w:val="16"/>
                <w:color w:val="auto"/>
              </w:rPr>
            </w:pPr>
          </w:p>
        </w:tc>
        <w:tc>
          <w:tcPr>
            <w:tcW w:w="1200" w:type="dxa"/>
            <w:vAlign w:val="bottom"/>
            <w:tcBorders>
              <w:right w:val="single" w:sz="8" w:color="2360A6"/>
            </w:tcBorders>
          </w:tcPr>
          <w:p>
            <w:pPr>
              <w:spacing w:after="0"/>
              <w:rPr>
                <w:sz w:val="16"/>
                <w:szCs w:val="16"/>
                <w:color w:val="auto"/>
              </w:rPr>
            </w:pPr>
          </w:p>
        </w:tc>
        <w:tc>
          <w:tcPr>
            <w:tcW w:w="1180" w:type="dxa"/>
            <w:vAlign w:val="bottom"/>
            <w:tcBorders>
              <w:right w:val="single" w:sz="8" w:color="2360A6"/>
            </w:tcBorders>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Borders>
              <w:right w:val="single" w:sz="8" w:color="2360A6"/>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96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Facilities and Other</w:t>
            </w:r>
          </w:p>
        </w:tc>
        <w:tc>
          <w:tcPr>
            <w:tcW w:w="900" w:type="dxa"/>
            <w:vAlign w:val="bottom"/>
            <w:tcBorders>
              <w:bottom w:val="single" w:sz="8" w:color="2360A6"/>
              <w:right w:val="single" w:sz="8" w:color="2360A6"/>
            </w:tcBorders>
            <w:shd w:val="clear" w:color="auto" w:fill="EDEDEE"/>
          </w:tcPr>
          <w:p>
            <w:pPr>
              <w:jc w:val="right"/>
              <w:ind w:right="7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200.1</w:t>
            </w:r>
          </w:p>
        </w:tc>
        <w:tc>
          <w:tcPr>
            <w:tcW w:w="7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200.1</w:t>
            </w:r>
          </w:p>
        </w:tc>
        <w:tc>
          <w:tcPr>
            <w:tcW w:w="860" w:type="dxa"/>
            <w:vAlign w:val="bottom"/>
            <w:tcBorders>
              <w:bottom w:val="single" w:sz="8" w:color="2360A6"/>
              <w:right w:val="single" w:sz="8" w:color="2360A6"/>
            </w:tcBorders>
          </w:tcPr>
          <w:p>
            <w:pPr>
              <w:jc w:val="right"/>
              <w:ind w:right="5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200.1</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200.1</w:t>
            </w:r>
          </w:p>
        </w:tc>
        <w:tc>
          <w:tcPr>
            <w:tcW w:w="1200" w:type="dxa"/>
            <w:vAlign w:val="bottom"/>
            <w:tcBorders>
              <w:bottom w:val="single" w:sz="8" w:color="2360A6"/>
              <w:right w:val="single" w:sz="8" w:color="2360A6"/>
            </w:tcBorders>
          </w:tcPr>
          <w:p>
            <w:pPr>
              <w:jc w:val="right"/>
              <w:ind w:right="7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2360A6"/>
              <w:right w:val="single" w:sz="8" w:color="2360A6"/>
            </w:tcBorders>
          </w:tcPr>
          <w:p>
            <w:pPr>
              <w:jc w:val="right"/>
              <w:ind w:right="73"/>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2360A6"/>
            </w:tcBorders>
          </w:tcPr>
          <w:p>
            <w:pPr>
              <w:spacing w:after="0"/>
              <w:rPr>
                <w:sz w:val="15"/>
                <w:szCs w:val="15"/>
                <w:color w:val="auto"/>
              </w:rPr>
            </w:pPr>
          </w:p>
        </w:tc>
        <w:tc>
          <w:tcPr>
            <w:tcW w:w="760" w:type="dxa"/>
            <w:vAlign w:val="bottom"/>
            <w:tcBorders>
              <w:bottom w:val="single" w:sz="8" w:color="2360A6"/>
              <w:right w:val="single" w:sz="8" w:color="2360A6"/>
            </w:tcBorders>
          </w:tcPr>
          <w:p>
            <w:pPr>
              <w:jc w:val="right"/>
              <w:ind w:right="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4"/>
        </w:trPr>
        <w:tc>
          <w:tcPr>
            <w:tcW w:w="1960" w:type="dxa"/>
            <w:vAlign w:val="bottom"/>
            <w:tcBorders>
              <w:left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Short Term Part of Long-</w:t>
            </w:r>
          </w:p>
        </w:tc>
        <w:tc>
          <w:tcPr>
            <w:tcW w:w="900" w:type="dxa"/>
            <w:vAlign w:val="bottom"/>
            <w:tcBorders>
              <w:right w:val="single" w:sz="8" w:color="2360A6"/>
            </w:tcBorders>
            <w:shd w:val="clear" w:color="auto" w:fill="EDEDEE"/>
          </w:tcPr>
          <w:p>
            <w:pPr>
              <w:spacing w:after="0"/>
              <w:rPr>
                <w:sz w:val="20"/>
                <w:szCs w:val="20"/>
                <w:color w:val="auto"/>
              </w:rPr>
            </w:pPr>
          </w:p>
        </w:tc>
        <w:tc>
          <w:tcPr>
            <w:tcW w:w="980" w:type="dxa"/>
            <w:vAlign w:val="bottom"/>
            <w:tcBorders>
              <w:right w:val="single" w:sz="8" w:color="2360A6"/>
            </w:tcBorders>
            <w:shd w:val="clear" w:color="auto" w:fill="EDEDEE"/>
          </w:tcPr>
          <w:p>
            <w:pPr>
              <w:spacing w:after="0"/>
              <w:rPr>
                <w:sz w:val="20"/>
                <w:szCs w:val="20"/>
                <w:color w:val="auto"/>
              </w:rPr>
            </w:pPr>
          </w:p>
        </w:tc>
        <w:tc>
          <w:tcPr>
            <w:tcW w:w="760" w:type="dxa"/>
            <w:vAlign w:val="bottom"/>
            <w:tcBorders>
              <w:right w:val="single" w:sz="8" w:color="2360A6"/>
            </w:tcBorders>
            <w:shd w:val="clear" w:color="auto" w:fill="EDEDEE"/>
          </w:tcPr>
          <w:p>
            <w:pPr>
              <w:spacing w:after="0"/>
              <w:rPr>
                <w:sz w:val="20"/>
                <w:szCs w:val="20"/>
                <w:color w:val="auto"/>
              </w:rPr>
            </w:pPr>
          </w:p>
        </w:tc>
        <w:tc>
          <w:tcPr>
            <w:tcW w:w="860" w:type="dxa"/>
            <w:vAlign w:val="bottom"/>
            <w:tcBorders>
              <w:right w:val="single" w:sz="8" w:color="2360A6"/>
            </w:tcBorders>
          </w:tcPr>
          <w:p>
            <w:pPr>
              <w:spacing w:after="0"/>
              <w:rPr>
                <w:sz w:val="20"/>
                <w:szCs w:val="20"/>
                <w:color w:val="auto"/>
              </w:rPr>
            </w:pPr>
          </w:p>
        </w:tc>
        <w:tc>
          <w:tcPr>
            <w:tcW w:w="980" w:type="dxa"/>
            <w:vAlign w:val="bottom"/>
            <w:tcBorders>
              <w:right w:val="single" w:sz="8" w:color="2360A6"/>
            </w:tcBorders>
          </w:tcPr>
          <w:p>
            <w:pPr>
              <w:spacing w:after="0"/>
              <w:rPr>
                <w:sz w:val="20"/>
                <w:szCs w:val="20"/>
                <w:color w:val="auto"/>
              </w:rPr>
            </w:pPr>
          </w:p>
        </w:tc>
        <w:tc>
          <w:tcPr>
            <w:tcW w:w="860" w:type="dxa"/>
            <w:vAlign w:val="bottom"/>
            <w:tcBorders>
              <w:right w:val="single" w:sz="8" w:color="2360A6"/>
            </w:tcBorders>
          </w:tcPr>
          <w:p>
            <w:pPr>
              <w:spacing w:after="0"/>
              <w:rPr>
                <w:sz w:val="20"/>
                <w:szCs w:val="20"/>
                <w:color w:val="auto"/>
              </w:rPr>
            </w:pPr>
          </w:p>
        </w:tc>
        <w:tc>
          <w:tcPr>
            <w:tcW w:w="1200" w:type="dxa"/>
            <w:vAlign w:val="bottom"/>
            <w:tcBorders>
              <w:right w:val="single" w:sz="8" w:color="2360A6"/>
            </w:tcBorders>
          </w:tcPr>
          <w:p>
            <w:pPr>
              <w:spacing w:after="0"/>
              <w:rPr>
                <w:sz w:val="20"/>
                <w:szCs w:val="20"/>
                <w:color w:val="auto"/>
              </w:rPr>
            </w:pPr>
          </w:p>
        </w:tc>
        <w:tc>
          <w:tcPr>
            <w:tcW w:w="1180" w:type="dxa"/>
            <w:vAlign w:val="bottom"/>
            <w:tcBorders>
              <w:right w:val="single" w:sz="8" w:color="2360A6"/>
            </w:tcBorders>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Borders>
              <w:right w:val="single" w:sz="8" w:color="2360A6"/>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96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Term Debts</w:t>
            </w:r>
          </w:p>
        </w:tc>
        <w:tc>
          <w:tcPr>
            <w:tcW w:w="900" w:type="dxa"/>
            <w:vAlign w:val="bottom"/>
            <w:tcBorders>
              <w:bottom w:val="single" w:sz="8" w:color="2360A6"/>
              <w:right w:val="single" w:sz="8" w:color="2360A6"/>
            </w:tcBorders>
            <w:shd w:val="clear" w:color="auto" w:fill="EDEDEE"/>
          </w:tcPr>
          <w:p>
            <w:pPr>
              <w:jc w:val="right"/>
              <w:ind w:right="71"/>
              <w:spacing w:after="0"/>
              <w:rPr>
                <w:sz w:val="20"/>
                <w:szCs w:val="20"/>
                <w:color w:val="auto"/>
              </w:rPr>
            </w:pPr>
            <w:r>
              <w:rPr>
                <w:rFonts w:ascii="Arial" w:cs="Arial" w:eastAsia="Arial" w:hAnsi="Arial"/>
                <w:sz w:val="14"/>
                <w:szCs w:val="14"/>
                <w:color w:val="auto"/>
              </w:rPr>
              <w:t>25.2</w:t>
            </w:r>
          </w:p>
        </w:tc>
        <w:tc>
          <w:tcPr>
            <w:tcW w:w="9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623.2</w:t>
            </w:r>
          </w:p>
        </w:tc>
        <w:tc>
          <w:tcPr>
            <w:tcW w:w="7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648.4</w:t>
            </w:r>
          </w:p>
        </w:tc>
        <w:tc>
          <w:tcPr>
            <w:tcW w:w="860" w:type="dxa"/>
            <w:vAlign w:val="bottom"/>
            <w:tcBorders>
              <w:bottom w:val="single" w:sz="8" w:color="2360A6"/>
              <w:right w:val="single" w:sz="8" w:color="2360A6"/>
            </w:tcBorders>
          </w:tcPr>
          <w:p>
            <w:pPr>
              <w:jc w:val="right"/>
              <w:ind w:right="51"/>
              <w:spacing w:after="0"/>
              <w:rPr>
                <w:sz w:val="20"/>
                <w:szCs w:val="20"/>
                <w:color w:val="auto"/>
              </w:rPr>
            </w:pPr>
            <w:r>
              <w:rPr>
                <w:rFonts w:ascii="Arial" w:cs="Arial" w:eastAsia="Arial" w:hAnsi="Arial"/>
                <w:sz w:val="14"/>
                <w:szCs w:val="14"/>
                <w:color w:val="auto"/>
              </w:rPr>
              <w:t>9.4</w:t>
            </w:r>
          </w:p>
        </w:tc>
        <w:tc>
          <w:tcPr>
            <w:tcW w:w="9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727.6</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737.0</w:t>
            </w:r>
          </w:p>
        </w:tc>
        <w:tc>
          <w:tcPr>
            <w:tcW w:w="1200" w:type="dxa"/>
            <w:vAlign w:val="bottom"/>
            <w:tcBorders>
              <w:bottom w:val="single" w:sz="8" w:color="2360A6"/>
              <w:right w:val="single" w:sz="8" w:color="2360A6"/>
            </w:tcBorders>
          </w:tcPr>
          <w:p>
            <w:pPr>
              <w:jc w:val="right"/>
              <w:ind w:right="71"/>
              <w:spacing w:after="0"/>
              <w:rPr>
                <w:sz w:val="20"/>
                <w:szCs w:val="20"/>
                <w:color w:val="auto"/>
              </w:rPr>
            </w:pPr>
            <w:r>
              <w:rPr>
                <w:rFonts w:ascii="Arial" w:cs="Arial" w:eastAsia="Arial" w:hAnsi="Arial"/>
                <w:sz w:val="14"/>
                <w:szCs w:val="14"/>
                <w:color w:val="auto"/>
              </w:rPr>
              <w:t>1.1</w:t>
            </w:r>
          </w:p>
        </w:tc>
        <w:tc>
          <w:tcPr>
            <w:tcW w:w="1180" w:type="dxa"/>
            <w:vAlign w:val="bottom"/>
            <w:tcBorders>
              <w:bottom w:val="single" w:sz="8" w:color="2360A6"/>
              <w:right w:val="single" w:sz="8" w:color="2360A6"/>
            </w:tcBorders>
          </w:tcPr>
          <w:p>
            <w:pPr>
              <w:jc w:val="right"/>
              <w:ind w:right="73"/>
              <w:spacing w:after="0"/>
              <w:rPr>
                <w:sz w:val="20"/>
                <w:szCs w:val="20"/>
                <w:color w:val="auto"/>
              </w:rPr>
            </w:pPr>
            <w:r>
              <w:rPr>
                <w:rFonts w:ascii="Arial" w:cs="Arial" w:eastAsia="Arial" w:hAnsi="Arial"/>
                <w:sz w:val="14"/>
                <w:szCs w:val="14"/>
                <w:color w:val="auto"/>
              </w:rPr>
              <w:t>255.3</w:t>
            </w:r>
          </w:p>
        </w:tc>
        <w:tc>
          <w:tcPr>
            <w:tcW w:w="420" w:type="dxa"/>
            <w:vAlign w:val="bottom"/>
            <w:tcBorders>
              <w:bottom w:val="single" w:sz="8" w:color="2360A6"/>
            </w:tcBorders>
          </w:tcPr>
          <w:p>
            <w:pPr>
              <w:spacing w:after="0"/>
              <w:rPr>
                <w:sz w:val="15"/>
                <w:szCs w:val="15"/>
                <w:color w:val="auto"/>
              </w:rPr>
            </w:pPr>
          </w:p>
        </w:tc>
        <w:tc>
          <w:tcPr>
            <w:tcW w:w="760" w:type="dxa"/>
            <w:vAlign w:val="bottom"/>
            <w:tcBorders>
              <w:bottom w:val="single" w:sz="8" w:color="2360A6"/>
              <w:right w:val="single" w:sz="8" w:color="2360A6"/>
            </w:tcBorders>
          </w:tcPr>
          <w:p>
            <w:pPr>
              <w:jc w:val="right"/>
              <w:ind w:right="51"/>
              <w:spacing w:after="0"/>
              <w:rPr>
                <w:sz w:val="20"/>
                <w:szCs w:val="20"/>
                <w:color w:val="auto"/>
              </w:rPr>
            </w:pPr>
            <w:r>
              <w:rPr>
                <w:rFonts w:ascii="Arial" w:cs="Arial" w:eastAsia="Arial" w:hAnsi="Arial"/>
                <w:sz w:val="14"/>
                <w:szCs w:val="14"/>
                <w:color w:val="auto"/>
              </w:rPr>
              <w:t>256.4</w:t>
            </w:r>
          </w:p>
        </w:tc>
        <w:tc>
          <w:tcPr>
            <w:tcW w:w="0" w:type="dxa"/>
            <w:vAlign w:val="bottom"/>
          </w:tcPr>
          <w:p>
            <w:pPr>
              <w:spacing w:after="0"/>
              <w:rPr>
                <w:sz w:val="1"/>
                <w:szCs w:val="1"/>
                <w:color w:val="auto"/>
              </w:rPr>
            </w:pPr>
          </w:p>
        </w:tc>
      </w:tr>
      <w:tr>
        <w:trPr>
          <w:trHeight w:val="175"/>
        </w:trPr>
        <w:tc>
          <w:tcPr>
            <w:tcW w:w="1960" w:type="dxa"/>
            <w:vAlign w:val="bottom"/>
            <w:tcBorders>
              <w:left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Total Current Financial</w:t>
            </w:r>
          </w:p>
        </w:tc>
        <w:tc>
          <w:tcPr>
            <w:tcW w:w="900" w:type="dxa"/>
            <w:vAlign w:val="bottom"/>
            <w:tcBorders>
              <w:right w:val="single" w:sz="8" w:color="2360A6"/>
            </w:tcBorders>
            <w:shd w:val="clear" w:color="auto" w:fill="EDEDEE"/>
          </w:tcPr>
          <w:p>
            <w:pPr>
              <w:spacing w:after="0"/>
              <w:rPr>
                <w:sz w:val="15"/>
                <w:szCs w:val="15"/>
                <w:color w:val="auto"/>
              </w:rPr>
            </w:pPr>
          </w:p>
        </w:tc>
        <w:tc>
          <w:tcPr>
            <w:tcW w:w="980" w:type="dxa"/>
            <w:vAlign w:val="bottom"/>
            <w:tcBorders>
              <w:right w:val="single" w:sz="8" w:color="2360A6"/>
            </w:tcBorders>
            <w:shd w:val="clear" w:color="auto" w:fill="EDEDEE"/>
          </w:tcPr>
          <w:p>
            <w:pPr>
              <w:spacing w:after="0"/>
              <w:rPr>
                <w:sz w:val="15"/>
                <w:szCs w:val="15"/>
                <w:color w:val="auto"/>
              </w:rPr>
            </w:pPr>
          </w:p>
        </w:tc>
        <w:tc>
          <w:tcPr>
            <w:tcW w:w="760" w:type="dxa"/>
            <w:vAlign w:val="bottom"/>
            <w:tcBorders>
              <w:right w:val="single" w:sz="8" w:color="2360A6"/>
            </w:tcBorders>
            <w:shd w:val="clear" w:color="auto" w:fill="EDEDEE"/>
          </w:tcPr>
          <w:p>
            <w:pPr>
              <w:spacing w:after="0"/>
              <w:rPr>
                <w:sz w:val="15"/>
                <w:szCs w:val="15"/>
                <w:color w:val="auto"/>
              </w:rPr>
            </w:pPr>
          </w:p>
        </w:tc>
        <w:tc>
          <w:tcPr>
            <w:tcW w:w="860" w:type="dxa"/>
            <w:vAlign w:val="bottom"/>
            <w:tcBorders>
              <w:right w:val="single" w:sz="8" w:color="2360A6"/>
            </w:tcBorders>
          </w:tcPr>
          <w:p>
            <w:pPr>
              <w:spacing w:after="0"/>
              <w:rPr>
                <w:sz w:val="15"/>
                <w:szCs w:val="15"/>
                <w:color w:val="auto"/>
              </w:rPr>
            </w:pPr>
          </w:p>
        </w:tc>
        <w:tc>
          <w:tcPr>
            <w:tcW w:w="980" w:type="dxa"/>
            <w:vAlign w:val="bottom"/>
            <w:tcBorders>
              <w:right w:val="single" w:sz="8" w:color="2360A6"/>
            </w:tcBorders>
          </w:tcPr>
          <w:p>
            <w:pPr>
              <w:spacing w:after="0"/>
              <w:rPr>
                <w:sz w:val="15"/>
                <w:szCs w:val="15"/>
                <w:color w:val="auto"/>
              </w:rPr>
            </w:pPr>
          </w:p>
        </w:tc>
        <w:tc>
          <w:tcPr>
            <w:tcW w:w="860" w:type="dxa"/>
            <w:vAlign w:val="bottom"/>
            <w:tcBorders>
              <w:right w:val="single" w:sz="8" w:color="2360A6"/>
            </w:tcBorders>
          </w:tcPr>
          <w:p>
            <w:pPr>
              <w:spacing w:after="0"/>
              <w:rPr>
                <w:sz w:val="15"/>
                <w:szCs w:val="15"/>
                <w:color w:val="auto"/>
              </w:rPr>
            </w:pPr>
          </w:p>
        </w:tc>
        <w:tc>
          <w:tcPr>
            <w:tcW w:w="1200" w:type="dxa"/>
            <w:vAlign w:val="bottom"/>
            <w:tcBorders>
              <w:right w:val="single" w:sz="8" w:color="2360A6"/>
            </w:tcBorders>
          </w:tcPr>
          <w:p>
            <w:pPr>
              <w:spacing w:after="0"/>
              <w:rPr>
                <w:sz w:val="15"/>
                <w:szCs w:val="15"/>
                <w:color w:val="auto"/>
              </w:rPr>
            </w:pPr>
          </w:p>
        </w:tc>
        <w:tc>
          <w:tcPr>
            <w:tcW w:w="1180" w:type="dxa"/>
            <w:vAlign w:val="bottom"/>
            <w:tcBorders>
              <w:right w:val="single" w:sz="8" w:color="2360A6"/>
            </w:tcBorders>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Borders>
              <w:right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6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Debts</w:t>
            </w:r>
          </w:p>
        </w:tc>
        <w:tc>
          <w:tcPr>
            <w:tcW w:w="900" w:type="dxa"/>
            <w:vAlign w:val="bottom"/>
            <w:tcBorders>
              <w:bottom w:val="single" w:sz="8" w:color="2360A6"/>
              <w:right w:val="single" w:sz="8" w:color="2360A6"/>
            </w:tcBorders>
            <w:shd w:val="clear" w:color="auto" w:fill="EDEDEE"/>
          </w:tcPr>
          <w:p>
            <w:pPr>
              <w:jc w:val="right"/>
              <w:ind w:right="71"/>
              <w:spacing w:after="0"/>
              <w:rPr>
                <w:sz w:val="20"/>
                <w:szCs w:val="20"/>
                <w:color w:val="auto"/>
              </w:rPr>
            </w:pPr>
            <w:r>
              <w:rPr>
                <w:rFonts w:ascii="Arial" w:cs="Arial" w:eastAsia="Arial" w:hAnsi="Arial"/>
                <w:sz w:val="14"/>
                <w:szCs w:val="14"/>
                <w:b w:val="1"/>
                <w:bCs w:val="1"/>
                <w:color w:val="2360A6"/>
              </w:rPr>
              <w:t>25.2</w:t>
            </w:r>
          </w:p>
        </w:tc>
        <w:tc>
          <w:tcPr>
            <w:tcW w:w="9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823.3</w:t>
            </w:r>
          </w:p>
        </w:tc>
        <w:tc>
          <w:tcPr>
            <w:tcW w:w="7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848.5</w:t>
            </w:r>
          </w:p>
        </w:tc>
        <w:tc>
          <w:tcPr>
            <w:tcW w:w="860" w:type="dxa"/>
            <w:vAlign w:val="bottom"/>
            <w:tcBorders>
              <w:bottom w:val="single" w:sz="8" w:color="2360A6"/>
              <w:right w:val="single" w:sz="8" w:color="2360A6"/>
            </w:tcBorders>
          </w:tcPr>
          <w:p>
            <w:pPr>
              <w:jc w:val="right"/>
              <w:ind w:right="51"/>
              <w:spacing w:after="0"/>
              <w:rPr>
                <w:sz w:val="20"/>
                <w:szCs w:val="20"/>
                <w:color w:val="auto"/>
              </w:rPr>
            </w:pPr>
            <w:r>
              <w:rPr>
                <w:rFonts w:ascii="Arial" w:cs="Arial" w:eastAsia="Arial" w:hAnsi="Arial"/>
                <w:sz w:val="14"/>
                <w:szCs w:val="14"/>
                <w:b w:val="1"/>
                <w:bCs w:val="1"/>
                <w:color w:val="2360A6"/>
              </w:rPr>
              <w:t>9.4</w:t>
            </w:r>
          </w:p>
        </w:tc>
        <w:tc>
          <w:tcPr>
            <w:tcW w:w="9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927.7</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937.1</w:t>
            </w:r>
          </w:p>
        </w:tc>
        <w:tc>
          <w:tcPr>
            <w:tcW w:w="1200" w:type="dxa"/>
            <w:vAlign w:val="bottom"/>
            <w:tcBorders>
              <w:bottom w:val="single" w:sz="8" w:color="2360A6"/>
              <w:right w:val="single" w:sz="8" w:color="2360A6"/>
            </w:tcBorders>
          </w:tcPr>
          <w:p>
            <w:pPr>
              <w:jc w:val="right"/>
              <w:ind w:right="71"/>
              <w:spacing w:after="0"/>
              <w:rPr>
                <w:sz w:val="20"/>
                <w:szCs w:val="20"/>
                <w:color w:val="auto"/>
              </w:rPr>
            </w:pPr>
            <w:r>
              <w:rPr>
                <w:rFonts w:ascii="Arial" w:cs="Arial" w:eastAsia="Arial" w:hAnsi="Arial"/>
                <w:sz w:val="14"/>
                <w:szCs w:val="14"/>
                <w:b w:val="1"/>
                <w:bCs w:val="1"/>
                <w:color w:val="2360A6"/>
              </w:rPr>
              <w:t>1.1</w:t>
            </w:r>
          </w:p>
        </w:tc>
        <w:tc>
          <w:tcPr>
            <w:tcW w:w="1180" w:type="dxa"/>
            <w:vAlign w:val="bottom"/>
            <w:tcBorders>
              <w:bottom w:val="single" w:sz="8" w:color="2360A6"/>
              <w:right w:val="single" w:sz="8" w:color="2360A6"/>
            </w:tcBorders>
          </w:tcPr>
          <w:p>
            <w:pPr>
              <w:jc w:val="right"/>
              <w:ind w:right="73"/>
              <w:spacing w:after="0"/>
              <w:rPr>
                <w:sz w:val="20"/>
                <w:szCs w:val="20"/>
                <w:color w:val="auto"/>
              </w:rPr>
            </w:pPr>
            <w:r>
              <w:rPr>
                <w:rFonts w:ascii="Arial" w:cs="Arial" w:eastAsia="Arial" w:hAnsi="Arial"/>
                <w:sz w:val="14"/>
                <w:szCs w:val="14"/>
                <w:b w:val="1"/>
                <w:bCs w:val="1"/>
                <w:color w:val="2360A6"/>
              </w:rPr>
              <w:t>255.3</w:t>
            </w:r>
          </w:p>
        </w:tc>
        <w:tc>
          <w:tcPr>
            <w:tcW w:w="420" w:type="dxa"/>
            <w:vAlign w:val="bottom"/>
            <w:tcBorders>
              <w:bottom w:val="single" w:sz="8" w:color="2360A6"/>
            </w:tcBorders>
          </w:tcPr>
          <w:p>
            <w:pPr>
              <w:spacing w:after="0"/>
              <w:rPr>
                <w:sz w:val="17"/>
                <w:szCs w:val="17"/>
                <w:color w:val="auto"/>
              </w:rPr>
            </w:pPr>
          </w:p>
        </w:tc>
        <w:tc>
          <w:tcPr>
            <w:tcW w:w="760" w:type="dxa"/>
            <w:vAlign w:val="bottom"/>
            <w:tcBorders>
              <w:bottom w:val="single" w:sz="8" w:color="2360A6"/>
              <w:right w:val="single" w:sz="8" w:color="2360A6"/>
            </w:tcBorders>
          </w:tcPr>
          <w:p>
            <w:pPr>
              <w:jc w:val="right"/>
              <w:ind w:right="51"/>
              <w:spacing w:after="0"/>
              <w:rPr>
                <w:sz w:val="20"/>
                <w:szCs w:val="20"/>
                <w:color w:val="auto"/>
              </w:rPr>
            </w:pPr>
            <w:r>
              <w:rPr>
                <w:rFonts w:ascii="Arial" w:cs="Arial" w:eastAsia="Arial" w:hAnsi="Arial"/>
                <w:sz w:val="14"/>
                <w:szCs w:val="14"/>
                <w:b w:val="1"/>
                <w:bCs w:val="1"/>
                <w:color w:val="2360A6"/>
              </w:rPr>
              <w:t>256.4</w:t>
            </w:r>
          </w:p>
        </w:tc>
        <w:tc>
          <w:tcPr>
            <w:tcW w:w="0" w:type="dxa"/>
            <w:vAlign w:val="bottom"/>
          </w:tcPr>
          <w:p>
            <w:pPr>
              <w:spacing w:after="0"/>
              <w:rPr>
                <w:sz w:val="1"/>
                <w:szCs w:val="1"/>
                <w:color w:val="auto"/>
              </w:rPr>
            </w:pPr>
          </w:p>
        </w:tc>
      </w:tr>
      <w:tr>
        <w:trPr>
          <w:trHeight w:val="175"/>
        </w:trPr>
        <w:tc>
          <w:tcPr>
            <w:tcW w:w="1960" w:type="dxa"/>
            <w:vAlign w:val="bottom"/>
            <w:tcBorders>
              <w:left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Total Non-Current Financial</w:t>
            </w:r>
          </w:p>
        </w:tc>
        <w:tc>
          <w:tcPr>
            <w:tcW w:w="900" w:type="dxa"/>
            <w:vAlign w:val="bottom"/>
            <w:tcBorders>
              <w:right w:val="single" w:sz="8" w:color="2360A6"/>
            </w:tcBorders>
            <w:shd w:val="clear" w:color="auto" w:fill="EDEDEE"/>
          </w:tcPr>
          <w:p>
            <w:pPr>
              <w:spacing w:after="0"/>
              <w:rPr>
                <w:sz w:val="15"/>
                <w:szCs w:val="15"/>
                <w:color w:val="auto"/>
              </w:rPr>
            </w:pPr>
          </w:p>
        </w:tc>
        <w:tc>
          <w:tcPr>
            <w:tcW w:w="980" w:type="dxa"/>
            <w:vAlign w:val="bottom"/>
            <w:tcBorders>
              <w:right w:val="single" w:sz="8" w:color="2360A6"/>
            </w:tcBorders>
            <w:shd w:val="clear" w:color="auto" w:fill="EDEDEE"/>
          </w:tcPr>
          <w:p>
            <w:pPr>
              <w:spacing w:after="0"/>
              <w:rPr>
                <w:sz w:val="15"/>
                <w:szCs w:val="15"/>
                <w:color w:val="auto"/>
              </w:rPr>
            </w:pPr>
          </w:p>
        </w:tc>
        <w:tc>
          <w:tcPr>
            <w:tcW w:w="760" w:type="dxa"/>
            <w:vAlign w:val="bottom"/>
            <w:tcBorders>
              <w:right w:val="single" w:sz="8" w:color="2360A6"/>
            </w:tcBorders>
            <w:shd w:val="clear" w:color="auto" w:fill="EDEDEE"/>
          </w:tcPr>
          <w:p>
            <w:pPr>
              <w:spacing w:after="0"/>
              <w:rPr>
                <w:sz w:val="15"/>
                <w:szCs w:val="15"/>
                <w:color w:val="auto"/>
              </w:rPr>
            </w:pPr>
          </w:p>
        </w:tc>
        <w:tc>
          <w:tcPr>
            <w:tcW w:w="860" w:type="dxa"/>
            <w:vAlign w:val="bottom"/>
            <w:tcBorders>
              <w:right w:val="single" w:sz="8" w:color="2360A6"/>
            </w:tcBorders>
          </w:tcPr>
          <w:p>
            <w:pPr>
              <w:spacing w:after="0"/>
              <w:rPr>
                <w:sz w:val="15"/>
                <w:szCs w:val="15"/>
                <w:color w:val="auto"/>
              </w:rPr>
            </w:pPr>
          </w:p>
        </w:tc>
        <w:tc>
          <w:tcPr>
            <w:tcW w:w="980" w:type="dxa"/>
            <w:vAlign w:val="bottom"/>
            <w:tcBorders>
              <w:right w:val="single" w:sz="8" w:color="2360A6"/>
            </w:tcBorders>
          </w:tcPr>
          <w:p>
            <w:pPr>
              <w:spacing w:after="0"/>
              <w:rPr>
                <w:sz w:val="15"/>
                <w:szCs w:val="15"/>
                <w:color w:val="auto"/>
              </w:rPr>
            </w:pPr>
          </w:p>
        </w:tc>
        <w:tc>
          <w:tcPr>
            <w:tcW w:w="860" w:type="dxa"/>
            <w:vAlign w:val="bottom"/>
            <w:tcBorders>
              <w:right w:val="single" w:sz="8" w:color="2360A6"/>
            </w:tcBorders>
          </w:tcPr>
          <w:p>
            <w:pPr>
              <w:spacing w:after="0"/>
              <w:rPr>
                <w:sz w:val="15"/>
                <w:szCs w:val="15"/>
                <w:color w:val="auto"/>
              </w:rPr>
            </w:pPr>
          </w:p>
        </w:tc>
        <w:tc>
          <w:tcPr>
            <w:tcW w:w="1200" w:type="dxa"/>
            <w:vAlign w:val="bottom"/>
            <w:tcBorders>
              <w:right w:val="single" w:sz="8" w:color="2360A6"/>
            </w:tcBorders>
          </w:tcPr>
          <w:p>
            <w:pPr>
              <w:spacing w:after="0"/>
              <w:rPr>
                <w:sz w:val="15"/>
                <w:szCs w:val="15"/>
                <w:color w:val="auto"/>
              </w:rPr>
            </w:pPr>
          </w:p>
        </w:tc>
        <w:tc>
          <w:tcPr>
            <w:tcW w:w="1180" w:type="dxa"/>
            <w:vAlign w:val="bottom"/>
            <w:tcBorders>
              <w:right w:val="single" w:sz="8" w:color="2360A6"/>
            </w:tcBorders>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Borders>
              <w:right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6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Debts</w:t>
            </w:r>
          </w:p>
        </w:tc>
        <w:tc>
          <w:tcPr>
            <w:tcW w:w="900" w:type="dxa"/>
            <w:vAlign w:val="bottom"/>
            <w:tcBorders>
              <w:bottom w:val="single" w:sz="8" w:color="2360A6"/>
              <w:right w:val="single" w:sz="8" w:color="2360A6"/>
            </w:tcBorders>
            <w:shd w:val="clear" w:color="auto" w:fill="EDEDEE"/>
          </w:tcPr>
          <w:p>
            <w:pPr>
              <w:jc w:val="right"/>
              <w:ind w:right="71"/>
              <w:spacing w:after="0"/>
              <w:rPr>
                <w:sz w:val="20"/>
                <w:szCs w:val="20"/>
                <w:color w:val="auto"/>
              </w:rPr>
            </w:pPr>
            <w:r>
              <w:rPr>
                <w:rFonts w:ascii="Arial" w:cs="Arial" w:eastAsia="Arial" w:hAnsi="Arial"/>
                <w:sz w:val="14"/>
                <w:szCs w:val="14"/>
                <w:b w:val="1"/>
                <w:bCs w:val="1"/>
                <w:color w:val="2360A6"/>
              </w:rPr>
              <w:t>202.1</w:t>
            </w:r>
          </w:p>
        </w:tc>
        <w:tc>
          <w:tcPr>
            <w:tcW w:w="98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1,371.3</w:t>
            </w:r>
          </w:p>
        </w:tc>
        <w:tc>
          <w:tcPr>
            <w:tcW w:w="7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1,573.4</w:t>
            </w:r>
          </w:p>
        </w:tc>
        <w:tc>
          <w:tcPr>
            <w:tcW w:w="860" w:type="dxa"/>
            <w:vAlign w:val="bottom"/>
            <w:tcBorders>
              <w:bottom w:val="single" w:sz="8" w:color="2360A6"/>
              <w:right w:val="single" w:sz="8" w:color="2360A6"/>
            </w:tcBorders>
          </w:tcPr>
          <w:p>
            <w:pPr>
              <w:jc w:val="right"/>
              <w:ind w:right="51"/>
              <w:spacing w:after="0"/>
              <w:rPr>
                <w:sz w:val="20"/>
                <w:szCs w:val="20"/>
                <w:color w:val="auto"/>
              </w:rPr>
            </w:pPr>
            <w:r>
              <w:rPr>
                <w:rFonts w:ascii="Arial" w:cs="Arial" w:eastAsia="Arial" w:hAnsi="Arial"/>
                <w:sz w:val="14"/>
                <w:szCs w:val="14"/>
                <w:b w:val="1"/>
                <w:bCs w:val="1"/>
                <w:color w:val="2360A6"/>
              </w:rPr>
              <w:t>39.1</w:t>
            </w:r>
          </w:p>
        </w:tc>
        <w:tc>
          <w:tcPr>
            <w:tcW w:w="9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1,586.9</w:t>
            </w: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1,626.0</w:t>
            </w:r>
          </w:p>
        </w:tc>
        <w:tc>
          <w:tcPr>
            <w:tcW w:w="1200" w:type="dxa"/>
            <w:vAlign w:val="bottom"/>
            <w:tcBorders>
              <w:bottom w:val="single" w:sz="8" w:color="2360A6"/>
              <w:right w:val="single" w:sz="8" w:color="2360A6"/>
            </w:tcBorders>
          </w:tcPr>
          <w:p>
            <w:pPr>
              <w:jc w:val="right"/>
              <w:ind w:right="71"/>
              <w:spacing w:after="0"/>
              <w:rPr>
                <w:sz w:val="20"/>
                <w:szCs w:val="20"/>
                <w:color w:val="auto"/>
              </w:rPr>
            </w:pPr>
            <w:r>
              <w:rPr>
                <w:rFonts w:ascii="Arial" w:cs="Arial" w:eastAsia="Arial" w:hAnsi="Arial"/>
                <w:sz w:val="14"/>
                <w:szCs w:val="14"/>
                <w:b w:val="1"/>
                <w:bCs w:val="1"/>
                <w:color w:val="2360A6"/>
              </w:rPr>
              <w:t>1.6</w:t>
            </w:r>
          </w:p>
        </w:tc>
        <w:tc>
          <w:tcPr>
            <w:tcW w:w="1180" w:type="dxa"/>
            <w:vAlign w:val="bottom"/>
            <w:tcBorders>
              <w:bottom w:val="single" w:sz="8" w:color="2360A6"/>
              <w:right w:val="single" w:sz="8" w:color="2360A6"/>
            </w:tcBorders>
          </w:tcPr>
          <w:p>
            <w:pPr>
              <w:jc w:val="right"/>
              <w:ind w:right="73"/>
              <w:spacing w:after="0"/>
              <w:rPr>
                <w:sz w:val="20"/>
                <w:szCs w:val="20"/>
                <w:color w:val="auto"/>
              </w:rPr>
            </w:pPr>
            <w:r>
              <w:rPr>
                <w:rFonts w:ascii="Arial" w:cs="Arial" w:eastAsia="Arial" w:hAnsi="Arial"/>
                <w:sz w:val="14"/>
                <w:szCs w:val="14"/>
                <w:b w:val="1"/>
                <w:bCs w:val="1"/>
                <w:color w:val="2360A6"/>
              </w:rPr>
              <w:t>2,355.0</w:t>
            </w:r>
          </w:p>
        </w:tc>
        <w:tc>
          <w:tcPr>
            <w:tcW w:w="420" w:type="dxa"/>
            <w:vAlign w:val="bottom"/>
            <w:tcBorders>
              <w:bottom w:val="single" w:sz="8" w:color="2360A6"/>
            </w:tcBorders>
          </w:tcPr>
          <w:p>
            <w:pPr>
              <w:spacing w:after="0"/>
              <w:rPr>
                <w:sz w:val="17"/>
                <w:szCs w:val="17"/>
                <w:color w:val="auto"/>
              </w:rPr>
            </w:pPr>
          </w:p>
        </w:tc>
        <w:tc>
          <w:tcPr>
            <w:tcW w:w="760" w:type="dxa"/>
            <w:vAlign w:val="bottom"/>
            <w:tcBorders>
              <w:bottom w:val="single" w:sz="8" w:color="2360A6"/>
              <w:right w:val="single" w:sz="8" w:color="2360A6"/>
            </w:tcBorders>
          </w:tcPr>
          <w:p>
            <w:pPr>
              <w:jc w:val="right"/>
              <w:ind w:right="51"/>
              <w:spacing w:after="0"/>
              <w:rPr>
                <w:sz w:val="20"/>
                <w:szCs w:val="20"/>
                <w:color w:val="auto"/>
              </w:rPr>
            </w:pPr>
            <w:r>
              <w:rPr>
                <w:rFonts w:ascii="Arial" w:cs="Arial" w:eastAsia="Arial" w:hAnsi="Arial"/>
                <w:sz w:val="14"/>
                <w:szCs w:val="14"/>
                <w:b w:val="1"/>
                <w:bCs w:val="1"/>
                <w:color w:val="2360A6"/>
              </w:rPr>
              <w:t>2,356.6</w:t>
            </w:r>
          </w:p>
        </w:tc>
        <w:tc>
          <w:tcPr>
            <w:tcW w:w="0" w:type="dxa"/>
            <w:vAlign w:val="bottom"/>
          </w:tcPr>
          <w:p>
            <w:pPr>
              <w:spacing w:after="0"/>
              <w:rPr>
                <w:sz w:val="1"/>
                <w:szCs w:val="1"/>
                <w:color w:val="auto"/>
              </w:rPr>
            </w:pPr>
          </w:p>
        </w:tc>
      </w:tr>
      <w:tr>
        <w:trPr>
          <w:trHeight w:val="210"/>
        </w:trPr>
        <w:tc>
          <w:tcPr>
            <w:tcW w:w="1960" w:type="dxa"/>
            <w:vAlign w:val="bottom"/>
            <w:tcBorders>
              <w:left w:val="single" w:sz="8" w:color="2360A6"/>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FINANCIAL DEBTS</w:t>
            </w:r>
          </w:p>
        </w:tc>
        <w:tc>
          <w:tcPr>
            <w:tcW w:w="900" w:type="dxa"/>
            <w:vAlign w:val="bottom"/>
            <w:tcBorders>
              <w:bottom w:val="single" w:sz="8" w:color="2360A6"/>
              <w:right w:val="single" w:sz="8" w:color="2360A6"/>
            </w:tcBorders>
            <w:shd w:val="clear" w:color="auto" w:fill="D2DEEC"/>
          </w:tcPr>
          <w:p>
            <w:pPr>
              <w:jc w:val="right"/>
              <w:ind w:right="71"/>
              <w:spacing w:after="0"/>
              <w:rPr>
                <w:sz w:val="20"/>
                <w:szCs w:val="20"/>
                <w:color w:val="auto"/>
              </w:rPr>
            </w:pPr>
            <w:r>
              <w:rPr>
                <w:rFonts w:ascii="Arial" w:cs="Arial" w:eastAsia="Arial" w:hAnsi="Arial"/>
                <w:sz w:val="14"/>
                <w:szCs w:val="14"/>
                <w:b w:val="1"/>
                <w:bCs w:val="1"/>
                <w:color w:val="2360A6"/>
              </w:rPr>
              <w:t>227.3</w:t>
            </w:r>
          </w:p>
        </w:tc>
        <w:tc>
          <w:tcPr>
            <w:tcW w:w="98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2,194.6</w:t>
            </w:r>
          </w:p>
        </w:tc>
        <w:tc>
          <w:tcPr>
            <w:tcW w:w="7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2,421.9</w:t>
            </w:r>
          </w:p>
        </w:tc>
        <w:tc>
          <w:tcPr>
            <w:tcW w:w="860" w:type="dxa"/>
            <w:vAlign w:val="bottom"/>
            <w:tcBorders>
              <w:bottom w:val="single" w:sz="8" w:color="2360A6"/>
              <w:right w:val="single" w:sz="8" w:color="2360A6"/>
            </w:tcBorders>
            <w:shd w:val="clear" w:color="auto" w:fill="D2DEEC"/>
          </w:tcPr>
          <w:p>
            <w:pPr>
              <w:jc w:val="right"/>
              <w:ind w:right="51"/>
              <w:spacing w:after="0"/>
              <w:rPr>
                <w:sz w:val="20"/>
                <w:szCs w:val="20"/>
                <w:color w:val="auto"/>
              </w:rPr>
            </w:pPr>
            <w:r>
              <w:rPr>
                <w:rFonts w:ascii="Arial" w:cs="Arial" w:eastAsia="Arial" w:hAnsi="Arial"/>
                <w:sz w:val="14"/>
                <w:szCs w:val="14"/>
                <w:b w:val="1"/>
                <w:bCs w:val="1"/>
                <w:color w:val="2360A6"/>
              </w:rPr>
              <w:t>48.5</w:t>
            </w:r>
          </w:p>
        </w:tc>
        <w:tc>
          <w:tcPr>
            <w:tcW w:w="98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2,514.6</w:t>
            </w:r>
          </w:p>
        </w:tc>
        <w:tc>
          <w:tcPr>
            <w:tcW w:w="8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2,563.1</w:t>
            </w:r>
          </w:p>
        </w:tc>
        <w:tc>
          <w:tcPr>
            <w:tcW w:w="1200" w:type="dxa"/>
            <w:vAlign w:val="bottom"/>
            <w:tcBorders>
              <w:bottom w:val="single" w:sz="8" w:color="2360A6"/>
              <w:right w:val="single" w:sz="8" w:color="2360A6"/>
            </w:tcBorders>
            <w:shd w:val="clear" w:color="auto" w:fill="D2DEEC"/>
          </w:tcPr>
          <w:p>
            <w:pPr>
              <w:jc w:val="right"/>
              <w:ind w:right="71"/>
              <w:spacing w:after="0"/>
              <w:rPr>
                <w:sz w:val="20"/>
                <w:szCs w:val="20"/>
                <w:color w:val="auto"/>
              </w:rPr>
            </w:pPr>
            <w:r>
              <w:rPr>
                <w:rFonts w:ascii="Arial" w:cs="Arial" w:eastAsia="Arial" w:hAnsi="Arial"/>
                <w:sz w:val="14"/>
                <w:szCs w:val="14"/>
                <w:b w:val="1"/>
                <w:bCs w:val="1"/>
                <w:color w:val="2360A6"/>
              </w:rPr>
              <w:t>2.7</w:t>
            </w:r>
          </w:p>
        </w:tc>
        <w:tc>
          <w:tcPr>
            <w:tcW w:w="1180" w:type="dxa"/>
            <w:vAlign w:val="bottom"/>
            <w:tcBorders>
              <w:bottom w:val="single" w:sz="8" w:color="2360A6"/>
              <w:right w:val="single" w:sz="8" w:color="2360A6"/>
            </w:tcBorders>
            <w:shd w:val="clear" w:color="auto" w:fill="D2DEEC"/>
          </w:tcPr>
          <w:p>
            <w:pPr>
              <w:jc w:val="right"/>
              <w:ind w:right="73"/>
              <w:spacing w:after="0"/>
              <w:rPr>
                <w:sz w:val="20"/>
                <w:szCs w:val="20"/>
                <w:color w:val="auto"/>
              </w:rPr>
            </w:pPr>
            <w:r>
              <w:rPr>
                <w:rFonts w:ascii="Arial" w:cs="Arial" w:eastAsia="Arial" w:hAnsi="Arial"/>
                <w:sz w:val="14"/>
                <w:szCs w:val="14"/>
                <w:b w:val="1"/>
                <w:bCs w:val="1"/>
                <w:color w:val="2360A6"/>
              </w:rPr>
              <w:t>2,610.3</w:t>
            </w:r>
          </w:p>
        </w:tc>
        <w:tc>
          <w:tcPr>
            <w:tcW w:w="420" w:type="dxa"/>
            <w:vAlign w:val="bottom"/>
            <w:tcBorders>
              <w:bottom w:val="single" w:sz="8" w:color="2360A6"/>
            </w:tcBorders>
            <w:shd w:val="clear" w:color="auto" w:fill="D2DEEC"/>
          </w:tcPr>
          <w:p>
            <w:pPr>
              <w:spacing w:after="0"/>
              <w:rPr>
                <w:sz w:val="18"/>
                <w:szCs w:val="18"/>
                <w:color w:val="auto"/>
              </w:rPr>
            </w:pPr>
          </w:p>
        </w:tc>
        <w:tc>
          <w:tcPr>
            <w:tcW w:w="760" w:type="dxa"/>
            <w:vAlign w:val="bottom"/>
            <w:tcBorders>
              <w:bottom w:val="single" w:sz="8" w:color="2360A6"/>
              <w:right w:val="single" w:sz="8" w:color="2360A6"/>
            </w:tcBorders>
            <w:shd w:val="clear" w:color="auto" w:fill="D2DEEC"/>
          </w:tcPr>
          <w:p>
            <w:pPr>
              <w:jc w:val="right"/>
              <w:ind w:right="51"/>
              <w:spacing w:after="0"/>
              <w:rPr>
                <w:sz w:val="20"/>
                <w:szCs w:val="20"/>
                <w:color w:val="auto"/>
              </w:rPr>
            </w:pPr>
            <w:r>
              <w:rPr>
                <w:rFonts w:ascii="Arial" w:cs="Arial" w:eastAsia="Arial" w:hAnsi="Arial"/>
                <w:sz w:val="14"/>
                <w:szCs w:val="14"/>
                <w:b w:val="1"/>
                <w:bCs w:val="1"/>
                <w:color w:val="2360A6"/>
              </w:rPr>
              <w:t>2,613.0</w:t>
            </w:r>
          </w:p>
        </w:tc>
        <w:tc>
          <w:tcPr>
            <w:tcW w:w="0" w:type="dxa"/>
            <w:vAlign w:val="bottom"/>
          </w:tcPr>
          <w:p>
            <w:pPr>
              <w:spacing w:after="0"/>
              <w:rPr>
                <w:sz w:val="1"/>
                <w:szCs w:val="1"/>
                <w:color w:val="auto"/>
              </w:rPr>
            </w:pPr>
          </w:p>
        </w:tc>
      </w:tr>
    </w:tbl>
    <w:p>
      <w:pPr>
        <w:sectPr>
          <w:pgSz w:w="11900" w:h="16838" w:orient="portrait"/>
          <w:cols w:equalWidth="0" w:num="1">
            <w:col w:w="11080"/>
          </w:cols>
          <w:pgMar w:left="320" w:top="676" w:right="499" w:bottom="1440" w:gutter="0" w:footer="0" w:header="0"/>
        </w:sectPr>
      </w:pPr>
    </w:p>
    <w:bookmarkStart w:id="141" w:name="page142"/>
    <w:bookmarkEnd w:id="141"/>
    <w:p>
      <w:pPr>
        <w:spacing w:after="0"/>
        <w:rPr>
          <w:sz w:val="20"/>
          <w:szCs w:val="20"/>
          <w:color w:val="auto"/>
        </w:rPr>
      </w:pPr>
      <w:r>
        <w:rPr>
          <w:rFonts w:ascii="Arial" w:cs="Arial" w:eastAsia="Arial" w:hAnsi="Arial"/>
          <w:sz w:val="29"/>
          <w:szCs w:val="29"/>
          <w:b w:val="1"/>
          <w:bCs w:val="1"/>
          <w:color w:val="2360A6"/>
        </w:rPr>
        <w:t>Note 22 Provisions (Current and Non-Current)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31F20"/>
        </w:rPr>
        <w:t>The principles used to evaluate the amounts and types of provisions for liabilities and charges are described in Note 1-C (u) - Provisions.</w:t>
      </w:r>
    </w:p>
    <w:p>
      <w:pPr>
        <w:spacing w:after="0" w:line="81"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Changes in Provisions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Changes in provisions over financial year 2016, 2015 and 2014 break down as follows:</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221"/>
        </w:trPr>
        <w:tc>
          <w:tcPr>
            <w:tcW w:w="2780" w:type="dxa"/>
            <w:vAlign w:val="bottom"/>
            <w:tcBorders>
              <w:top w:val="single" w:sz="8" w:color="2360A6"/>
              <w:left w:val="single" w:sz="8" w:color="2360A6"/>
            </w:tcBorders>
          </w:tcPr>
          <w:p>
            <w:pPr>
              <w:spacing w:after="0"/>
              <w:rPr>
                <w:sz w:val="19"/>
                <w:szCs w:val="19"/>
                <w:color w:val="auto"/>
              </w:rPr>
            </w:pPr>
          </w:p>
        </w:tc>
        <w:tc>
          <w:tcPr>
            <w:tcW w:w="220" w:type="dxa"/>
            <w:vAlign w:val="bottom"/>
            <w:tcBorders>
              <w:top w:val="single" w:sz="8" w:color="2360A6"/>
              <w:right w:val="single" w:sz="8" w:color="2360A6"/>
            </w:tcBorders>
          </w:tcPr>
          <w:p>
            <w:pPr>
              <w:spacing w:after="0"/>
              <w:rPr>
                <w:sz w:val="19"/>
                <w:szCs w:val="19"/>
                <w:color w:val="auto"/>
              </w:rPr>
            </w:pPr>
          </w:p>
        </w:tc>
        <w:tc>
          <w:tcPr>
            <w:tcW w:w="1060" w:type="dxa"/>
            <w:vAlign w:val="bottom"/>
            <w:tcBorders>
              <w:top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b w:val="1"/>
                <w:bCs w:val="1"/>
                <w:color w:val="2360A6"/>
              </w:rPr>
              <w:t>As of January</w:t>
            </w:r>
          </w:p>
        </w:tc>
        <w:tc>
          <w:tcPr>
            <w:tcW w:w="120" w:type="dxa"/>
            <w:vAlign w:val="bottom"/>
            <w:tcBorders>
              <w:top w:val="single" w:sz="8" w:color="2360A6"/>
              <w:right w:val="single" w:sz="8" w:color="2360A6"/>
            </w:tcBorders>
            <w:shd w:val="clear" w:color="auto" w:fill="EDEDEE"/>
          </w:tcPr>
          <w:p>
            <w:pPr>
              <w:spacing w:after="0"/>
              <w:rPr>
                <w:sz w:val="19"/>
                <w:szCs w:val="19"/>
                <w:color w:val="auto"/>
              </w:rPr>
            </w:pPr>
          </w:p>
        </w:tc>
        <w:tc>
          <w:tcPr>
            <w:tcW w:w="960" w:type="dxa"/>
            <w:vAlign w:val="bottom"/>
            <w:tcBorders>
              <w:top w:val="single" w:sz="8" w:color="2360A6"/>
            </w:tcBorders>
          </w:tcPr>
          <w:p>
            <w:pPr>
              <w:spacing w:after="0"/>
              <w:rPr>
                <w:sz w:val="19"/>
                <w:szCs w:val="19"/>
                <w:color w:val="auto"/>
              </w:rPr>
            </w:pPr>
          </w:p>
        </w:tc>
        <w:tc>
          <w:tcPr>
            <w:tcW w:w="100" w:type="dxa"/>
            <w:vAlign w:val="bottom"/>
            <w:tcBorders>
              <w:top w:val="single" w:sz="8" w:color="2360A6"/>
              <w:right w:val="single" w:sz="8" w:color="2360A6"/>
            </w:tcBorders>
          </w:tcPr>
          <w:p>
            <w:pPr>
              <w:spacing w:after="0"/>
              <w:rPr>
                <w:sz w:val="19"/>
                <w:szCs w:val="19"/>
                <w:color w:val="auto"/>
              </w:rPr>
            </w:pPr>
          </w:p>
        </w:tc>
        <w:tc>
          <w:tcPr>
            <w:tcW w:w="960" w:type="dxa"/>
            <w:vAlign w:val="bottom"/>
            <w:tcBorders>
              <w:top w:val="single" w:sz="8" w:color="2360A6"/>
            </w:tcBorders>
          </w:tcPr>
          <w:p>
            <w:pPr>
              <w:spacing w:after="0"/>
              <w:rPr>
                <w:sz w:val="19"/>
                <w:szCs w:val="19"/>
                <w:color w:val="auto"/>
              </w:rPr>
            </w:pPr>
          </w:p>
        </w:tc>
        <w:tc>
          <w:tcPr>
            <w:tcW w:w="100" w:type="dxa"/>
            <w:vAlign w:val="bottom"/>
            <w:tcBorders>
              <w:top w:val="single" w:sz="8" w:color="2360A6"/>
              <w:right w:val="single" w:sz="8" w:color="2360A6"/>
            </w:tcBorders>
          </w:tcPr>
          <w:p>
            <w:pPr>
              <w:spacing w:after="0"/>
              <w:rPr>
                <w:sz w:val="19"/>
                <w:szCs w:val="19"/>
                <w:color w:val="auto"/>
              </w:rPr>
            </w:pPr>
          </w:p>
        </w:tc>
        <w:tc>
          <w:tcPr>
            <w:tcW w:w="960" w:type="dxa"/>
            <w:vAlign w:val="bottom"/>
            <w:tcBorders>
              <w:top w:val="single" w:sz="8" w:color="2360A6"/>
            </w:tcBorders>
          </w:tcPr>
          <w:p>
            <w:pPr>
              <w:spacing w:after="0"/>
              <w:rPr>
                <w:sz w:val="19"/>
                <w:szCs w:val="19"/>
                <w:color w:val="auto"/>
              </w:rPr>
            </w:pPr>
          </w:p>
        </w:tc>
        <w:tc>
          <w:tcPr>
            <w:tcW w:w="120" w:type="dxa"/>
            <w:vAlign w:val="bottom"/>
            <w:tcBorders>
              <w:top w:val="single" w:sz="8" w:color="2360A6"/>
              <w:right w:val="single" w:sz="8" w:color="2360A6"/>
            </w:tcBorders>
          </w:tcPr>
          <w:p>
            <w:pPr>
              <w:spacing w:after="0"/>
              <w:rPr>
                <w:sz w:val="19"/>
                <w:szCs w:val="19"/>
                <w:color w:val="auto"/>
              </w:rPr>
            </w:pPr>
          </w:p>
        </w:tc>
        <w:tc>
          <w:tcPr>
            <w:tcW w:w="1160" w:type="dxa"/>
            <w:vAlign w:val="bottom"/>
            <w:tcBorders>
              <w:top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b w:val="1"/>
                <w:bCs w:val="1"/>
                <w:color w:val="2360A6"/>
              </w:rPr>
              <w:t>Foreign</w:t>
            </w:r>
          </w:p>
        </w:tc>
        <w:tc>
          <w:tcPr>
            <w:tcW w:w="720" w:type="dxa"/>
            <w:vAlign w:val="bottom"/>
            <w:tcBorders>
              <w:top w:val="single" w:sz="8" w:color="2360A6"/>
              <w:right w:val="single" w:sz="8" w:color="2360A6"/>
            </w:tcBorders>
          </w:tcPr>
          <w:p>
            <w:pPr>
              <w:spacing w:after="0"/>
              <w:rPr>
                <w:sz w:val="19"/>
                <w:szCs w:val="19"/>
                <w:color w:val="auto"/>
              </w:rPr>
            </w:pPr>
          </w:p>
        </w:tc>
        <w:tc>
          <w:tcPr>
            <w:tcW w:w="100" w:type="dxa"/>
            <w:vAlign w:val="bottom"/>
            <w:tcBorders>
              <w:top w:val="single" w:sz="8" w:color="2360A6"/>
              <w:right w:val="single" w:sz="8" w:color="1E4BA0"/>
            </w:tcBorders>
            <w:shd w:val="clear" w:color="auto" w:fill="1E4BA0"/>
          </w:tcPr>
          <w:p>
            <w:pPr>
              <w:spacing w:after="0"/>
              <w:rPr>
                <w:sz w:val="19"/>
                <w:szCs w:val="19"/>
                <w:color w:val="auto"/>
              </w:rPr>
            </w:pPr>
          </w:p>
        </w:tc>
        <w:tc>
          <w:tcPr>
            <w:tcW w:w="1240" w:type="dxa"/>
            <w:vAlign w:val="bottom"/>
            <w:tcBorders>
              <w:top w:val="single" w:sz="8" w:color="2360A6"/>
            </w:tcBorders>
            <w:gridSpan w:val="2"/>
            <w:shd w:val="clear" w:color="auto" w:fill="1E4BA0"/>
          </w:tcPr>
          <w:p>
            <w:pPr>
              <w:jc w:val="right"/>
              <w:ind w:right="100"/>
              <w:spacing w:after="0"/>
              <w:rPr>
                <w:sz w:val="20"/>
                <w:szCs w:val="20"/>
                <w:color w:val="auto"/>
              </w:rPr>
            </w:pPr>
            <w:r>
              <w:rPr>
                <w:rFonts w:ascii="Arial" w:cs="Arial" w:eastAsia="Arial" w:hAnsi="Arial"/>
                <w:sz w:val="13"/>
                <w:szCs w:val="13"/>
                <w:b w:val="1"/>
                <w:bCs w:val="1"/>
                <w:color w:val="FFFFFF"/>
              </w:rPr>
              <w:t>As of</w:t>
            </w:r>
          </w:p>
        </w:tc>
        <w:tc>
          <w:tcPr>
            <w:tcW w:w="20" w:type="dxa"/>
            <w:vAlign w:val="bottom"/>
            <w:tcBorders>
              <w:top w:val="single" w:sz="8" w:color="2360A6"/>
            </w:tcBorders>
            <w:shd w:val="clear" w:color="auto" w:fill="2360A6"/>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780" w:type="dxa"/>
            <w:vAlign w:val="bottom"/>
            <w:tcBorders>
              <w:left w:val="single" w:sz="8" w:color="2360A6"/>
            </w:tcBorders>
          </w:tcPr>
          <w:p>
            <w:pPr>
              <w:spacing w:after="0"/>
              <w:rPr>
                <w:sz w:val="11"/>
                <w:szCs w:val="11"/>
                <w:color w:val="auto"/>
              </w:rPr>
            </w:pPr>
          </w:p>
        </w:tc>
        <w:tc>
          <w:tcPr>
            <w:tcW w:w="220" w:type="dxa"/>
            <w:vAlign w:val="bottom"/>
            <w:tcBorders>
              <w:right w:val="single" w:sz="8" w:color="2360A6"/>
            </w:tcBorders>
          </w:tcPr>
          <w:p>
            <w:pPr>
              <w:spacing w:after="0"/>
              <w:rPr>
                <w:sz w:val="11"/>
                <w:szCs w:val="11"/>
                <w:color w:val="auto"/>
              </w:rPr>
            </w:pPr>
          </w:p>
        </w:tc>
        <w:tc>
          <w:tcPr>
            <w:tcW w:w="1060" w:type="dxa"/>
            <w:vAlign w:val="bottom"/>
            <w:tcBorders>
              <w:right w:val="single" w:sz="8" w:color="EDEDEE"/>
            </w:tcBorders>
            <w:gridSpan w:val="2"/>
            <w:shd w:val="clear" w:color="auto" w:fill="EDEDEE"/>
          </w:tcPr>
          <w:p>
            <w:pPr>
              <w:jc w:val="right"/>
              <w:ind w:right="20"/>
              <w:spacing w:after="0" w:line="135" w:lineRule="exact"/>
              <w:rPr>
                <w:sz w:val="20"/>
                <w:szCs w:val="20"/>
                <w:color w:val="auto"/>
              </w:rPr>
            </w:pPr>
            <w:r>
              <w:rPr>
                <w:rFonts w:ascii="Arial" w:cs="Arial" w:eastAsia="Arial" w:hAnsi="Arial"/>
                <w:sz w:val="13"/>
                <w:szCs w:val="13"/>
                <w:b w:val="1"/>
                <w:bCs w:val="1"/>
                <w:color w:val="2360A6"/>
              </w:rPr>
              <w:t>1,</w:t>
            </w:r>
          </w:p>
        </w:tc>
        <w:tc>
          <w:tcPr>
            <w:tcW w:w="120" w:type="dxa"/>
            <w:vAlign w:val="bottom"/>
            <w:tcBorders>
              <w:right w:val="single" w:sz="8" w:color="2360A6"/>
            </w:tcBorders>
            <w:shd w:val="clear" w:color="auto" w:fill="EDEDEE"/>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Borders>
              <w:right w:val="single" w:sz="8" w:color="2360A6"/>
            </w:tcBorders>
          </w:tcPr>
          <w:p>
            <w:pPr>
              <w:spacing w:after="0"/>
              <w:rPr>
                <w:sz w:val="11"/>
                <w:szCs w:val="11"/>
                <w:color w:val="auto"/>
              </w:rPr>
            </w:pPr>
          </w:p>
        </w:tc>
        <w:tc>
          <w:tcPr>
            <w:tcW w:w="1060" w:type="dxa"/>
            <w:vAlign w:val="bottom"/>
            <w:tcBorders>
              <w:right w:val="single" w:sz="8" w:color="2360A6"/>
            </w:tcBorders>
            <w:gridSpan w:val="2"/>
          </w:tcPr>
          <w:p>
            <w:pPr>
              <w:jc w:val="right"/>
              <w:ind w:right="120"/>
              <w:spacing w:after="0" w:line="135" w:lineRule="exact"/>
              <w:rPr>
                <w:sz w:val="20"/>
                <w:szCs w:val="20"/>
                <w:color w:val="auto"/>
              </w:rPr>
            </w:pPr>
            <w:r>
              <w:rPr>
                <w:rFonts w:ascii="Arial" w:cs="Arial" w:eastAsia="Arial" w:hAnsi="Arial"/>
                <w:sz w:val="13"/>
                <w:szCs w:val="13"/>
                <w:b w:val="1"/>
                <w:bCs w:val="1"/>
                <w:color w:val="2360A6"/>
              </w:rPr>
              <w:t>Used</w:t>
            </w:r>
          </w:p>
        </w:tc>
        <w:tc>
          <w:tcPr>
            <w:tcW w:w="1080" w:type="dxa"/>
            <w:vAlign w:val="bottom"/>
            <w:tcBorders>
              <w:right w:val="single" w:sz="8" w:color="2360A6"/>
            </w:tcBorders>
            <w:gridSpan w:val="2"/>
          </w:tcPr>
          <w:p>
            <w:pPr>
              <w:jc w:val="right"/>
              <w:ind w:right="140"/>
              <w:spacing w:after="0" w:line="135" w:lineRule="exact"/>
              <w:rPr>
                <w:sz w:val="20"/>
                <w:szCs w:val="20"/>
                <w:color w:val="auto"/>
              </w:rPr>
            </w:pPr>
            <w:r>
              <w:rPr>
                <w:rFonts w:ascii="Arial" w:cs="Arial" w:eastAsia="Arial" w:hAnsi="Arial"/>
                <w:sz w:val="13"/>
                <w:szCs w:val="13"/>
                <w:b w:val="1"/>
                <w:bCs w:val="1"/>
                <w:color w:val="2360A6"/>
              </w:rPr>
              <w:t>Unused</w:t>
            </w:r>
          </w:p>
        </w:tc>
        <w:tc>
          <w:tcPr>
            <w:tcW w:w="1160" w:type="dxa"/>
            <w:vAlign w:val="bottom"/>
            <w:tcBorders>
              <w:right w:val="single" w:sz="8" w:color="2360A6"/>
            </w:tcBorders>
            <w:gridSpan w:val="2"/>
          </w:tcPr>
          <w:p>
            <w:pPr>
              <w:jc w:val="right"/>
              <w:ind w:right="120"/>
              <w:spacing w:after="0" w:line="135" w:lineRule="exact"/>
              <w:rPr>
                <w:sz w:val="20"/>
                <w:szCs w:val="20"/>
                <w:color w:val="auto"/>
              </w:rPr>
            </w:pPr>
            <w:r>
              <w:rPr>
                <w:rFonts w:ascii="Arial" w:cs="Arial" w:eastAsia="Arial" w:hAnsi="Arial"/>
                <w:sz w:val="13"/>
                <w:szCs w:val="13"/>
                <w:b w:val="1"/>
                <w:bCs w:val="1"/>
                <w:color w:val="2360A6"/>
              </w:rPr>
              <w:t>Exchange</w:t>
            </w:r>
          </w:p>
        </w:tc>
        <w:tc>
          <w:tcPr>
            <w:tcW w:w="720" w:type="dxa"/>
            <w:vAlign w:val="bottom"/>
            <w:tcBorders>
              <w:right w:val="single" w:sz="8" w:color="2360A6"/>
            </w:tcBorders>
          </w:tcPr>
          <w:p>
            <w:pPr>
              <w:spacing w:after="0"/>
              <w:rPr>
                <w:sz w:val="11"/>
                <w:szCs w:val="11"/>
                <w:color w:val="auto"/>
              </w:rPr>
            </w:pPr>
          </w:p>
        </w:tc>
        <w:tc>
          <w:tcPr>
            <w:tcW w:w="100" w:type="dxa"/>
            <w:vAlign w:val="bottom"/>
            <w:tcBorders>
              <w:right w:val="single" w:sz="8" w:color="1E4BA0"/>
            </w:tcBorders>
            <w:shd w:val="clear" w:color="auto" w:fill="1E4BA0"/>
          </w:tcPr>
          <w:p>
            <w:pPr>
              <w:spacing w:after="0"/>
              <w:rPr>
                <w:sz w:val="11"/>
                <w:szCs w:val="11"/>
                <w:color w:val="auto"/>
              </w:rPr>
            </w:pPr>
          </w:p>
        </w:tc>
        <w:tc>
          <w:tcPr>
            <w:tcW w:w="1240" w:type="dxa"/>
            <w:vAlign w:val="bottom"/>
            <w:gridSpan w:val="2"/>
            <w:shd w:val="clear" w:color="auto" w:fill="1E4BA0"/>
          </w:tcPr>
          <w:p>
            <w:pPr>
              <w:jc w:val="right"/>
              <w:ind w:right="100"/>
              <w:spacing w:after="0" w:line="135" w:lineRule="exact"/>
              <w:rPr>
                <w:sz w:val="20"/>
                <w:szCs w:val="20"/>
                <w:color w:val="auto"/>
              </w:rPr>
            </w:pPr>
            <w:r>
              <w:rPr>
                <w:rFonts w:ascii="Arial" w:cs="Arial" w:eastAsia="Arial" w:hAnsi="Arial"/>
                <w:sz w:val="13"/>
                <w:szCs w:val="13"/>
                <w:b w:val="1"/>
                <w:bCs w:val="1"/>
                <w:color w:val="FFFFFF"/>
              </w:rPr>
              <w:t>December 31,</w:t>
            </w:r>
          </w:p>
        </w:tc>
        <w:tc>
          <w:tcPr>
            <w:tcW w:w="20" w:type="dxa"/>
            <w:vAlign w:val="bottom"/>
            <w:shd w:val="clear" w:color="auto" w:fill="2360A6"/>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i w:val="1"/>
                <w:iCs w:val="1"/>
                <w:color w:val="231F20"/>
              </w:rPr>
              <w:t>In millions of Euro</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b w:val="1"/>
                <w:bCs w:val="1"/>
                <w:color w:val="2360A6"/>
              </w:rPr>
              <w:t>2016</w:t>
            </w:r>
          </w:p>
        </w:tc>
        <w:tc>
          <w:tcPr>
            <w:tcW w:w="120" w:type="dxa"/>
            <w:vAlign w:val="bottom"/>
            <w:tcBorders>
              <w:bottom w:val="single" w:sz="8" w:color="2360A6"/>
              <w:right w:val="single" w:sz="8" w:color="2360A6"/>
            </w:tcBorders>
            <w:shd w:val="clear" w:color="auto" w:fill="EDEDEE"/>
          </w:tcPr>
          <w:p>
            <w:pPr>
              <w:spacing w:after="0"/>
              <w:rPr>
                <w:sz w:val="15"/>
                <w:szCs w:val="15"/>
                <w:color w:val="auto"/>
              </w:rPr>
            </w:pPr>
          </w:p>
        </w:tc>
        <w:tc>
          <w:tcPr>
            <w:tcW w:w="1060" w:type="dxa"/>
            <w:vAlign w:val="bottom"/>
            <w:tcBorders>
              <w:bottom w:val="single" w:sz="8" w:color="2360A6"/>
              <w:right w:val="single" w:sz="8" w:color="2360A6"/>
            </w:tcBorders>
            <w:gridSpan w:val="2"/>
          </w:tcPr>
          <w:p>
            <w:pPr>
              <w:ind w:left="420"/>
              <w:spacing w:after="0"/>
              <w:rPr>
                <w:sz w:val="20"/>
                <w:szCs w:val="20"/>
                <w:color w:val="auto"/>
              </w:rPr>
            </w:pPr>
            <w:r>
              <w:rPr>
                <w:rFonts w:ascii="Arial" w:cs="Arial" w:eastAsia="Arial" w:hAnsi="Arial"/>
                <w:sz w:val="13"/>
                <w:szCs w:val="13"/>
                <w:b w:val="1"/>
                <w:bCs w:val="1"/>
                <w:color w:val="2360A6"/>
              </w:rPr>
              <w:t>Increase</w:t>
            </w:r>
          </w:p>
        </w:tc>
        <w:tc>
          <w:tcPr>
            <w:tcW w:w="106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b w:val="1"/>
                <w:bCs w:val="1"/>
                <w:color w:val="2360A6"/>
              </w:rPr>
              <w:t>Reversals</w:t>
            </w:r>
          </w:p>
        </w:tc>
        <w:tc>
          <w:tcPr>
            <w:tcW w:w="1080" w:type="dxa"/>
            <w:vAlign w:val="bottom"/>
            <w:tcBorders>
              <w:bottom w:val="single" w:sz="8" w:color="2360A6"/>
              <w:right w:val="single" w:sz="8" w:color="2360A6"/>
            </w:tcBorders>
            <w:gridSpan w:val="2"/>
          </w:tcPr>
          <w:p>
            <w:pPr>
              <w:jc w:val="right"/>
              <w:ind w:right="140"/>
              <w:spacing w:after="0"/>
              <w:rPr>
                <w:sz w:val="20"/>
                <w:szCs w:val="20"/>
                <w:color w:val="auto"/>
              </w:rPr>
            </w:pPr>
            <w:r>
              <w:rPr>
                <w:rFonts w:ascii="Arial" w:cs="Arial" w:eastAsia="Arial" w:hAnsi="Arial"/>
                <w:sz w:val="13"/>
                <w:szCs w:val="13"/>
                <w:b w:val="1"/>
                <w:bCs w:val="1"/>
                <w:color w:val="2360A6"/>
              </w:rPr>
              <w:t>Reversals</w:t>
            </w:r>
          </w:p>
        </w:tc>
        <w:tc>
          <w:tcPr>
            <w:tcW w:w="116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b w:val="1"/>
                <w:bCs w:val="1"/>
                <w:color w:val="2360A6"/>
              </w:rPr>
              <w:t>Adjustments</w:t>
            </w:r>
          </w:p>
        </w:tc>
        <w:tc>
          <w:tcPr>
            <w:tcW w:w="72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Other</w:t>
            </w:r>
          </w:p>
        </w:tc>
        <w:tc>
          <w:tcPr>
            <w:tcW w:w="100" w:type="dxa"/>
            <w:vAlign w:val="bottom"/>
            <w:tcBorders>
              <w:bottom w:val="single" w:sz="8" w:color="2360A6"/>
              <w:right w:val="single" w:sz="8" w:color="1E4BA0"/>
            </w:tcBorders>
            <w:shd w:val="clear" w:color="auto" w:fill="1E4BA0"/>
          </w:tcPr>
          <w:p>
            <w:pPr>
              <w:spacing w:after="0"/>
              <w:rPr>
                <w:sz w:val="15"/>
                <w:szCs w:val="15"/>
                <w:color w:val="auto"/>
              </w:rPr>
            </w:pPr>
          </w:p>
        </w:tc>
        <w:tc>
          <w:tcPr>
            <w:tcW w:w="1160" w:type="dxa"/>
            <w:vAlign w:val="bottom"/>
            <w:tcBorders>
              <w:bottom w:val="single" w:sz="8" w:color="2360A6"/>
            </w:tcBorders>
            <w:shd w:val="clear" w:color="auto" w:fill="1E4BA0"/>
          </w:tcPr>
          <w:p>
            <w:pPr>
              <w:jc w:val="right"/>
              <w:spacing w:after="0"/>
              <w:rPr>
                <w:sz w:val="20"/>
                <w:szCs w:val="20"/>
                <w:color w:val="auto"/>
              </w:rPr>
            </w:pPr>
            <w:r>
              <w:rPr>
                <w:rFonts w:ascii="Arial" w:cs="Arial" w:eastAsia="Arial" w:hAnsi="Arial"/>
                <w:sz w:val="13"/>
                <w:szCs w:val="13"/>
                <w:b w:val="1"/>
                <w:bCs w:val="1"/>
                <w:color w:val="FFFFFF"/>
              </w:rPr>
              <w:t>2016</w:t>
            </w:r>
          </w:p>
        </w:tc>
        <w:tc>
          <w:tcPr>
            <w:tcW w:w="80" w:type="dxa"/>
            <w:vAlign w:val="bottom"/>
            <w:tcBorders>
              <w:bottom w:val="single" w:sz="8" w:color="2360A6"/>
            </w:tcBorders>
            <w:shd w:val="clear" w:color="auto" w:fill="1E4BA0"/>
          </w:tcPr>
          <w:p>
            <w:pPr>
              <w:spacing w:after="0"/>
              <w:rPr>
                <w:sz w:val="15"/>
                <w:szCs w:val="15"/>
                <w:color w:val="auto"/>
              </w:rPr>
            </w:pPr>
          </w:p>
        </w:tc>
        <w:tc>
          <w:tcPr>
            <w:tcW w:w="20" w:type="dxa"/>
            <w:vAlign w:val="bottom"/>
            <w:tcBorders>
              <w:bottom w:val="single" w:sz="8" w:color="2360A6"/>
            </w:tcBorders>
            <w:shd w:val="clear" w:color="auto" w:fill="2360A6"/>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Restructuring</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color w:val="231F20"/>
              </w:rPr>
              <w:t>22.6</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96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Borders>
              <w:bottom w:val="single" w:sz="8" w:color="2360A6"/>
              <w:right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auto"/>
              </w:rPr>
              <w:t>(7.2)</w:t>
            </w:r>
          </w:p>
        </w:tc>
        <w:tc>
          <w:tcPr>
            <w:tcW w:w="1080" w:type="dxa"/>
            <w:vAlign w:val="bottom"/>
            <w:tcBorders>
              <w:bottom w:val="single" w:sz="8" w:color="2360A6"/>
              <w:right w:val="single" w:sz="8" w:color="2360A6"/>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auto"/>
              </w:rPr>
              <w:t>(0.3)</w:t>
            </w:r>
          </w:p>
        </w:tc>
        <w:tc>
          <w:tcPr>
            <w:tcW w:w="72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2360A6"/>
              <w:right w:val="single" w:sz="8" w:color="EDEDEE"/>
            </w:tcBorders>
            <w:shd w:val="clear" w:color="auto" w:fill="EDEDEE"/>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auto"/>
              </w:rPr>
              <w:t>47.3</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Pensions and other Long-Term</w:t>
            </w:r>
          </w:p>
        </w:tc>
        <w:tc>
          <w:tcPr>
            <w:tcW w:w="940" w:type="dxa"/>
            <w:vAlign w:val="bottom"/>
            <w:shd w:val="clear" w:color="auto" w:fill="EDEDEE"/>
          </w:tcPr>
          <w:p>
            <w:pPr>
              <w:spacing w:after="0"/>
              <w:rPr>
                <w:sz w:val="18"/>
                <w:szCs w:val="18"/>
                <w:color w:val="auto"/>
              </w:rPr>
            </w:pPr>
          </w:p>
        </w:tc>
        <w:tc>
          <w:tcPr>
            <w:tcW w:w="120" w:type="dxa"/>
            <w:vAlign w:val="bottom"/>
            <w:tcBorders>
              <w:right w:val="single" w:sz="8" w:color="EDEDEE"/>
            </w:tcBorders>
            <w:shd w:val="clear" w:color="auto" w:fill="EDEDEE"/>
          </w:tcPr>
          <w:p>
            <w:pPr>
              <w:spacing w:after="0"/>
              <w:rPr>
                <w:sz w:val="18"/>
                <w:szCs w:val="18"/>
                <w:color w:val="auto"/>
              </w:rPr>
            </w:pPr>
          </w:p>
        </w:tc>
        <w:tc>
          <w:tcPr>
            <w:tcW w:w="120" w:type="dxa"/>
            <w:vAlign w:val="bottom"/>
            <w:tcBorders>
              <w:right w:val="single" w:sz="8" w:color="2360A6"/>
            </w:tcBorders>
            <w:shd w:val="clear" w:color="auto" w:fill="EDEDE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right w:val="single" w:sz="8" w:color="2360A6"/>
            </w:tcBorders>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Borders>
              <w:right w:val="single" w:sz="8" w:color="2360A6"/>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Borders>
              <w:right w:val="single" w:sz="8" w:color="2360A6"/>
            </w:tcBorders>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right w:val="single" w:sz="8" w:color="2360A6"/>
            </w:tcBorders>
          </w:tcPr>
          <w:p>
            <w:pPr>
              <w:spacing w:after="0"/>
              <w:rPr>
                <w:sz w:val="18"/>
                <w:szCs w:val="18"/>
                <w:color w:val="auto"/>
              </w:rPr>
            </w:pPr>
          </w:p>
        </w:tc>
        <w:tc>
          <w:tcPr>
            <w:tcW w:w="720" w:type="dxa"/>
            <w:vAlign w:val="bottom"/>
            <w:tcBorders>
              <w:right w:val="single" w:sz="8" w:color="2360A6"/>
            </w:tcBorders>
          </w:tcPr>
          <w:p>
            <w:pPr>
              <w:spacing w:after="0"/>
              <w:rPr>
                <w:sz w:val="18"/>
                <w:szCs w:val="18"/>
                <w:color w:val="auto"/>
              </w:rPr>
            </w:pPr>
          </w:p>
        </w:tc>
        <w:tc>
          <w:tcPr>
            <w:tcW w:w="100" w:type="dxa"/>
            <w:vAlign w:val="bottom"/>
            <w:tcBorders>
              <w:right w:val="single" w:sz="8" w:color="EDEDEE"/>
            </w:tcBorders>
            <w:shd w:val="clear" w:color="auto" w:fill="EDEDEE"/>
          </w:tcPr>
          <w:p>
            <w:pPr>
              <w:spacing w:after="0"/>
              <w:rPr>
                <w:sz w:val="18"/>
                <w:szCs w:val="18"/>
                <w:color w:val="auto"/>
              </w:rPr>
            </w:pPr>
          </w:p>
        </w:tc>
        <w:tc>
          <w:tcPr>
            <w:tcW w:w="1160" w:type="dxa"/>
            <w:vAlign w:val="bottom"/>
            <w:shd w:val="clear" w:color="auto" w:fill="EDEDEE"/>
          </w:tcPr>
          <w:p>
            <w:pPr>
              <w:spacing w:after="0"/>
              <w:rPr>
                <w:sz w:val="18"/>
                <w:szCs w:val="18"/>
                <w:color w:val="auto"/>
              </w:rPr>
            </w:pPr>
          </w:p>
        </w:tc>
        <w:tc>
          <w:tcPr>
            <w:tcW w:w="80" w:type="dxa"/>
            <w:vAlign w:val="bottom"/>
            <w:shd w:val="clear" w:color="auto" w:fill="EDEDEE"/>
          </w:tcPr>
          <w:p>
            <w:pPr>
              <w:spacing w:after="0"/>
              <w:rPr>
                <w:sz w:val="18"/>
                <w:szCs w:val="18"/>
                <w:color w:val="auto"/>
              </w:rPr>
            </w:pPr>
          </w:p>
        </w:tc>
        <w:tc>
          <w:tcPr>
            <w:tcW w:w="20" w:type="dxa"/>
            <w:vAlign w:val="bottom"/>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 xml:space="preserve">Employee Benefits </w:t>
            </w:r>
            <w:r>
              <w:rPr>
                <w:rFonts w:ascii="Arial" w:cs="Arial" w:eastAsia="Arial" w:hAnsi="Arial"/>
                <w:sz w:val="8"/>
                <w:szCs w:val="8"/>
                <w:color w:val="231F20"/>
              </w:rPr>
              <w:t>(1)</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color w:val="231F20"/>
              </w:rPr>
              <w:t>200.5</w:t>
            </w:r>
          </w:p>
        </w:tc>
        <w:tc>
          <w:tcPr>
            <w:tcW w:w="120" w:type="dxa"/>
            <w:vAlign w:val="bottom"/>
            <w:tcBorders>
              <w:bottom w:val="single" w:sz="8" w:color="2360A6"/>
              <w:right w:val="single" w:sz="8" w:color="2360A6"/>
            </w:tcBorders>
            <w:shd w:val="clear" w:color="auto" w:fill="EDEDEE"/>
          </w:tcPr>
          <w:p>
            <w:pPr>
              <w:spacing w:after="0"/>
              <w:rPr>
                <w:sz w:val="14"/>
                <w:szCs w:val="14"/>
                <w:color w:val="auto"/>
              </w:rPr>
            </w:pPr>
          </w:p>
        </w:tc>
        <w:tc>
          <w:tcPr>
            <w:tcW w:w="96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66.6</w:t>
            </w:r>
          </w:p>
        </w:tc>
        <w:tc>
          <w:tcPr>
            <w:tcW w:w="100" w:type="dxa"/>
            <w:vAlign w:val="bottom"/>
            <w:tcBorders>
              <w:bottom w:val="single" w:sz="8" w:color="2360A6"/>
              <w:right w:val="single" w:sz="8" w:color="2360A6"/>
            </w:tcBorders>
          </w:tcPr>
          <w:p>
            <w:pPr>
              <w:spacing w:after="0"/>
              <w:rPr>
                <w:sz w:val="14"/>
                <w:szCs w:val="14"/>
                <w:color w:val="auto"/>
              </w:rPr>
            </w:pPr>
          </w:p>
        </w:tc>
        <w:tc>
          <w:tcPr>
            <w:tcW w:w="106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auto"/>
              </w:rPr>
              <w:t>(17.5)</w:t>
            </w:r>
          </w:p>
        </w:tc>
        <w:tc>
          <w:tcPr>
            <w:tcW w:w="1080" w:type="dxa"/>
            <w:vAlign w:val="bottom"/>
            <w:tcBorders>
              <w:bottom w:val="single" w:sz="8" w:color="2360A6"/>
              <w:right w:val="single" w:sz="8" w:color="2360A6"/>
            </w:tcBorders>
            <w:gridSpan w:val="2"/>
          </w:tcPr>
          <w:p>
            <w:pPr>
              <w:jc w:val="right"/>
              <w:ind w:right="100"/>
              <w:spacing w:after="0"/>
              <w:rPr>
                <w:sz w:val="20"/>
                <w:szCs w:val="20"/>
                <w:color w:val="auto"/>
              </w:rPr>
            </w:pPr>
            <w:r>
              <w:rPr>
                <w:rFonts w:ascii="Arial" w:cs="Arial" w:eastAsia="Arial" w:hAnsi="Arial"/>
                <w:sz w:val="13"/>
                <w:szCs w:val="13"/>
                <w:color w:val="auto"/>
              </w:rPr>
              <w:t>(18.4)</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0.7</w:t>
            </w:r>
          </w:p>
        </w:tc>
        <w:tc>
          <w:tcPr>
            <w:tcW w:w="120" w:type="dxa"/>
            <w:vAlign w:val="bottom"/>
            <w:tcBorders>
              <w:bottom w:val="single" w:sz="8" w:color="2360A6"/>
              <w:right w:val="single" w:sz="8" w:color="2360A6"/>
            </w:tcBorders>
          </w:tcPr>
          <w:p>
            <w:pPr>
              <w:spacing w:after="0"/>
              <w:rPr>
                <w:sz w:val="14"/>
                <w:szCs w:val="14"/>
                <w:color w:val="auto"/>
              </w:rPr>
            </w:pPr>
          </w:p>
        </w:tc>
        <w:tc>
          <w:tcPr>
            <w:tcW w:w="72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(40.1)</w:t>
            </w:r>
          </w:p>
        </w:tc>
        <w:tc>
          <w:tcPr>
            <w:tcW w:w="100" w:type="dxa"/>
            <w:vAlign w:val="bottom"/>
            <w:tcBorders>
              <w:bottom w:val="single" w:sz="8" w:color="2360A6"/>
              <w:right w:val="single" w:sz="8" w:color="EDEDEE"/>
            </w:tcBorders>
            <w:shd w:val="clear" w:color="auto" w:fill="EDEDEE"/>
          </w:tcPr>
          <w:p>
            <w:pPr>
              <w:spacing w:after="0"/>
              <w:rPr>
                <w:sz w:val="14"/>
                <w:szCs w:val="14"/>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auto"/>
              </w:rPr>
              <w:t>191.8</w:t>
            </w:r>
          </w:p>
        </w:tc>
        <w:tc>
          <w:tcPr>
            <w:tcW w:w="80" w:type="dxa"/>
            <w:vAlign w:val="bottom"/>
            <w:tcBorders>
              <w:bottom w:val="single" w:sz="8" w:color="2360A6"/>
            </w:tcBorders>
            <w:shd w:val="clear" w:color="auto" w:fill="EDEDEE"/>
          </w:tcPr>
          <w:p>
            <w:pPr>
              <w:spacing w:after="0"/>
              <w:rPr>
                <w:sz w:val="14"/>
                <w:szCs w:val="14"/>
                <w:color w:val="auto"/>
              </w:rPr>
            </w:pPr>
          </w:p>
        </w:tc>
        <w:tc>
          <w:tcPr>
            <w:tcW w:w="20" w:type="dxa"/>
            <w:vAlign w:val="bottom"/>
            <w:tcBorders>
              <w:bottom w:val="single" w:sz="8" w:color="2360A6"/>
            </w:tcBorders>
            <w:shd w:val="clear" w:color="auto" w:fill="2360A6"/>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Tax</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color w:val="231F20"/>
              </w:rPr>
              <w:t>0.9</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96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2360A6"/>
              <w:right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2360A6"/>
              <w:right w:val="single" w:sz="8" w:color="2360A6"/>
            </w:tcBorders>
            <w:gridSpan w:val="2"/>
          </w:tcPr>
          <w:p>
            <w:pPr>
              <w:jc w:val="right"/>
              <w:ind w:right="100"/>
              <w:spacing w:after="0"/>
              <w:rPr>
                <w:sz w:val="20"/>
                <w:szCs w:val="20"/>
                <w:color w:val="auto"/>
              </w:rPr>
            </w:pPr>
            <w:r>
              <w:rPr>
                <w:rFonts w:ascii="Arial" w:cs="Arial" w:eastAsia="Arial" w:hAnsi="Arial"/>
                <w:sz w:val="13"/>
                <w:szCs w:val="13"/>
                <w:color w:val="auto"/>
              </w:rPr>
              <w:t>(0.9)</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2360A6"/>
              <w:right w:val="single" w:sz="8" w:color="2360A6"/>
            </w:tcBorders>
          </w:tcPr>
          <w:p>
            <w:pPr>
              <w:spacing w:after="0"/>
              <w:rPr>
                <w:sz w:val="18"/>
                <w:szCs w:val="18"/>
                <w:color w:val="auto"/>
              </w:rPr>
            </w:pPr>
          </w:p>
        </w:tc>
        <w:tc>
          <w:tcPr>
            <w:tcW w:w="72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2360A6"/>
              <w:right w:val="single" w:sz="8" w:color="EDEDEE"/>
            </w:tcBorders>
            <w:shd w:val="clear" w:color="auto" w:fill="EDEDEE"/>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auto"/>
              </w:rPr>
              <w:t>1.4</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Litigation</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color w:val="231F20"/>
              </w:rPr>
              <w:t>2.3</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060" w:type="dxa"/>
            <w:vAlign w:val="bottom"/>
            <w:tcBorders>
              <w:bottom w:val="single" w:sz="8" w:color="2360A6"/>
              <w:right w:val="single" w:sz="8" w:color="2360A6"/>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2360A6"/>
              <w:right w:val="single" w:sz="8" w:color="2360A6"/>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2360A6"/>
              <w:right w:val="single" w:sz="8" w:color="EDEDEE"/>
            </w:tcBorders>
            <w:shd w:val="clear" w:color="auto" w:fill="EDEDEE"/>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auto"/>
              </w:rPr>
              <w:t>2.3</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 xml:space="preserve">Provisions for Claims Incurred but not Reported </w:t>
            </w:r>
            <w:r>
              <w:rPr>
                <w:rFonts w:ascii="Arial" w:cs="Arial" w:eastAsia="Arial" w:hAnsi="Arial"/>
                <w:sz w:val="8"/>
                <w:szCs w:val="8"/>
                <w:color w:val="231F20"/>
              </w:rPr>
              <w:t>(2)</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color w:val="231F20"/>
              </w:rPr>
              <w:t>11.7</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96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Borders>
              <w:bottom w:val="single" w:sz="8" w:color="2360A6"/>
              <w:right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2360A6"/>
              <w:right w:val="single" w:sz="8" w:color="2360A6"/>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2360A6"/>
              <w:right w:val="single" w:sz="8" w:color="EDEDEE"/>
            </w:tcBorders>
            <w:shd w:val="clear" w:color="auto" w:fill="EDEDEE"/>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auto"/>
              </w:rPr>
              <w:t>22.9</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Other Non-Current Provisions</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color w:val="231F20"/>
              </w:rPr>
              <w:t>4.0</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96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7.3</w:t>
            </w:r>
          </w:p>
        </w:tc>
        <w:tc>
          <w:tcPr>
            <w:tcW w:w="100" w:type="dxa"/>
            <w:vAlign w:val="bottom"/>
            <w:tcBorders>
              <w:bottom w:val="single" w:sz="8" w:color="2360A6"/>
              <w:right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auto"/>
              </w:rPr>
              <w:t>(0.5)</w:t>
            </w:r>
          </w:p>
        </w:tc>
        <w:tc>
          <w:tcPr>
            <w:tcW w:w="1080" w:type="dxa"/>
            <w:vAlign w:val="bottom"/>
            <w:tcBorders>
              <w:bottom w:val="single" w:sz="8" w:color="2360A6"/>
              <w:right w:val="single" w:sz="8" w:color="2360A6"/>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2360A6"/>
              <w:right w:val="single" w:sz="8" w:color="2360A6"/>
            </w:tcBorders>
          </w:tcPr>
          <w:p>
            <w:pPr>
              <w:spacing w:after="0"/>
              <w:rPr>
                <w:sz w:val="18"/>
                <w:szCs w:val="18"/>
                <w:color w:val="auto"/>
              </w:rPr>
            </w:pPr>
          </w:p>
        </w:tc>
        <w:tc>
          <w:tcPr>
            <w:tcW w:w="72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2360A6"/>
              <w:right w:val="single" w:sz="8" w:color="EDEDEE"/>
            </w:tcBorders>
            <w:shd w:val="clear" w:color="auto" w:fill="EDEDEE"/>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auto"/>
              </w:rPr>
              <w:t>10.5</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b w:val="1"/>
                <w:bCs w:val="1"/>
                <w:color w:val="2360A6"/>
              </w:rPr>
              <w:t>Total Non-Current Provisions</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b w:val="1"/>
                <w:bCs w:val="1"/>
                <w:color w:val="2360A6"/>
              </w:rPr>
              <w:t>242.0</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960" w:type="dxa"/>
            <w:vAlign w:val="bottom"/>
            <w:tcBorders>
              <w:bottom w:val="single" w:sz="8" w:color="2360A6"/>
            </w:tcBorders>
          </w:tcPr>
          <w:p>
            <w:pPr>
              <w:jc w:val="right"/>
              <w:spacing w:after="0"/>
              <w:rPr>
                <w:sz w:val="20"/>
                <w:szCs w:val="20"/>
                <w:color w:val="auto"/>
              </w:rPr>
            </w:pPr>
            <w:r>
              <w:rPr>
                <w:rFonts w:ascii="Arial" w:cs="Arial" w:eastAsia="Arial" w:hAnsi="Arial"/>
                <w:sz w:val="13"/>
                <w:szCs w:val="13"/>
                <w:b w:val="1"/>
                <w:bCs w:val="1"/>
                <w:color w:val="2360A6"/>
              </w:rPr>
              <w:t>121.4</w:t>
            </w:r>
          </w:p>
        </w:tc>
        <w:tc>
          <w:tcPr>
            <w:tcW w:w="100" w:type="dxa"/>
            <w:vAlign w:val="bottom"/>
            <w:tcBorders>
              <w:bottom w:val="single" w:sz="8" w:color="2360A6"/>
              <w:right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b w:val="1"/>
                <w:bCs w:val="1"/>
                <w:color w:val="2360A6"/>
              </w:rPr>
              <w:t>(25.2)</w:t>
            </w:r>
          </w:p>
        </w:tc>
        <w:tc>
          <w:tcPr>
            <w:tcW w:w="1080" w:type="dxa"/>
            <w:vAlign w:val="bottom"/>
            <w:tcBorders>
              <w:bottom w:val="single" w:sz="8" w:color="2360A6"/>
              <w:right w:val="single" w:sz="8" w:color="2360A6"/>
            </w:tcBorders>
            <w:gridSpan w:val="2"/>
          </w:tcPr>
          <w:p>
            <w:pPr>
              <w:jc w:val="right"/>
              <w:ind w:right="100"/>
              <w:spacing w:after="0"/>
              <w:rPr>
                <w:sz w:val="20"/>
                <w:szCs w:val="20"/>
                <w:color w:val="auto"/>
              </w:rPr>
            </w:pPr>
            <w:r>
              <w:rPr>
                <w:rFonts w:ascii="Arial" w:cs="Arial" w:eastAsia="Arial" w:hAnsi="Arial"/>
                <w:sz w:val="13"/>
                <w:szCs w:val="13"/>
                <w:b w:val="1"/>
                <w:bCs w:val="1"/>
                <w:color w:val="2360A6"/>
              </w:rPr>
              <w:t>(19.3)</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3"/>
                <w:szCs w:val="13"/>
                <w:b w:val="1"/>
                <w:bCs w:val="1"/>
                <w:color w:val="2360A6"/>
              </w:rPr>
              <w:t>0.6</w:t>
            </w:r>
          </w:p>
        </w:tc>
        <w:tc>
          <w:tcPr>
            <w:tcW w:w="120" w:type="dxa"/>
            <w:vAlign w:val="bottom"/>
            <w:tcBorders>
              <w:bottom w:val="single" w:sz="8" w:color="2360A6"/>
              <w:right w:val="single" w:sz="8" w:color="2360A6"/>
            </w:tcBorders>
          </w:tcPr>
          <w:p>
            <w:pPr>
              <w:spacing w:after="0"/>
              <w:rPr>
                <w:sz w:val="18"/>
                <w:szCs w:val="18"/>
                <w:color w:val="auto"/>
              </w:rPr>
            </w:pPr>
          </w:p>
        </w:tc>
        <w:tc>
          <w:tcPr>
            <w:tcW w:w="72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(43.3)</w:t>
            </w:r>
          </w:p>
        </w:tc>
        <w:tc>
          <w:tcPr>
            <w:tcW w:w="100" w:type="dxa"/>
            <w:vAlign w:val="bottom"/>
            <w:tcBorders>
              <w:bottom w:val="single" w:sz="8" w:color="2360A6"/>
              <w:right w:val="single" w:sz="8" w:color="EDEDEE"/>
            </w:tcBorders>
            <w:shd w:val="clear" w:color="auto" w:fill="EDEDEE"/>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276.2</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00" w:type="dxa"/>
            <w:vAlign w:val="bottom"/>
            <w:tcBorders>
              <w:left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Pensions and other Long-Term Employee Benefits</w:t>
            </w:r>
          </w:p>
        </w:tc>
        <w:tc>
          <w:tcPr>
            <w:tcW w:w="1060" w:type="dxa"/>
            <w:vAlign w:val="bottom"/>
            <w:tcBorders>
              <w:right w:val="single" w:sz="8" w:color="EDEDEE"/>
            </w:tcBorders>
            <w:gridSpan w:val="2"/>
            <w:vMerge w:val="restart"/>
            <w:shd w:val="clear" w:color="auto" w:fill="EDEDEE"/>
          </w:tcPr>
          <w:p>
            <w:pPr>
              <w:jc w:val="right"/>
              <w:ind w:right="20"/>
              <w:spacing w:after="0"/>
              <w:rPr>
                <w:sz w:val="20"/>
                <w:szCs w:val="20"/>
                <w:color w:val="auto"/>
              </w:rPr>
            </w:pPr>
            <w:r>
              <w:rPr>
                <w:rFonts w:ascii="Arial" w:cs="Arial" w:eastAsia="Arial" w:hAnsi="Arial"/>
                <w:sz w:val="13"/>
                <w:szCs w:val="13"/>
                <w:color w:val="231F20"/>
              </w:rPr>
              <w:t>46.7</w:t>
            </w:r>
          </w:p>
        </w:tc>
        <w:tc>
          <w:tcPr>
            <w:tcW w:w="120" w:type="dxa"/>
            <w:vAlign w:val="bottom"/>
            <w:tcBorders>
              <w:right w:val="single" w:sz="8" w:color="2360A6"/>
            </w:tcBorders>
            <w:shd w:val="clear" w:color="auto" w:fill="EDEDEE"/>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29.7</w:t>
            </w:r>
          </w:p>
        </w:tc>
        <w:tc>
          <w:tcPr>
            <w:tcW w:w="100" w:type="dxa"/>
            <w:vAlign w:val="bottom"/>
            <w:tcBorders>
              <w:right w:val="single" w:sz="8" w:color="2360A6"/>
            </w:tcBorders>
          </w:tcPr>
          <w:p>
            <w:pPr>
              <w:spacing w:after="0"/>
              <w:rPr>
                <w:sz w:val="14"/>
                <w:szCs w:val="14"/>
                <w:color w:val="auto"/>
              </w:rPr>
            </w:pPr>
          </w:p>
        </w:tc>
        <w:tc>
          <w:tcPr>
            <w:tcW w:w="1060" w:type="dxa"/>
            <w:vAlign w:val="bottom"/>
            <w:tcBorders>
              <w:right w:val="single" w:sz="8" w:color="2360A6"/>
            </w:tcBorders>
            <w:gridSpan w:val="2"/>
            <w:vMerge w:val="restart"/>
          </w:tcPr>
          <w:p>
            <w:pPr>
              <w:jc w:val="right"/>
              <w:ind w:right="80"/>
              <w:spacing w:after="0"/>
              <w:rPr>
                <w:sz w:val="20"/>
                <w:szCs w:val="20"/>
                <w:color w:val="auto"/>
              </w:rPr>
            </w:pPr>
            <w:r>
              <w:rPr>
                <w:rFonts w:ascii="Arial" w:cs="Arial" w:eastAsia="Arial" w:hAnsi="Arial"/>
                <w:sz w:val="13"/>
                <w:szCs w:val="13"/>
                <w:color w:val="auto"/>
              </w:rPr>
              <w:t>(31.4)</w:t>
            </w:r>
          </w:p>
        </w:tc>
        <w:tc>
          <w:tcPr>
            <w:tcW w:w="1080" w:type="dxa"/>
            <w:vAlign w:val="bottom"/>
            <w:tcBorders>
              <w:right w:val="single" w:sz="8" w:color="2360A6"/>
            </w:tcBorders>
            <w:gridSpan w:val="2"/>
            <w:vMerge w:val="restart"/>
          </w:tcPr>
          <w:p>
            <w:pPr>
              <w:jc w:val="right"/>
              <w:ind w:right="100"/>
              <w:spacing w:after="0"/>
              <w:rPr>
                <w:sz w:val="20"/>
                <w:szCs w:val="20"/>
                <w:color w:val="auto"/>
              </w:rPr>
            </w:pPr>
            <w:r>
              <w:rPr>
                <w:rFonts w:ascii="Arial" w:cs="Arial" w:eastAsia="Arial" w:hAnsi="Arial"/>
                <w:sz w:val="13"/>
                <w:szCs w:val="13"/>
                <w:color w:val="auto"/>
              </w:rPr>
              <w:t>(0.3)</w:t>
            </w:r>
          </w:p>
        </w:tc>
        <w:tc>
          <w:tcPr>
            <w:tcW w:w="1160" w:type="dxa"/>
            <w:vAlign w:val="bottom"/>
            <w:tcBorders>
              <w:right w:val="single" w:sz="8" w:color="2360A6"/>
            </w:tcBorders>
            <w:gridSpan w:val="2"/>
            <w:vMerge w:val="restart"/>
          </w:tcPr>
          <w:p>
            <w:pPr>
              <w:jc w:val="right"/>
              <w:ind w:right="80"/>
              <w:spacing w:after="0"/>
              <w:rPr>
                <w:sz w:val="20"/>
                <w:szCs w:val="20"/>
                <w:color w:val="auto"/>
              </w:rPr>
            </w:pPr>
            <w:r>
              <w:rPr>
                <w:rFonts w:ascii="Arial" w:cs="Arial" w:eastAsia="Arial" w:hAnsi="Arial"/>
                <w:sz w:val="13"/>
                <w:szCs w:val="13"/>
                <w:color w:val="auto"/>
              </w:rPr>
              <w:t>(0.7)</w:t>
            </w:r>
          </w:p>
        </w:tc>
        <w:tc>
          <w:tcPr>
            <w:tcW w:w="720" w:type="dxa"/>
            <w:vAlign w:val="bottom"/>
            <w:tcBorders>
              <w:right w:val="single" w:sz="8" w:color="2360A6"/>
            </w:tcBorders>
            <w:vMerge w:val="restart"/>
          </w:tcPr>
          <w:p>
            <w:pPr>
              <w:jc w:val="right"/>
              <w:ind w:right="17"/>
              <w:spacing w:after="0"/>
              <w:rPr>
                <w:sz w:val="20"/>
                <w:szCs w:val="20"/>
                <w:color w:val="auto"/>
              </w:rPr>
            </w:pPr>
            <w:r>
              <w:rPr>
                <w:rFonts w:ascii="Arial" w:cs="Arial" w:eastAsia="Arial" w:hAnsi="Arial"/>
                <w:sz w:val="13"/>
                <w:szCs w:val="13"/>
                <w:color w:val="auto"/>
              </w:rPr>
              <w:t>(8.4)</w:t>
            </w:r>
          </w:p>
        </w:tc>
        <w:tc>
          <w:tcPr>
            <w:tcW w:w="100" w:type="dxa"/>
            <w:vAlign w:val="bottom"/>
            <w:tcBorders>
              <w:right w:val="single" w:sz="8" w:color="EDEDEE"/>
            </w:tcBorders>
            <w:shd w:val="clear" w:color="auto" w:fill="EDEDEE"/>
          </w:tcPr>
          <w:p>
            <w:pPr>
              <w:spacing w:after="0"/>
              <w:rPr>
                <w:sz w:val="14"/>
                <w:szCs w:val="14"/>
                <w:color w:val="auto"/>
              </w:rPr>
            </w:pPr>
          </w:p>
        </w:tc>
        <w:tc>
          <w:tcPr>
            <w:tcW w:w="11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auto"/>
              </w:rPr>
              <w:t>35.6</w:t>
            </w:r>
          </w:p>
        </w:tc>
        <w:tc>
          <w:tcPr>
            <w:tcW w:w="80" w:type="dxa"/>
            <w:vAlign w:val="bottom"/>
            <w:shd w:val="clear" w:color="auto" w:fill="EDEDEE"/>
          </w:tcPr>
          <w:p>
            <w:pPr>
              <w:spacing w:after="0"/>
              <w:rPr>
                <w:sz w:val="14"/>
                <w:szCs w:val="14"/>
                <w:color w:val="auto"/>
              </w:rPr>
            </w:pPr>
          </w:p>
        </w:tc>
        <w:tc>
          <w:tcPr>
            <w:tcW w:w="20" w:type="dxa"/>
            <w:vAlign w:val="bottom"/>
            <w:shd w:val="clear" w:color="auto" w:fill="2360A6"/>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80" w:type="dxa"/>
            <w:vAlign w:val="bottom"/>
            <w:tcBorders>
              <w:left w:val="single" w:sz="8" w:color="2360A6"/>
              <w:bottom w:val="single" w:sz="8" w:color="2360A6"/>
            </w:tcBorders>
          </w:tcPr>
          <w:p>
            <w:pPr>
              <w:ind w:left="20"/>
              <w:spacing w:after="0"/>
              <w:rPr>
                <w:sz w:val="20"/>
                <w:szCs w:val="20"/>
                <w:color w:val="auto"/>
              </w:rPr>
            </w:pPr>
            <w:r>
              <w:rPr>
                <w:rFonts w:ascii="Arial" w:cs="Arial" w:eastAsia="Arial" w:hAnsi="Arial"/>
                <w:sz w:val="9"/>
                <w:szCs w:val="9"/>
                <w:color w:val="231F20"/>
              </w:rPr>
              <w:t>(1)</w:t>
            </w:r>
          </w:p>
        </w:tc>
        <w:tc>
          <w:tcPr>
            <w:tcW w:w="220" w:type="dxa"/>
            <w:vAlign w:val="bottom"/>
            <w:tcBorders>
              <w:bottom w:val="single" w:sz="8" w:color="2360A6"/>
              <w:right w:val="single" w:sz="8" w:color="2360A6"/>
            </w:tcBorders>
          </w:tcPr>
          <w:p>
            <w:pPr>
              <w:spacing w:after="0"/>
              <w:rPr>
                <w:sz w:val="11"/>
                <w:szCs w:val="11"/>
                <w:color w:val="auto"/>
              </w:rPr>
            </w:pPr>
          </w:p>
        </w:tc>
        <w:tc>
          <w:tcPr>
            <w:tcW w:w="1060" w:type="dxa"/>
            <w:vAlign w:val="bottom"/>
            <w:tcBorders>
              <w:bottom w:val="single" w:sz="8" w:color="2360A6"/>
              <w:right w:val="single" w:sz="8" w:color="EDEDEE"/>
            </w:tcBorders>
            <w:gridSpan w:val="2"/>
            <w:vMerge w:val="continue"/>
            <w:shd w:val="clear" w:color="auto" w:fill="EDEDEE"/>
          </w:tcPr>
          <w:p>
            <w:pPr>
              <w:spacing w:after="0"/>
              <w:rPr>
                <w:sz w:val="11"/>
                <w:szCs w:val="11"/>
                <w:color w:val="auto"/>
              </w:rPr>
            </w:pPr>
          </w:p>
        </w:tc>
        <w:tc>
          <w:tcPr>
            <w:tcW w:w="120" w:type="dxa"/>
            <w:vAlign w:val="bottom"/>
            <w:tcBorders>
              <w:bottom w:val="single" w:sz="8" w:color="2360A6"/>
              <w:right w:val="single" w:sz="8" w:color="2360A6"/>
            </w:tcBorders>
            <w:shd w:val="clear" w:color="auto" w:fill="EDEDEE"/>
          </w:tcPr>
          <w:p>
            <w:pPr>
              <w:spacing w:after="0"/>
              <w:rPr>
                <w:sz w:val="11"/>
                <w:szCs w:val="11"/>
                <w:color w:val="auto"/>
              </w:rPr>
            </w:pPr>
          </w:p>
        </w:tc>
        <w:tc>
          <w:tcPr>
            <w:tcW w:w="960" w:type="dxa"/>
            <w:vAlign w:val="bottom"/>
            <w:tcBorders>
              <w:bottom w:val="single" w:sz="8" w:color="2360A6"/>
            </w:tcBorders>
            <w:vMerge w:val="continue"/>
          </w:tcPr>
          <w:p>
            <w:pPr>
              <w:spacing w:after="0"/>
              <w:rPr>
                <w:sz w:val="11"/>
                <w:szCs w:val="11"/>
                <w:color w:val="auto"/>
              </w:rPr>
            </w:pPr>
          </w:p>
        </w:tc>
        <w:tc>
          <w:tcPr>
            <w:tcW w:w="100" w:type="dxa"/>
            <w:vAlign w:val="bottom"/>
            <w:tcBorders>
              <w:bottom w:val="single" w:sz="8" w:color="2360A6"/>
              <w:right w:val="single" w:sz="8" w:color="2360A6"/>
            </w:tcBorders>
          </w:tcPr>
          <w:p>
            <w:pPr>
              <w:spacing w:after="0"/>
              <w:rPr>
                <w:sz w:val="11"/>
                <w:szCs w:val="11"/>
                <w:color w:val="auto"/>
              </w:rPr>
            </w:pPr>
          </w:p>
        </w:tc>
        <w:tc>
          <w:tcPr>
            <w:tcW w:w="1060" w:type="dxa"/>
            <w:vAlign w:val="bottom"/>
            <w:tcBorders>
              <w:bottom w:val="single" w:sz="8" w:color="2360A6"/>
              <w:right w:val="single" w:sz="8" w:color="2360A6"/>
            </w:tcBorders>
            <w:gridSpan w:val="2"/>
            <w:vMerge w:val="continue"/>
          </w:tcPr>
          <w:p>
            <w:pPr>
              <w:spacing w:after="0"/>
              <w:rPr>
                <w:sz w:val="11"/>
                <w:szCs w:val="11"/>
                <w:color w:val="auto"/>
              </w:rPr>
            </w:pPr>
          </w:p>
        </w:tc>
        <w:tc>
          <w:tcPr>
            <w:tcW w:w="1080" w:type="dxa"/>
            <w:vAlign w:val="bottom"/>
            <w:tcBorders>
              <w:bottom w:val="single" w:sz="8" w:color="2360A6"/>
              <w:right w:val="single" w:sz="8" w:color="2360A6"/>
            </w:tcBorders>
            <w:gridSpan w:val="2"/>
            <w:vMerge w:val="continue"/>
          </w:tcPr>
          <w:p>
            <w:pPr>
              <w:spacing w:after="0"/>
              <w:rPr>
                <w:sz w:val="11"/>
                <w:szCs w:val="11"/>
                <w:color w:val="auto"/>
              </w:rPr>
            </w:pPr>
          </w:p>
        </w:tc>
        <w:tc>
          <w:tcPr>
            <w:tcW w:w="1160" w:type="dxa"/>
            <w:vAlign w:val="bottom"/>
            <w:tcBorders>
              <w:bottom w:val="single" w:sz="8" w:color="2360A6"/>
              <w:right w:val="single" w:sz="8" w:color="2360A6"/>
            </w:tcBorders>
            <w:gridSpan w:val="2"/>
            <w:vMerge w:val="continue"/>
          </w:tcPr>
          <w:p>
            <w:pPr>
              <w:spacing w:after="0"/>
              <w:rPr>
                <w:sz w:val="11"/>
                <w:szCs w:val="11"/>
                <w:color w:val="auto"/>
              </w:rPr>
            </w:pPr>
          </w:p>
        </w:tc>
        <w:tc>
          <w:tcPr>
            <w:tcW w:w="720" w:type="dxa"/>
            <w:vAlign w:val="bottom"/>
            <w:tcBorders>
              <w:bottom w:val="single" w:sz="8" w:color="2360A6"/>
              <w:right w:val="single" w:sz="8" w:color="2360A6"/>
            </w:tcBorders>
            <w:vMerge w:val="continue"/>
          </w:tcPr>
          <w:p>
            <w:pPr>
              <w:spacing w:after="0"/>
              <w:rPr>
                <w:sz w:val="11"/>
                <w:szCs w:val="11"/>
                <w:color w:val="auto"/>
              </w:rPr>
            </w:pPr>
          </w:p>
        </w:tc>
        <w:tc>
          <w:tcPr>
            <w:tcW w:w="100" w:type="dxa"/>
            <w:vAlign w:val="bottom"/>
            <w:tcBorders>
              <w:bottom w:val="single" w:sz="8" w:color="2360A6"/>
              <w:right w:val="single" w:sz="8" w:color="EDEDEE"/>
            </w:tcBorders>
            <w:shd w:val="clear" w:color="auto" w:fill="EDEDEE"/>
          </w:tcPr>
          <w:p>
            <w:pPr>
              <w:spacing w:after="0"/>
              <w:rPr>
                <w:sz w:val="11"/>
                <w:szCs w:val="11"/>
                <w:color w:val="auto"/>
              </w:rPr>
            </w:pPr>
          </w:p>
        </w:tc>
        <w:tc>
          <w:tcPr>
            <w:tcW w:w="1160" w:type="dxa"/>
            <w:vAlign w:val="bottom"/>
            <w:tcBorders>
              <w:bottom w:val="single" w:sz="8" w:color="2360A6"/>
            </w:tcBorders>
            <w:vMerge w:val="continue"/>
            <w:shd w:val="clear" w:color="auto" w:fill="EDEDEE"/>
          </w:tcPr>
          <w:p>
            <w:pPr>
              <w:spacing w:after="0"/>
              <w:rPr>
                <w:sz w:val="11"/>
                <w:szCs w:val="11"/>
                <w:color w:val="auto"/>
              </w:rPr>
            </w:pPr>
          </w:p>
        </w:tc>
        <w:tc>
          <w:tcPr>
            <w:tcW w:w="80" w:type="dxa"/>
            <w:vAlign w:val="bottom"/>
            <w:tcBorders>
              <w:bottom w:val="single" w:sz="8" w:color="2360A6"/>
            </w:tcBorders>
            <w:shd w:val="clear" w:color="auto" w:fill="EDEDEE"/>
          </w:tcPr>
          <w:p>
            <w:pPr>
              <w:spacing w:after="0"/>
              <w:rPr>
                <w:sz w:val="11"/>
                <w:szCs w:val="11"/>
                <w:color w:val="auto"/>
              </w:rPr>
            </w:pPr>
          </w:p>
        </w:tc>
        <w:tc>
          <w:tcPr>
            <w:tcW w:w="20" w:type="dxa"/>
            <w:vAlign w:val="bottom"/>
            <w:tcBorders>
              <w:bottom w:val="single" w:sz="8" w:color="2360A6"/>
            </w:tcBorders>
            <w:shd w:val="clear" w:color="auto" w:fill="2360A6"/>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 xml:space="preserve">Contingencies related to Contracts </w:t>
            </w:r>
            <w:r>
              <w:rPr>
                <w:rFonts w:ascii="Arial" w:cs="Arial" w:eastAsia="Arial" w:hAnsi="Arial"/>
                <w:sz w:val="8"/>
                <w:szCs w:val="8"/>
                <w:color w:val="231F20"/>
              </w:rPr>
              <w:t>(3)</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color w:val="231F20"/>
              </w:rPr>
              <w:t>268.5</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96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156.2</w:t>
            </w:r>
          </w:p>
        </w:tc>
        <w:tc>
          <w:tcPr>
            <w:tcW w:w="100" w:type="dxa"/>
            <w:vAlign w:val="bottom"/>
            <w:tcBorders>
              <w:bottom w:val="single" w:sz="8" w:color="2360A6"/>
              <w:right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auto"/>
              </w:rPr>
              <w:t>(23.5)</w:t>
            </w:r>
          </w:p>
        </w:tc>
        <w:tc>
          <w:tcPr>
            <w:tcW w:w="1080" w:type="dxa"/>
            <w:vAlign w:val="bottom"/>
            <w:tcBorders>
              <w:bottom w:val="single" w:sz="8" w:color="2360A6"/>
              <w:right w:val="single" w:sz="8" w:color="2360A6"/>
            </w:tcBorders>
            <w:gridSpan w:val="2"/>
          </w:tcPr>
          <w:p>
            <w:pPr>
              <w:jc w:val="right"/>
              <w:ind w:right="100"/>
              <w:spacing w:after="0"/>
              <w:rPr>
                <w:sz w:val="20"/>
                <w:szCs w:val="20"/>
                <w:color w:val="auto"/>
              </w:rPr>
            </w:pPr>
            <w:r>
              <w:rPr>
                <w:rFonts w:ascii="Arial" w:cs="Arial" w:eastAsia="Arial" w:hAnsi="Arial"/>
                <w:sz w:val="13"/>
                <w:szCs w:val="13"/>
                <w:color w:val="auto"/>
              </w:rPr>
              <w:t>(47.4)</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2360A6"/>
              <w:right w:val="single" w:sz="8" w:color="2360A6"/>
            </w:tcBorders>
          </w:tcPr>
          <w:p>
            <w:pPr>
              <w:spacing w:after="0"/>
              <w:rPr>
                <w:sz w:val="18"/>
                <w:szCs w:val="18"/>
                <w:color w:val="auto"/>
              </w:rPr>
            </w:pPr>
          </w:p>
        </w:tc>
        <w:tc>
          <w:tcPr>
            <w:tcW w:w="72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2360A6"/>
              <w:right w:val="single" w:sz="8" w:color="EDEDEE"/>
            </w:tcBorders>
            <w:shd w:val="clear" w:color="auto" w:fill="EDEDEE"/>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auto"/>
              </w:rPr>
              <w:t>351.1</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Restructuring</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color w:val="231F20"/>
              </w:rPr>
              <w:t>27.6</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96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Borders>
              <w:bottom w:val="single" w:sz="8" w:color="2360A6"/>
              <w:right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auto"/>
              </w:rPr>
              <w:t>(24.9)</w:t>
            </w:r>
          </w:p>
        </w:tc>
        <w:tc>
          <w:tcPr>
            <w:tcW w:w="1080" w:type="dxa"/>
            <w:vAlign w:val="bottom"/>
            <w:tcBorders>
              <w:bottom w:val="single" w:sz="8" w:color="2360A6"/>
              <w:right w:val="single" w:sz="8" w:color="2360A6"/>
            </w:tcBorders>
            <w:gridSpan w:val="2"/>
          </w:tcPr>
          <w:p>
            <w:pPr>
              <w:jc w:val="right"/>
              <w:ind w:right="100"/>
              <w:spacing w:after="0"/>
              <w:rPr>
                <w:sz w:val="20"/>
                <w:szCs w:val="20"/>
                <w:color w:val="auto"/>
              </w:rPr>
            </w:pPr>
            <w:r>
              <w:rPr>
                <w:rFonts w:ascii="Arial" w:cs="Arial" w:eastAsia="Arial" w:hAnsi="Arial"/>
                <w:sz w:val="13"/>
                <w:szCs w:val="13"/>
                <w:color w:val="auto"/>
              </w:rPr>
              <w:t>(0.2)</w:t>
            </w:r>
          </w:p>
        </w:tc>
        <w:tc>
          <w:tcPr>
            <w:tcW w:w="116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auto"/>
              </w:rPr>
              <w:t>(0.3)</w:t>
            </w:r>
          </w:p>
        </w:tc>
        <w:tc>
          <w:tcPr>
            <w:tcW w:w="72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2360A6"/>
              <w:right w:val="single" w:sz="8" w:color="EDEDEE"/>
            </w:tcBorders>
            <w:shd w:val="clear" w:color="auto" w:fill="EDEDEE"/>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auto"/>
              </w:rPr>
              <w:t>54.0</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Tax</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color w:val="231F20"/>
              </w:rPr>
              <w:t>21.2</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96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Borders>
              <w:bottom w:val="single" w:sz="8" w:color="2360A6"/>
              <w:right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auto"/>
              </w:rPr>
              <w:t>(4.6)</w:t>
            </w:r>
          </w:p>
        </w:tc>
        <w:tc>
          <w:tcPr>
            <w:tcW w:w="1080" w:type="dxa"/>
            <w:vAlign w:val="bottom"/>
            <w:tcBorders>
              <w:bottom w:val="single" w:sz="8" w:color="2360A6"/>
              <w:right w:val="single" w:sz="8" w:color="2360A6"/>
            </w:tcBorders>
            <w:gridSpan w:val="2"/>
          </w:tcPr>
          <w:p>
            <w:pPr>
              <w:jc w:val="right"/>
              <w:ind w:right="100"/>
              <w:spacing w:after="0"/>
              <w:rPr>
                <w:sz w:val="20"/>
                <w:szCs w:val="20"/>
                <w:color w:val="auto"/>
              </w:rPr>
            </w:pPr>
            <w:r>
              <w:rPr>
                <w:rFonts w:ascii="Arial" w:cs="Arial" w:eastAsia="Arial" w:hAnsi="Arial"/>
                <w:sz w:val="13"/>
                <w:szCs w:val="13"/>
                <w:color w:val="auto"/>
              </w:rPr>
              <w:t>(0.1)</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5.3</w:t>
            </w:r>
          </w:p>
        </w:tc>
        <w:tc>
          <w:tcPr>
            <w:tcW w:w="120" w:type="dxa"/>
            <w:vAlign w:val="bottom"/>
            <w:tcBorders>
              <w:bottom w:val="single" w:sz="8" w:color="2360A6"/>
              <w:right w:val="single" w:sz="8" w:color="2360A6"/>
            </w:tcBorders>
          </w:tcPr>
          <w:p>
            <w:pPr>
              <w:spacing w:after="0"/>
              <w:rPr>
                <w:sz w:val="18"/>
                <w:szCs w:val="18"/>
                <w:color w:val="auto"/>
              </w:rPr>
            </w:pPr>
          </w:p>
        </w:tc>
        <w:tc>
          <w:tcPr>
            <w:tcW w:w="72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0.9</w:t>
            </w:r>
          </w:p>
        </w:tc>
        <w:tc>
          <w:tcPr>
            <w:tcW w:w="100" w:type="dxa"/>
            <w:vAlign w:val="bottom"/>
            <w:tcBorders>
              <w:bottom w:val="single" w:sz="8" w:color="2360A6"/>
              <w:right w:val="single" w:sz="8" w:color="EDEDEE"/>
            </w:tcBorders>
            <w:shd w:val="clear" w:color="auto" w:fill="EDEDEE"/>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auto"/>
              </w:rPr>
              <w:t>33.1</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 xml:space="preserve">Litigation </w:t>
            </w:r>
            <w:r>
              <w:rPr>
                <w:rFonts w:ascii="Arial" w:cs="Arial" w:eastAsia="Arial" w:hAnsi="Arial"/>
                <w:sz w:val="8"/>
                <w:szCs w:val="8"/>
                <w:color w:val="231F20"/>
              </w:rPr>
              <w:t>(4)</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color w:val="231F20"/>
              </w:rPr>
              <w:t>9.6</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96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Borders>
              <w:bottom w:val="single" w:sz="8" w:color="2360A6"/>
              <w:right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auto"/>
              </w:rPr>
              <w:t>(1.5)</w:t>
            </w:r>
          </w:p>
        </w:tc>
        <w:tc>
          <w:tcPr>
            <w:tcW w:w="1080" w:type="dxa"/>
            <w:vAlign w:val="bottom"/>
            <w:tcBorders>
              <w:bottom w:val="single" w:sz="8" w:color="2360A6"/>
              <w:right w:val="single" w:sz="8" w:color="2360A6"/>
            </w:tcBorders>
            <w:gridSpan w:val="2"/>
          </w:tcPr>
          <w:p>
            <w:pPr>
              <w:jc w:val="right"/>
              <w:ind w:right="100"/>
              <w:spacing w:after="0"/>
              <w:rPr>
                <w:sz w:val="20"/>
                <w:szCs w:val="20"/>
                <w:color w:val="auto"/>
              </w:rPr>
            </w:pPr>
            <w:r>
              <w:rPr>
                <w:rFonts w:ascii="Arial" w:cs="Arial" w:eastAsia="Arial" w:hAnsi="Arial"/>
                <w:sz w:val="13"/>
                <w:szCs w:val="13"/>
                <w:color w:val="auto"/>
              </w:rPr>
              <w:t>(0.5)</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4.3</w:t>
            </w:r>
          </w:p>
        </w:tc>
        <w:tc>
          <w:tcPr>
            <w:tcW w:w="120" w:type="dxa"/>
            <w:vAlign w:val="bottom"/>
            <w:tcBorders>
              <w:bottom w:val="single" w:sz="8" w:color="2360A6"/>
              <w:right w:val="single" w:sz="8" w:color="2360A6"/>
            </w:tcBorders>
          </w:tcPr>
          <w:p>
            <w:pPr>
              <w:spacing w:after="0"/>
              <w:rPr>
                <w:sz w:val="18"/>
                <w:szCs w:val="18"/>
                <w:color w:val="auto"/>
              </w:rPr>
            </w:pPr>
          </w:p>
        </w:tc>
        <w:tc>
          <w:tcPr>
            <w:tcW w:w="72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2360A6"/>
              <w:right w:val="single" w:sz="8" w:color="EDEDEE"/>
            </w:tcBorders>
            <w:shd w:val="clear" w:color="auto" w:fill="EDEDEE"/>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auto"/>
              </w:rPr>
              <w:t>29.4</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 xml:space="preserve">Provisions for Claims </w:t>
            </w:r>
            <w:r>
              <w:rPr>
                <w:rFonts w:ascii="Arial" w:cs="Arial" w:eastAsia="Arial" w:hAnsi="Arial"/>
                <w:sz w:val="8"/>
                <w:szCs w:val="8"/>
                <w:color w:val="231F20"/>
              </w:rPr>
              <w:t>(2)</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color w:val="231F20"/>
              </w:rPr>
              <w:t>7.9</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96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16.5</w:t>
            </w:r>
          </w:p>
        </w:tc>
        <w:tc>
          <w:tcPr>
            <w:tcW w:w="100" w:type="dxa"/>
            <w:vAlign w:val="bottom"/>
            <w:tcBorders>
              <w:bottom w:val="single" w:sz="8" w:color="2360A6"/>
              <w:right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2360A6"/>
              <w:right w:val="single" w:sz="8" w:color="2360A6"/>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2360A6"/>
              <w:right w:val="single" w:sz="8" w:color="EDEDEE"/>
            </w:tcBorders>
            <w:shd w:val="clear" w:color="auto" w:fill="EDEDEE"/>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auto"/>
              </w:rPr>
              <w:t>24.4</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color w:val="231F20"/>
              </w:rPr>
              <w:t>Other Current Provisions</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color w:val="231F20"/>
              </w:rPr>
              <w:t>52.2</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96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Borders>
              <w:bottom w:val="single" w:sz="8" w:color="2360A6"/>
              <w:right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auto"/>
              </w:rPr>
              <w:t>(7.4)</w:t>
            </w:r>
          </w:p>
        </w:tc>
        <w:tc>
          <w:tcPr>
            <w:tcW w:w="1080" w:type="dxa"/>
            <w:vAlign w:val="bottom"/>
            <w:tcBorders>
              <w:bottom w:val="single" w:sz="8" w:color="2360A6"/>
              <w:right w:val="single" w:sz="8" w:color="2360A6"/>
            </w:tcBorders>
            <w:gridSpan w:val="2"/>
          </w:tcPr>
          <w:p>
            <w:pPr>
              <w:jc w:val="right"/>
              <w:ind w:right="100"/>
              <w:spacing w:after="0"/>
              <w:rPr>
                <w:sz w:val="20"/>
                <w:szCs w:val="20"/>
                <w:color w:val="auto"/>
              </w:rPr>
            </w:pPr>
            <w:r>
              <w:rPr>
                <w:rFonts w:ascii="Arial" w:cs="Arial" w:eastAsia="Arial" w:hAnsi="Arial"/>
                <w:sz w:val="13"/>
                <w:szCs w:val="13"/>
                <w:color w:val="auto"/>
              </w:rPr>
              <w:t>(5.2)</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auto"/>
              </w:rPr>
              <w:t>16.3</w:t>
            </w:r>
          </w:p>
        </w:tc>
        <w:tc>
          <w:tcPr>
            <w:tcW w:w="120" w:type="dxa"/>
            <w:vAlign w:val="bottom"/>
            <w:tcBorders>
              <w:bottom w:val="single" w:sz="8" w:color="2360A6"/>
              <w:right w:val="single" w:sz="8" w:color="2360A6"/>
            </w:tcBorders>
          </w:tcPr>
          <w:p>
            <w:pPr>
              <w:spacing w:after="0"/>
              <w:rPr>
                <w:sz w:val="18"/>
                <w:szCs w:val="18"/>
                <w:color w:val="auto"/>
              </w:rPr>
            </w:pPr>
          </w:p>
        </w:tc>
        <w:tc>
          <w:tcPr>
            <w:tcW w:w="72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2360A6"/>
              <w:right w:val="single" w:sz="8" w:color="EDEDEE"/>
            </w:tcBorders>
            <w:shd w:val="clear" w:color="auto" w:fill="EDEDEE"/>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auto"/>
              </w:rPr>
              <w:t>131.3</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tcPr>
          <w:p>
            <w:pPr>
              <w:ind w:left="20"/>
              <w:spacing w:after="0"/>
              <w:rPr>
                <w:sz w:val="20"/>
                <w:szCs w:val="20"/>
                <w:color w:val="auto"/>
              </w:rPr>
            </w:pPr>
            <w:r>
              <w:rPr>
                <w:rFonts w:ascii="Arial" w:cs="Arial" w:eastAsia="Arial" w:hAnsi="Arial"/>
                <w:sz w:val="13"/>
                <w:szCs w:val="13"/>
                <w:b w:val="1"/>
                <w:bCs w:val="1"/>
                <w:color w:val="2360A6"/>
              </w:rPr>
              <w:t>Total Current Provisions</w:t>
            </w:r>
          </w:p>
        </w:tc>
        <w:tc>
          <w:tcPr>
            <w:tcW w:w="1060" w:type="dxa"/>
            <w:vAlign w:val="bottom"/>
            <w:tcBorders>
              <w:bottom w:val="single" w:sz="8" w:color="2360A6"/>
              <w:right w:val="single" w:sz="8" w:color="EDEDEE"/>
            </w:tcBorders>
            <w:gridSpan w:val="2"/>
            <w:shd w:val="clear" w:color="auto" w:fill="EDEDEE"/>
          </w:tcPr>
          <w:p>
            <w:pPr>
              <w:jc w:val="right"/>
              <w:ind w:right="20"/>
              <w:spacing w:after="0"/>
              <w:rPr>
                <w:sz w:val="20"/>
                <w:szCs w:val="20"/>
                <w:color w:val="auto"/>
              </w:rPr>
            </w:pPr>
            <w:r>
              <w:rPr>
                <w:rFonts w:ascii="Arial" w:cs="Arial" w:eastAsia="Arial" w:hAnsi="Arial"/>
                <w:sz w:val="13"/>
                <w:szCs w:val="13"/>
                <w:b w:val="1"/>
                <w:bCs w:val="1"/>
                <w:color w:val="2360A6"/>
              </w:rPr>
              <w:t>433.7</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960" w:type="dxa"/>
            <w:vAlign w:val="bottom"/>
            <w:tcBorders>
              <w:bottom w:val="single" w:sz="8" w:color="2360A6"/>
            </w:tcBorders>
          </w:tcPr>
          <w:p>
            <w:pPr>
              <w:jc w:val="right"/>
              <w:spacing w:after="0"/>
              <w:rPr>
                <w:sz w:val="20"/>
                <w:szCs w:val="20"/>
                <w:color w:val="auto"/>
              </w:rPr>
            </w:pPr>
            <w:r>
              <w:rPr>
                <w:rFonts w:ascii="Arial" w:cs="Arial" w:eastAsia="Arial" w:hAnsi="Arial"/>
                <w:sz w:val="13"/>
                <w:szCs w:val="13"/>
                <w:b w:val="1"/>
                <w:bCs w:val="1"/>
                <w:color w:val="2360A6"/>
              </w:rPr>
              <w:t>346.7</w:t>
            </w:r>
          </w:p>
        </w:tc>
        <w:tc>
          <w:tcPr>
            <w:tcW w:w="100" w:type="dxa"/>
            <w:vAlign w:val="bottom"/>
            <w:tcBorders>
              <w:bottom w:val="single" w:sz="8" w:color="2360A6"/>
              <w:right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b w:val="1"/>
                <w:bCs w:val="1"/>
                <w:color w:val="2360A6"/>
              </w:rPr>
              <w:t>(93.3)</w:t>
            </w:r>
          </w:p>
        </w:tc>
        <w:tc>
          <w:tcPr>
            <w:tcW w:w="1080" w:type="dxa"/>
            <w:vAlign w:val="bottom"/>
            <w:tcBorders>
              <w:bottom w:val="single" w:sz="8" w:color="2360A6"/>
              <w:right w:val="single" w:sz="8" w:color="2360A6"/>
            </w:tcBorders>
            <w:gridSpan w:val="2"/>
          </w:tcPr>
          <w:p>
            <w:pPr>
              <w:jc w:val="right"/>
              <w:ind w:right="100"/>
              <w:spacing w:after="0"/>
              <w:rPr>
                <w:sz w:val="20"/>
                <w:szCs w:val="20"/>
                <w:color w:val="auto"/>
              </w:rPr>
            </w:pPr>
            <w:r>
              <w:rPr>
                <w:rFonts w:ascii="Arial" w:cs="Arial" w:eastAsia="Arial" w:hAnsi="Arial"/>
                <w:sz w:val="13"/>
                <w:szCs w:val="13"/>
                <w:b w:val="1"/>
                <w:bCs w:val="1"/>
                <w:color w:val="2360A6"/>
              </w:rPr>
              <w:t>(53.7)</w:t>
            </w:r>
          </w:p>
        </w:tc>
        <w:tc>
          <w:tcPr>
            <w:tcW w:w="1040" w:type="dxa"/>
            <w:vAlign w:val="bottom"/>
            <w:tcBorders>
              <w:bottom w:val="single" w:sz="8" w:color="2360A6"/>
            </w:tcBorders>
          </w:tcPr>
          <w:p>
            <w:pPr>
              <w:jc w:val="right"/>
              <w:spacing w:after="0"/>
              <w:rPr>
                <w:sz w:val="20"/>
                <w:szCs w:val="20"/>
                <w:color w:val="auto"/>
              </w:rPr>
            </w:pPr>
            <w:r>
              <w:rPr>
                <w:rFonts w:ascii="Arial" w:cs="Arial" w:eastAsia="Arial" w:hAnsi="Arial"/>
                <w:sz w:val="13"/>
                <w:szCs w:val="13"/>
                <w:b w:val="1"/>
                <w:bCs w:val="1"/>
                <w:color w:val="2360A6"/>
              </w:rPr>
              <w:t>25.0</w:t>
            </w:r>
          </w:p>
        </w:tc>
        <w:tc>
          <w:tcPr>
            <w:tcW w:w="120" w:type="dxa"/>
            <w:vAlign w:val="bottom"/>
            <w:tcBorders>
              <w:bottom w:val="single" w:sz="8" w:color="2360A6"/>
              <w:right w:val="single" w:sz="8" w:color="2360A6"/>
            </w:tcBorders>
          </w:tcPr>
          <w:p>
            <w:pPr>
              <w:spacing w:after="0"/>
              <w:rPr>
                <w:sz w:val="18"/>
                <w:szCs w:val="18"/>
                <w:color w:val="auto"/>
              </w:rPr>
            </w:pPr>
          </w:p>
        </w:tc>
        <w:tc>
          <w:tcPr>
            <w:tcW w:w="72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0.5</w:t>
            </w:r>
          </w:p>
        </w:tc>
        <w:tc>
          <w:tcPr>
            <w:tcW w:w="100" w:type="dxa"/>
            <w:vAlign w:val="bottom"/>
            <w:tcBorders>
              <w:bottom w:val="single" w:sz="8" w:color="2360A6"/>
              <w:right w:val="single" w:sz="8" w:color="EDEDEE"/>
            </w:tcBorders>
            <w:shd w:val="clear" w:color="auto" w:fill="EDEDEE"/>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658.9</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2360A6"/>
              <w:bottom w:val="single" w:sz="8" w:color="2360A6"/>
              <w:right w:val="single" w:sz="8" w:color="2360A6"/>
            </w:tcBorders>
            <w:gridSpan w:val="2"/>
            <w:shd w:val="clear" w:color="auto" w:fill="D2DEEC"/>
          </w:tcPr>
          <w:p>
            <w:pPr>
              <w:ind w:left="20"/>
              <w:spacing w:after="0"/>
              <w:rPr>
                <w:sz w:val="20"/>
                <w:szCs w:val="20"/>
                <w:color w:val="auto"/>
              </w:rPr>
            </w:pPr>
            <w:r>
              <w:rPr>
                <w:rFonts w:ascii="Arial" w:cs="Arial" w:eastAsia="Arial" w:hAnsi="Arial"/>
                <w:sz w:val="13"/>
                <w:szCs w:val="13"/>
                <w:b w:val="1"/>
                <w:bCs w:val="1"/>
                <w:color w:val="2360A6"/>
              </w:rPr>
              <w:t>TOTAL PROVISIONS</w:t>
            </w:r>
          </w:p>
        </w:tc>
        <w:tc>
          <w:tcPr>
            <w:tcW w:w="1060" w:type="dxa"/>
            <w:vAlign w:val="bottom"/>
            <w:tcBorders>
              <w:bottom w:val="single" w:sz="8" w:color="2360A6"/>
              <w:right w:val="single" w:sz="8" w:color="D2DEEC"/>
            </w:tcBorders>
            <w:gridSpan w:val="2"/>
            <w:shd w:val="clear" w:color="auto" w:fill="D2DEEC"/>
          </w:tcPr>
          <w:p>
            <w:pPr>
              <w:jc w:val="right"/>
              <w:ind w:right="20"/>
              <w:spacing w:after="0"/>
              <w:rPr>
                <w:sz w:val="20"/>
                <w:szCs w:val="20"/>
                <w:color w:val="auto"/>
              </w:rPr>
            </w:pPr>
            <w:r>
              <w:rPr>
                <w:rFonts w:ascii="Arial" w:cs="Arial" w:eastAsia="Arial" w:hAnsi="Arial"/>
                <w:sz w:val="13"/>
                <w:szCs w:val="13"/>
                <w:b w:val="1"/>
                <w:bCs w:val="1"/>
                <w:color w:val="2360A6"/>
              </w:rPr>
              <w:t>675.7</w:t>
            </w:r>
          </w:p>
        </w:tc>
        <w:tc>
          <w:tcPr>
            <w:tcW w:w="120" w:type="dxa"/>
            <w:vAlign w:val="bottom"/>
            <w:tcBorders>
              <w:bottom w:val="single" w:sz="8" w:color="2360A6"/>
              <w:right w:val="single" w:sz="8" w:color="2360A6"/>
            </w:tcBorders>
            <w:shd w:val="clear" w:color="auto" w:fill="D2DEEC"/>
          </w:tcPr>
          <w:p>
            <w:pPr>
              <w:spacing w:after="0"/>
              <w:rPr>
                <w:sz w:val="18"/>
                <w:szCs w:val="18"/>
                <w:color w:val="auto"/>
              </w:rPr>
            </w:pPr>
          </w:p>
        </w:tc>
        <w:tc>
          <w:tcPr>
            <w:tcW w:w="960" w:type="dxa"/>
            <w:vAlign w:val="bottom"/>
            <w:tcBorders>
              <w:bottom w:val="single" w:sz="8" w:color="2360A6"/>
              <w:right w:val="single" w:sz="8" w:color="D2DEEC"/>
            </w:tcBorders>
            <w:shd w:val="clear" w:color="auto" w:fill="D2DEEC"/>
          </w:tcPr>
          <w:p>
            <w:pPr>
              <w:jc w:val="right"/>
              <w:spacing w:after="0"/>
              <w:rPr>
                <w:sz w:val="20"/>
                <w:szCs w:val="20"/>
                <w:color w:val="auto"/>
              </w:rPr>
            </w:pPr>
            <w:r>
              <w:rPr>
                <w:rFonts w:ascii="Arial" w:cs="Arial" w:eastAsia="Arial" w:hAnsi="Arial"/>
                <w:sz w:val="13"/>
                <w:szCs w:val="13"/>
                <w:b w:val="1"/>
                <w:bCs w:val="1"/>
                <w:color w:val="2360A6"/>
              </w:rPr>
              <w:t>468.1</w:t>
            </w:r>
          </w:p>
        </w:tc>
        <w:tc>
          <w:tcPr>
            <w:tcW w:w="100" w:type="dxa"/>
            <w:vAlign w:val="bottom"/>
            <w:tcBorders>
              <w:bottom w:val="single" w:sz="8" w:color="2360A6"/>
              <w:right w:val="single" w:sz="8" w:color="2360A6"/>
            </w:tcBorders>
            <w:shd w:val="clear" w:color="auto" w:fill="D2DEEC"/>
          </w:tcPr>
          <w:p>
            <w:pPr>
              <w:spacing w:after="0"/>
              <w:rPr>
                <w:sz w:val="18"/>
                <w:szCs w:val="18"/>
                <w:color w:val="auto"/>
              </w:rPr>
            </w:pPr>
          </w:p>
        </w:tc>
        <w:tc>
          <w:tcPr>
            <w:tcW w:w="1060" w:type="dxa"/>
            <w:vAlign w:val="bottom"/>
            <w:tcBorders>
              <w:bottom w:val="single" w:sz="8" w:color="2360A6"/>
              <w:right w:val="single" w:sz="8" w:color="2360A6"/>
            </w:tcBorders>
            <w:gridSpan w:val="2"/>
            <w:shd w:val="clear" w:color="auto" w:fill="D2DEEC"/>
          </w:tcPr>
          <w:p>
            <w:pPr>
              <w:jc w:val="right"/>
              <w:ind w:right="80"/>
              <w:spacing w:after="0"/>
              <w:rPr>
                <w:sz w:val="20"/>
                <w:szCs w:val="20"/>
                <w:color w:val="auto"/>
              </w:rPr>
            </w:pPr>
            <w:r>
              <w:rPr>
                <w:rFonts w:ascii="Arial" w:cs="Arial" w:eastAsia="Arial" w:hAnsi="Arial"/>
                <w:sz w:val="13"/>
                <w:szCs w:val="13"/>
                <w:b w:val="1"/>
                <w:bCs w:val="1"/>
                <w:color w:val="2360A6"/>
              </w:rPr>
              <w:t>(118.5)</w:t>
            </w:r>
          </w:p>
        </w:tc>
        <w:tc>
          <w:tcPr>
            <w:tcW w:w="1080" w:type="dxa"/>
            <w:vAlign w:val="bottom"/>
            <w:tcBorders>
              <w:bottom w:val="single" w:sz="8" w:color="2360A6"/>
              <w:right w:val="single" w:sz="8" w:color="2360A6"/>
            </w:tcBorders>
            <w:gridSpan w:val="2"/>
            <w:shd w:val="clear" w:color="auto" w:fill="D2DEEC"/>
          </w:tcPr>
          <w:p>
            <w:pPr>
              <w:jc w:val="right"/>
              <w:ind w:right="100"/>
              <w:spacing w:after="0"/>
              <w:rPr>
                <w:sz w:val="20"/>
                <w:szCs w:val="20"/>
                <w:color w:val="auto"/>
              </w:rPr>
            </w:pPr>
            <w:r>
              <w:rPr>
                <w:rFonts w:ascii="Arial" w:cs="Arial" w:eastAsia="Arial" w:hAnsi="Arial"/>
                <w:sz w:val="13"/>
                <w:szCs w:val="13"/>
                <w:b w:val="1"/>
                <w:bCs w:val="1"/>
                <w:color w:val="2360A6"/>
              </w:rPr>
              <w:t>(73.0)</w:t>
            </w:r>
          </w:p>
        </w:tc>
        <w:tc>
          <w:tcPr>
            <w:tcW w:w="1040" w:type="dxa"/>
            <w:vAlign w:val="bottom"/>
            <w:tcBorders>
              <w:bottom w:val="single" w:sz="8" w:color="2360A6"/>
              <w:right w:val="single" w:sz="8" w:color="D2DEEC"/>
            </w:tcBorders>
            <w:shd w:val="clear" w:color="auto" w:fill="D2DEEC"/>
          </w:tcPr>
          <w:p>
            <w:pPr>
              <w:jc w:val="right"/>
              <w:spacing w:after="0"/>
              <w:rPr>
                <w:sz w:val="20"/>
                <w:szCs w:val="20"/>
                <w:color w:val="auto"/>
              </w:rPr>
            </w:pPr>
            <w:r>
              <w:rPr>
                <w:rFonts w:ascii="Arial" w:cs="Arial" w:eastAsia="Arial" w:hAnsi="Arial"/>
                <w:sz w:val="13"/>
                <w:szCs w:val="13"/>
                <w:b w:val="1"/>
                <w:bCs w:val="1"/>
                <w:color w:val="2360A6"/>
              </w:rPr>
              <w:t>25.6</w:t>
            </w:r>
          </w:p>
        </w:tc>
        <w:tc>
          <w:tcPr>
            <w:tcW w:w="120" w:type="dxa"/>
            <w:vAlign w:val="bottom"/>
            <w:tcBorders>
              <w:bottom w:val="single" w:sz="8" w:color="2360A6"/>
              <w:right w:val="single" w:sz="8" w:color="2360A6"/>
            </w:tcBorders>
            <w:shd w:val="clear" w:color="auto" w:fill="D2DEEC"/>
          </w:tcPr>
          <w:p>
            <w:pPr>
              <w:spacing w:after="0"/>
              <w:rPr>
                <w:sz w:val="18"/>
                <w:szCs w:val="18"/>
                <w:color w:val="auto"/>
              </w:rPr>
            </w:pPr>
          </w:p>
        </w:tc>
        <w:tc>
          <w:tcPr>
            <w:tcW w:w="720" w:type="dxa"/>
            <w:vAlign w:val="bottom"/>
            <w:tcBorders>
              <w:bottom w:val="single" w:sz="8" w:color="2360A6"/>
              <w:right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(42.8)</w:t>
            </w:r>
          </w:p>
        </w:tc>
        <w:tc>
          <w:tcPr>
            <w:tcW w:w="100" w:type="dxa"/>
            <w:vAlign w:val="bottom"/>
            <w:tcBorders>
              <w:bottom w:val="single" w:sz="8" w:color="2360A6"/>
              <w:right w:val="single" w:sz="8" w:color="D2DEEC"/>
            </w:tcBorders>
            <w:shd w:val="clear" w:color="auto" w:fill="D2DEEC"/>
          </w:tcPr>
          <w:p>
            <w:pPr>
              <w:spacing w:after="0"/>
              <w:rPr>
                <w:sz w:val="18"/>
                <w:szCs w:val="18"/>
                <w:color w:val="auto"/>
              </w:rPr>
            </w:pPr>
          </w:p>
        </w:tc>
        <w:tc>
          <w:tcPr>
            <w:tcW w:w="116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3"/>
                <w:szCs w:val="13"/>
                <w:b w:val="1"/>
                <w:bCs w:val="1"/>
                <w:color w:val="2360A6"/>
              </w:rPr>
              <w:t>935.1</w:t>
            </w:r>
          </w:p>
        </w:tc>
        <w:tc>
          <w:tcPr>
            <w:tcW w:w="80" w:type="dxa"/>
            <w:vAlign w:val="bottom"/>
            <w:tcBorders>
              <w:bottom w:val="single" w:sz="8" w:color="2360A6"/>
            </w:tcBorders>
            <w:shd w:val="clear" w:color="auto" w:fill="D2DEEC"/>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180" w:type="dxa"/>
            <w:vAlign w:val="bottom"/>
            <w:tcBorders>
              <w:left w:val="single" w:sz="8" w:color="2360A6"/>
            </w:tcBorders>
            <w:gridSpan w:val="5"/>
          </w:tcPr>
          <w:p>
            <w:pPr>
              <w:ind w:left="20"/>
              <w:spacing w:after="0"/>
              <w:rPr>
                <w:sz w:val="20"/>
                <w:szCs w:val="20"/>
                <w:color w:val="auto"/>
              </w:rPr>
            </w:pPr>
            <w:r>
              <w:rPr>
                <w:rFonts w:ascii="Arial" w:cs="Arial" w:eastAsia="Arial" w:hAnsi="Arial"/>
                <w:sz w:val="13"/>
                <w:szCs w:val="13"/>
                <w:color w:val="231F20"/>
                <w:w w:val="99"/>
              </w:rPr>
              <w:t>(1) See Note 23 - Pensions and other long-term employee benefit plans.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shd w:val="clear" w:color="auto" w:fill="2360A6"/>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300" w:type="dxa"/>
            <w:vAlign w:val="bottom"/>
            <w:tcBorders>
              <w:left w:val="single" w:sz="8" w:color="2360A6"/>
            </w:tcBorders>
            <w:gridSpan w:val="9"/>
          </w:tcPr>
          <w:p>
            <w:pPr>
              <w:ind w:left="20"/>
              <w:spacing w:after="0" w:line="135" w:lineRule="exact"/>
              <w:rPr>
                <w:sz w:val="20"/>
                <w:szCs w:val="20"/>
                <w:color w:val="auto"/>
              </w:rPr>
            </w:pPr>
            <w:r>
              <w:rPr>
                <w:rFonts w:ascii="Arial" w:cs="Arial" w:eastAsia="Arial" w:hAnsi="Arial"/>
                <w:sz w:val="13"/>
                <w:szCs w:val="13"/>
                <w:color w:val="231F20"/>
              </w:rPr>
              <w:t>(2) Provisions for Reinsurance are recorded at the level of the Group’s captive reinsurance companies.</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2360A6"/>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40" w:type="dxa"/>
            <w:vAlign w:val="bottom"/>
            <w:tcBorders>
              <w:left w:val="single" w:sz="8" w:color="2360A6"/>
            </w:tcBorders>
            <w:gridSpan w:val="7"/>
          </w:tcPr>
          <w:p>
            <w:pPr>
              <w:ind w:left="20"/>
              <w:spacing w:after="0" w:line="135" w:lineRule="exact"/>
              <w:rPr>
                <w:sz w:val="20"/>
                <w:szCs w:val="20"/>
                <w:color w:val="auto"/>
              </w:rPr>
            </w:pPr>
            <w:r>
              <w:rPr>
                <w:rFonts w:ascii="Arial" w:cs="Arial" w:eastAsia="Arial" w:hAnsi="Arial"/>
                <w:sz w:val="13"/>
                <w:szCs w:val="13"/>
                <w:color w:val="231F20"/>
                <w:w w:val="99"/>
              </w:rPr>
              <w:t>(3) Provisions recognized on contingencies on contracts are related to claims on contracts.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2360A6"/>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00" w:type="dxa"/>
            <w:vAlign w:val="bottom"/>
            <w:tcBorders>
              <w:left w:val="single" w:sz="8" w:color="2360A6"/>
              <w:bottom w:val="single" w:sz="8" w:color="2360A6"/>
            </w:tcBorders>
            <w:gridSpan w:val="2"/>
          </w:tcPr>
          <w:p>
            <w:pPr>
              <w:ind w:left="20"/>
              <w:spacing w:after="0"/>
              <w:rPr>
                <w:sz w:val="20"/>
                <w:szCs w:val="20"/>
                <w:color w:val="auto"/>
              </w:rPr>
            </w:pPr>
            <w:r>
              <w:rPr>
                <w:rFonts w:ascii="Arial" w:cs="Arial" w:eastAsia="Arial" w:hAnsi="Arial"/>
                <w:sz w:val="13"/>
                <w:szCs w:val="13"/>
                <w:color w:val="231F20"/>
                <w:w w:val="97"/>
              </w:rPr>
              <w:t>(4) See Note 31 - Litigation and contingent liabilities.</w:t>
            </w:r>
          </w:p>
        </w:tc>
        <w:tc>
          <w:tcPr>
            <w:tcW w:w="940" w:type="dxa"/>
            <w:vAlign w:val="bottom"/>
            <w:tcBorders>
              <w:bottom w:val="single" w:sz="8" w:color="2360A6"/>
            </w:tcBorders>
          </w:tcPr>
          <w:p>
            <w:pPr>
              <w:spacing w:after="0"/>
              <w:rPr>
                <w:sz w:val="14"/>
                <w:szCs w:val="14"/>
                <w:color w:val="auto"/>
              </w:rPr>
            </w:pPr>
          </w:p>
        </w:tc>
        <w:tc>
          <w:tcPr>
            <w:tcW w:w="120" w:type="dxa"/>
            <w:vAlign w:val="bottom"/>
            <w:tcBorders>
              <w:bottom w:val="single" w:sz="8" w:color="2360A6"/>
            </w:tcBorders>
          </w:tcPr>
          <w:p>
            <w:pPr>
              <w:spacing w:after="0"/>
              <w:rPr>
                <w:sz w:val="14"/>
                <w:szCs w:val="14"/>
                <w:color w:val="auto"/>
              </w:rPr>
            </w:pPr>
          </w:p>
        </w:tc>
        <w:tc>
          <w:tcPr>
            <w:tcW w:w="120" w:type="dxa"/>
            <w:vAlign w:val="bottom"/>
            <w:tcBorders>
              <w:bottom w:val="single" w:sz="8" w:color="2360A6"/>
            </w:tcBorders>
          </w:tcPr>
          <w:p>
            <w:pPr>
              <w:spacing w:after="0"/>
              <w:rPr>
                <w:sz w:val="14"/>
                <w:szCs w:val="14"/>
                <w:color w:val="auto"/>
              </w:rPr>
            </w:pPr>
          </w:p>
        </w:tc>
        <w:tc>
          <w:tcPr>
            <w:tcW w:w="960" w:type="dxa"/>
            <w:vAlign w:val="bottom"/>
            <w:tcBorders>
              <w:bottom w:val="single" w:sz="8" w:color="2360A6"/>
            </w:tcBorders>
          </w:tcPr>
          <w:p>
            <w:pPr>
              <w:spacing w:after="0"/>
              <w:rPr>
                <w:sz w:val="14"/>
                <w:szCs w:val="14"/>
                <w:color w:val="auto"/>
              </w:rPr>
            </w:pPr>
          </w:p>
        </w:tc>
        <w:tc>
          <w:tcPr>
            <w:tcW w:w="100" w:type="dxa"/>
            <w:vAlign w:val="bottom"/>
            <w:tcBorders>
              <w:bottom w:val="single" w:sz="8" w:color="2360A6"/>
            </w:tcBorders>
          </w:tcPr>
          <w:p>
            <w:pPr>
              <w:spacing w:after="0"/>
              <w:rPr>
                <w:sz w:val="14"/>
                <w:szCs w:val="14"/>
                <w:color w:val="auto"/>
              </w:rPr>
            </w:pPr>
          </w:p>
        </w:tc>
        <w:tc>
          <w:tcPr>
            <w:tcW w:w="960" w:type="dxa"/>
            <w:vAlign w:val="bottom"/>
            <w:tcBorders>
              <w:bottom w:val="single" w:sz="8" w:color="2360A6"/>
            </w:tcBorders>
          </w:tcPr>
          <w:p>
            <w:pPr>
              <w:spacing w:after="0"/>
              <w:rPr>
                <w:sz w:val="14"/>
                <w:szCs w:val="14"/>
                <w:color w:val="auto"/>
              </w:rPr>
            </w:pPr>
          </w:p>
        </w:tc>
        <w:tc>
          <w:tcPr>
            <w:tcW w:w="100" w:type="dxa"/>
            <w:vAlign w:val="bottom"/>
            <w:tcBorders>
              <w:bottom w:val="single" w:sz="8" w:color="2360A6"/>
            </w:tcBorders>
          </w:tcPr>
          <w:p>
            <w:pPr>
              <w:spacing w:after="0"/>
              <w:rPr>
                <w:sz w:val="14"/>
                <w:szCs w:val="14"/>
                <w:color w:val="auto"/>
              </w:rPr>
            </w:pPr>
          </w:p>
        </w:tc>
        <w:tc>
          <w:tcPr>
            <w:tcW w:w="960" w:type="dxa"/>
            <w:vAlign w:val="bottom"/>
            <w:tcBorders>
              <w:bottom w:val="single" w:sz="8" w:color="2360A6"/>
            </w:tcBorders>
          </w:tcPr>
          <w:p>
            <w:pPr>
              <w:spacing w:after="0"/>
              <w:rPr>
                <w:sz w:val="14"/>
                <w:szCs w:val="14"/>
                <w:color w:val="auto"/>
              </w:rPr>
            </w:pPr>
          </w:p>
        </w:tc>
        <w:tc>
          <w:tcPr>
            <w:tcW w:w="120" w:type="dxa"/>
            <w:vAlign w:val="bottom"/>
            <w:tcBorders>
              <w:bottom w:val="single" w:sz="8" w:color="2360A6"/>
            </w:tcBorders>
          </w:tcPr>
          <w:p>
            <w:pPr>
              <w:spacing w:after="0"/>
              <w:rPr>
                <w:sz w:val="14"/>
                <w:szCs w:val="14"/>
                <w:color w:val="auto"/>
              </w:rPr>
            </w:pPr>
          </w:p>
        </w:tc>
        <w:tc>
          <w:tcPr>
            <w:tcW w:w="1040" w:type="dxa"/>
            <w:vAlign w:val="bottom"/>
            <w:tcBorders>
              <w:bottom w:val="single" w:sz="8" w:color="2360A6"/>
            </w:tcBorders>
          </w:tcPr>
          <w:p>
            <w:pPr>
              <w:spacing w:after="0"/>
              <w:rPr>
                <w:sz w:val="14"/>
                <w:szCs w:val="14"/>
                <w:color w:val="auto"/>
              </w:rPr>
            </w:pPr>
          </w:p>
        </w:tc>
        <w:tc>
          <w:tcPr>
            <w:tcW w:w="120" w:type="dxa"/>
            <w:vAlign w:val="bottom"/>
            <w:tcBorders>
              <w:bottom w:val="single" w:sz="8" w:color="2360A6"/>
            </w:tcBorders>
          </w:tcPr>
          <w:p>
            <w:pPr>
              <w:spacing w:after="0"/>
              <w:rPr>
                <w:sz w:val="14"/>
                <w:szCs w:val="14"/>
                <w:color w:val="auto"/>
              </w:rPr>
            </w:pPr>
          </w:p>
        </w:tc>
        <w:tc>
          <w:tcPr>
            <w:tcW w:w="720" w:type="dxa"/>
            <w:vAlign w:val="bottom"/>
            <w:tcBorders>
              <w:bottom w:val="single" w:sz="8" w:color="2360A6"/>
            </w:tcBorders>
          </w:tcPr>
          <w:p>
            <w:pPr>
              <w:spacing w:after="0"/>
              <w:rPr>
                <w:sz w:val="14"/>
                <w:szCs w:val="14"/>
                <w:color w:val="auto"/>
              </w:rPr>
            </w:pPr>
          </w:p>
        </w:tc>
        <w:tc>
          <w:tcPr>
            <w:tcW w:w="100" w:type="dxa"/>
            <w:vAlign w:val="bottom"/>
            <w:tcBorders>
              <w:bottom w:val="single" w:sz="8" w:color="2360A6"/>
            </w:tcBorders>
          </w:tcPr>
          <w:p>
            <w:pPr>
              <w:spacing w:after="0"/>
              <w:rPr>
                <w:sz w:val="14"/>
                <w:szCs w:val="14"/>
                <w:color w:val="auto"/>
              </w:rPr>
            </w:pPr>
          </w:p>
        </w:tc>
        <w:tc>
          <w:tcPr>
            <w:tcW w:w="1160" w:type="dxa"/>
            <w:vAlign w:val="bottom"/>
            <w:tcBorders>
              <w:bottom w:val="single" w:sz="8" w:color="2360A6"/>
            </w:tcBorders>
          </w:tcPr>
          <w:p>
            <w:pPr>
              <w:spacing w:after="0"/>
              <w:rPr>
                <w:sz w:val="14"/>
                <w:szCs w:val="14"/>
                <w:color w:val="auto"/>
              </w:rPr>
            </w:pPr>
          </w:p>
        </w:tc>
        <w:tc>
          <w:tcPr>
            <w:tcW w:w="80" w:type="dxa"/>
            <w:vAlign w:val="bottom"/>
            <w:tcBorders>
              <w:bottom w:val="single" w:sz="8" w:color="2360A6"/>
            </w:tcBorders>
          </w:tcPr>
          <w:p>
            <w:pPr>
              <w:spacing w:after="0"/>
              <w:rPr>
                <w:sz w:val="14"/>
                <w:szCs w:val="14"/>
                <w:color w:val="auto"/>
              </w:rPr>
            </w:pPr>
          </w:p>
        </w:tc>
        <w:tc>
          <w:tcPr>
            <w:tcW w:w="20" w:type="dxa"/>
            <w:vAlign w:val="bottom"/>
            <w:tcBorders>
              <w:bottom w:val="single" w:sz="8" w:color="2360A6"/>
            </w:tcBorders>
            <w:shd w:val="clear" w:color="auto" w:fill="2360A6"/>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2780" w:type="dxa"/>
            <w:vAlign w:val="bottom"/>
            <w:tcBorders>
              <w:bottom w:val="single" w:sz="8" w:color="2360A6"/>
            </w:tcBorders>
          </w:tcPr>
          <w:p>
            <w:pPr>
              <w:spacing w:after="0"/>
              <w:rPr>
                <w:sz w:val="24"/>
                <w:szCs w:val="24"/>
                <w:color w:val="auto"/>
              </w:rPr>
            </w:pPr>
          </w:p>
        </w:tc>
        <w:tc>
          <w:tcPr>
            <w:tcW w:w="220" w:type="dxa"/>
            <w:vAlign w:val="bottom"/>
            <w:tcBorders>
              <w:bottom w:val="single" w:sz="8" w:color="2360A6"/>
            </w:tcBorders>
          </w:tcPr>
          <w:p>
            <w:pPr>
              <w:spacing w:after="0"/>
              <w:rPr>
                <w:sz w:val="24"/>
                <w:szCs w:val="24"/>
                <w:color w:val="auto"/>
              </w:rPr>
            </w:pPr>
          </w:p>
        </w:tc>
        <w:tc>
          <w:tcPr>
            <w:tcW w:w="940" w:type="dxa"/>
            <w:vAlign w:val="bottom"/>
            <w:tcBorders>
              <w:bottom w:val="single" w:sz="8" w:color="2360A6"/>
            </w:tcBorders>
          </w:tcPr>
          <w:p>
            <w:pPr>
              <w:spacing w:after="0"/>
              <w:rPr>
                <w:sz w:val="24"/>
                <w:szCs w:val="24"/>
                <w:color w:val="auto"/>
              </w:rPr>
            </w:pPr>
          </w:p>
        </w:tc>
        <w:tc>
          <w:tcPr>
            <w:tcW w:w="120" w:type="dxa"/>
            <w:vAlign w:val="bottom"/>
            <w:tcBorders>
              <w:bottom w:val="single" w:sz="8" w:color="2360A6"/>
            </w:tcBorders>
          </w:tcPr>
          <w:p>
            <w:pPr>
              <w:spacing w:after="0"/>
              <w:rPr>
                <w:sz w:val="24"/>
                <w:szCs w:val="24"/>
                <w:color w:val="auto"/>
              </w:rPr>
            </w:pPr>
          </w:p>
        </w:tc>
        <w:tc>
          <w:tcPr>
            <w:tcW w:w="120" w:type="dxa"/>
            <w:vAlign w:val="bottom"/>
            <w:tcBorders>
              <w:bottom w:val="single" w:sz="8" w:color="2360A6"/>
            </w:tcBorders>
          </w:tcPr>
          <w:p>
            <w:pPr>
              <w:spacing w:after="0"/>
              <w:rPr>
                <w:sz w:val="24"/>
                <w:szCs w:val="24"/>
                <w:color w:val="auto"/>
              </w:rPr>
            </w:pPr>
          </w:p>
        </w:tc>
        <w:tc>
          <w:tcPr>
            <w:tcW w:w="960" w:type="dxa"/>
            <w:vAlign w:val="bottom"/>
            <w:tcBorders>
              <w:bottom w:val="single" w:sz="8" w:color="2360A6"/>
            </w:tcBorders>
          </w:tcPr>
          <w:p>
            <w:pPr>
              <w:spacing w:after="0"/>
              <w:rPr>
                <w:sz w:val="24"/>
                <w:szCs w:val="24"/>
                <w:color w:val="auto"/>
              </w:rPr>
            </w:pPr>
          </w:p>
        </w:tc>
        <w:tc>
          <w:tcPr>
            <w:tcW w:w="100" w:type="dxa"/>
            <w:vAlign w:val="bottom"/>
            <w:tcBorders>
              <w:bottom w:val="single" w:sz="8" w:color="2360A6"/>
            </w:tcBorders>
          </w:tcPr>
          <w:p>
            <w:pPr>
              <w:spacing w:after="0"/>
              <w:rPr>
                <w:sz w:val="24"/>
                <w:szCs w:val="24"/>
                <w:color w:val="auto"/>
              </w:rPr>
            </w:pPr>
          </w:p>
        </w:tc>
        <w:tc>
          <w:tcPr>
            <w:tcW w:w="960" w:type="dxa"/>
            <w:vAlign w:val="bottom"/>
            <w:tcBorders>
              <w:bottom w:val="single" w:sz="8" w:color="2360A6"/>
            </w:tcBorders>
          </w:tcPr>
          <w:p>
            <w:pPr>
              <w:spacing w:after="0"/>
              <w:rPr>
                <w:sz w:val="24"/>
                <w:szCs w:val="24"/>
                <w:color w:val="auto"/>
              </w:rPr>
            </w:pPr>
          </w:p>
        </w:tc>
        <w:tc>
          <w:tcPr>
            <w:tcW w:w="100" w:type="dxa"/>
            <w:vAlign w:val="bottom"/>
            <w:tcBorders>
              <w:bottom w:val="single" w:sz="8" w:color="2360A6"/>
            </w:tcBorders>
          </w:tcPr>
          <w:p>
            <w:pPr>
              <w:spacing w:after="0"/>
              <w:rPr>
                <w:sz w:val="24"/>
                <w:szCs w:val="24"/>
                <w:color w:val="auto"/>
              </w:rPr>
            </w:pPr>
          </w:p>
        </w:tc>
        <w:tc>
          <w:tcPr>
            <w:tcW w:w="960" w:type="dxa"/>
            <w:vAlign w:val="bottom"/>
            <w:tcBorders>
              <w:bottom w:val="single" w:sz="8" w:color="2360A6"/>
            </w:tcBorders>
          </w:tcPr>
          <w:p>
            <w:pPr>
              <w:spacing w:after="0"/>
              <w:rPr>
                <w:sz w:val="24"/>
                <w:szCs w:val="24"/>
                <w:color w:val="auto"/>
              </w:rPr>
            </w:pPr>
          </w:p>
        </w:tc>
        <w:tc>
          <w:tcPr>
            <w:tcW w:w="120" w:type="dxa"/>
            <w:vAlign w:val="bottom"/>
            <w:tcBorders>
              <w:bottom w:val="single" w:sz="8" w:color="2360A6"/>
            </w:tcBorders>
          </w:tcPr>
          <w:p>
            <w:pPr>
              <w:spacing w:after="0"/>
              <w:rPr>
                <w:sz w:val="24"/>
                <w:szCs w:val="24"/>
                <w:color w:val="auto"/>
              </w:rPr>
            </w:pPr>
          </w:p>
        </w:tc>
        <w:tc>
          <w:tcPr>
            <w:tcW w:w="1040" w:type="dxa"/>
            <w:vAlign w:val="bottom"/>
            <w:tcBorders>
              <w:bottom w:val="single" w:sz="8" w:color="2360A6"/>
            </w:tcBorders>
          </w:tcPr>
          <w:p>
            <w:pPr>
              <w:spacing w:after="0"/>
              <w:rPr>
                <w:sz w:val="24"/>
                <w:szCs w:val="24"/>
                <w:color w:val="auto"/>
              </w:rPr>
            </w:pPr>
          </w:p>
        </w:tc>
        <w:tc>
          <w:tcPr>
            <w:tcW w:w="120" w:type="dxa"/>
            <w:vAlign w:val="bottom"/>
            <w:tcBorders>
              <w:bottom w:val="single" w:sz="8" w:color="2360A6"/>
            </w:tcBorders>
          </w:tcPr>
          <w:p>
            <w:pPr>
              <w:spacing w:after="0"/>
              <w:rPr>
                <w:sz w:val="24"/>
                <w:szCs w:val="24"/>
                <w:color w:val="auto"/>
              </w:rPr>
            </w:pPr>
          </w:p>
        </w:tc>
        <w:tc>
          <w:tcPr>
            <w:tcW w:w="720" w:type="dxa"/>
            <w:vAlign w:val="bottom"/>
            <w:tcBorders>
              <w:bottom w:val="single" w:sz="8" w:color="2360A6"/>
            </w:tcBorders>
          </w:tcPr>
          <w:p>
            <w:pPr>
              <w:spacing w:after="0"/>
              <w:rPr>
                <w:sz w:val="24"/>
                <w:szCs w:val="24"/>
                <w:color w:val="auto"/>
              </w:rPr>
            </w:pPr>
          </w:p>
        </w:tc>
        <w:tc>
          <w:tcPr>
            <w:tcW w:w="100" w:type="dxa"/>
            <w:vAlign w:val="bottom"/>
            <w:tcBorders>
              <w:bottom w:val="single" w:sz="8" w:color="2360A6"/>
            </w:tcBorders>
          </w:tcPr>
          <w:p>
            <w:pPr>
              <w:spacing w:after="0"/>
              <w:rPr>
                <w:sz w:val="24"/>
                <w:szCs w:val="24"/>
                <w:color w:val="auto"/>
              </w:rPr>
            </w:pPr>
          </w:p>
        </w:tc>
        <w:tc>
          <w:tcPr>
            <w:tcW w:w="1160" w:type="dxa"/>
            <w:vAlign w:val="bottom"/>
            <w:tcBorders>
              <w:bottom w:val="single" w:sz="8" w:color="2360A6"/>
            </w:tcBorders>
          </w:tcPr>
          <w:p>
            <w:pPr>
              <w:spacing w:after="0"/>
              <w:rPr>
                <w:sz w:val="24"/>
                <w:szCs w:val="24"/>
                <w:color w:val="auto"/>
              </w:rPr>
            </w:pPr>
          </w:p>
        </w:tc>
        <w:tc>
          <w:tcPr>
            <w:tcW w:w="80" w:type="dxa"/>
            <w:vAlign w:val="bottom"/>
            <w:tcBorders>
              <w:bottom w:val="single" w:sz="8" w:color="2360A6"/>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780" w:type="dxa"/>
            <w:vAlign w:val="bottom"/>
            <w:tcBorders>
              <w:right w:val="single" w:sz="8" w:color="2360A6"/>
            </w:tcBorders>
          </w:tcPr>
          <w:p>
            <w:pPr>
              <w:spacing w:after="0"/>
              <w:rPr>
                <w:sz w:val="17"/>
                <w:szCs w:val="17"/>
                <w:color w:val="auto"/>
              </w:rPr>
            </w:pPr>
          </w:p>
        </w:tc>
        <w:tc>
          <w:tcPr>
            <w:tcW w:w="220" w:type="dxa"/>
            <w:vAlign w:val="bottom"/>
            <w:tcBorders>
              <w:right w:val="single" w:sz="8" w:color="EDEDEE"/>
            </w:tcBorders>
            <w:shd w:val="clear" w:color="auto" w:fill="EDEDEE"/>
          </w:tcPr>
          <w:p>
            <w:pPr>
              <w:spacing w:after="0"/>
              <w:rPr>
                <w:sz w:val="17"/>
                <w:szCs w:val="17"/>
                <w:color w:val="auto"/>
              </w:rPr>
            </w:pPr>
          </w:p>
        </w:tc>
        <w:tc>
          <w:tcPr>
            <w:tcW w:w="940" w:type="dxa"/>
            <w:vAlign w:val="bottom"/>
            <w:shd w:val="clear" w:color="auto" w:fill="EDEDEE"/>
          </w:tcPr>
          <w:p>
            <w:pPr>
              <w:jc w:val="right"/>
              <w:spacing w:after="0"/>
              <w:rPr>
                <w:sz w:val="20"/>
                <w:szCs w:val="20"/>
                <w:color w:val="auto"/>
              </w:rPr>
            </w:pPr>
            <w:r>
              <w:rPr>
                <w:rFonts w:ascii="Arial" w:cs="Arial" w:eastAsia="Arial" w:hAnsi="Arial"/>
                <w:sz w:val="13"/>
                <w:szCs w:val="13"/>
                <w:b w:val="1"/>
                <w:bCs w:val="1"/>
                <w:color w:val="2360A6"/>
              </w:rPr>
              <w:t>As of</w:t>
            </w:r>
          </w:p>
        </w:tc>
        <w:tc>
          <w:tcPr>
            <w:tcW w:w="120" w:type="dxa"/>
            <w:vAlign w:val="bottom"/>
            <w:tcBorders>
              <w:right w:val="single" w:sz="8" w:color="2360A6"/>
            </w:tcBorders>
            <w:shd w:val="clear" w:color="auto" w:fill="EDEDE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right w:val="single" w:sz="8" w:color="2360A6"/>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right w:val="single" w:sz="8" w:color="2360A6"/>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right w:val="single" w:sz="8" w:color="2360A6"/>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Foreign</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2360A6"/>
            </w:tcBorders>
          </w:tcPr>
          <w:p>
            <w:pPr>
              <w:spacing w:after="0"/>
              <w:rPr>
                <w:sz w:val="17"/>
                <w:szCs w:val="17"/>
                <w:color w:val="auto"/>
              </w:rPr>
            </w:pPr>
          </w:p>
        </w:tc>
        <w:tc>
          <w:tcPr>
            <w:tcW w:w="1160" w:type="dxa"/>
            <w:vAlign w:val="bottom"/>
            <w:shd w:val="clear" w:color="auto" w:fill="EDEDEE"/>
          </w:tcPr>
          <w:p>
            <w:pPr>
              <w:jc w:val="right"/>
              <w:spacing w:after="0"/>
              <w:rPr>
                <w:sz w:val="20"/>
                <w:szCs w:val="20"/>
                <w:color w:val="auto"/>
              </w:rPr>
            </w:pPr>
            <w:r>
              <w:rPr>
                <w:rFonts w:ascii="Arial" w:cs="Arial" w:eastAsia="Arial" w:hAnsi="Arial"/>
                <w:sz w:val="13"/>
                <w:szCs w:val="13"/>
                <w:b w:val="1"/>
                <w:bCs w:val="1"/>
                <w:color w:val="2360A6"/>
              </w:rPr>
              <w:t>As of</w:t>
            </w:r>
          </w:p>
        </w:tc>
        <w:tc>
          <w:tcPr>
            <w:tcW w:w="80" w:type="dxa"/>
            <w:vAlign w:val="bottom"/>
            <w:shd w:val="clear" w:color="auto" w:fill="EDED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780" w:type="dxa"/>
            <w:vAlign w:val="bottom"/>
            <w:tcBorders>
              <w:right w:val="single" w:sz="8" w:color="2360A6"/>
            </w:tcBorders>
          </w:tcPr>
          <w:p>
            <w:pPr>
              <w:spacing w:after="0"/>
              <w:rPr>
                <w:sz w:val="12"/>
                <w:szCs w:val="12"/>
                <w:color w:val="auto"/>
              </w:rPr>
            </w:pPr>
          </w:p>
        </w:tc>
        <w:tc>
          <w:tcPr>
            <w:tcW w:w="220" w:type="dxa"/>
            <w:vAlign w:val="bottom"/>
            <w:tcBorders>
              <w:right w:val="single" w:sz="8" w:color="EDEDEE"/>
            </w:tcBorders>
            <w:shd w:val="clear" w:color="auto" w:fill="EDEDEE"/>
          </w:tcPr>
          <w:p>
            <w:pPr>
              <w:spacing w:after="0"/>
              <w:rPr>
                <w:sz w:val="12"/>
                <w:szCs w:val="12"/>
                <w:color w:val="auto"/>
              </w:rPr>
            </w:pPr>
          </w:p>
        </w:tc>
        <w:tc>
          <w:tcPr>
            <w:tcW w:w="940" w:type="dxa"/>
            <w:vAlign w:val="bottom"/>
            <w:shd w:val="clear" w:color="auto" w:fill="EDEDEE"/>
          </w:tcPr>
          <w:p>
            <w:pPr>
              <w:jc w:val="right"/>
              <w:spacing w:after="0" w:line="140" w:lineRule="exact"/>
              <w:rPr>
                <w:sz w:val="20"/>
                <w:szCs w:val="20"/>
                <w:color w:val="auto"/>
              </w:rPr>
            </w:pPr>
            <w:r>
              <w:rPr>
                <w:rFonts w:ascii="Arial" w:cs="Arial" w:eastAsia="Arial" w:hAnsi="Arial"/>
                <w:sz w:val="13"/>
                <w:szCs w:val="13"/>
                <w:b w:val="1"/>
                <w:bCs w:val="1"/>
                <w:color w:val="2360A6"/>
              </w:rPr>
              <w:t>January 1,</w:t>
            </w:r>
          </w:p>
        </w:tc>
        <w:tc>
          <w:tcPr>
            <w:tcW w:w="120" w:type="dxa"/>
            <w:vAlign w:val="bottom"/>
            <w:tcBorders>
              <w:right w:val="single" w:sz="8" w:color="2360A6"/>
            </w:tcBorders>
            <w:shd w:val="clear" w:color="auto" w:fill="EDEDE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right w:val="single" w:sz="8" w:color="2360A6"/>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right w:val="single" w:sz="8" w:color="2360A6"/>
            </w:tcBorders>
          </w:tcPr>
          <w:p>
            <w:pPr>
              <w:jc w:val="right"/>
              <w:ind w:right="77"/>
              <w:spacing w:after="0" w:line="140" w:lineRule="exact"/>
              <w:rPr>
                <w:sz w:val="20"/>
                <w:szCs w:val="20"/>
                <w:color w:val="auto"/>
              </w:rPr>
            </w:pPr>
            <w:r>
              <w:rPr>
                <w:rFonts w:ascii="Arial" w:cs="Arial" w:eastAsia="Arial" w:hAnsi="Arial"/>
                <w:sz w:val="13"/>
                <w:szCs w:val="13"/>
                <w:b w:val="1"/>
                <w:bCs w:val="1"/>
                <w:color w:val="2360A6"/>
              </w:rPr>
              <w:t>Used</w:t>
            </w:r>
          </w:p>
        </w:tc>
        <w:tc>
          <w:tcPr>
            <w:tcW w:w="100" w:type="dxa"/>
            <w:vAlign w:val="bottom"/>
          </w:tcPr>
          <w:p>
            <w:pPr>
              <w:spacing w:after="0"/>
              <w:rPr>
                <w:sz w:val="12"/>
                <w:szCs w:val="12"/>
                <w:color w:val="auto"/>
              </w:rPr>
            </w:pPr>
          </w:p>
        </w:tc>
        <w:tc>
          <w:tcPr>
            <w:tcW w:w="960" w:type="dxa"/>
            <w:vAlign w:val="bottom"/>
            <w:tcBorders>
              <w:right w:val="single" w:sz="8" w:color="2360A6"/>
            </w:tcBorders>
          </w:tcPr>
          <w:p>
            <w:pPr>
              <w:jc w:val="right"/>
              <w:ind w:right="57"/>
              <w:spacing w:after="0" w:line="140" w:lineRule="exact"/>
              <w:rPr>
                <w:sz w:val="20"/>
                <w:szCs w:val="20"/>
                <w:color w:val="auto"/>
              </w:rPr>
            </w:pPr>
            <w:r>
              <w:rPr>
                <w:rFonts w:ascii="Arial" w:cs="Arial" w:eastAsia="Arial" w:hAnsi="Arial"/>
                <w:sz w:val="13"/>
                <w:szCs w:val="13"/>
                <w:b w:val="1"/>
                <w:bCs w:val="1"/>
                <w:color w:val="2360A6"/>
              </w:rPr>
              <w:t>Unused</w:t>
            </w:r>
          </w:p>
        </w:tc>
        <w:tc>
          <w:tcPr>
            <w:tcW w:w="120" w:type="dxa"/>
            <w:vAlign w:val="bottom"/>
          </w:tcPr>
          <w:p>
            <w:pPr>
              <w:spacing w:after="0"/>
              <w:rPr>
                <w:sz w:val="12"/>
                <w:szCs w:val="12"/>
                <w:color w:val="auto"/>
              </w:rPr>
            </w:pPr>
          </w:p>
        </w:tc>
        <w:tc>
          <w:tcPr>
            <w:tcW w:w="1040" w:type="dxa"/>
            <w:vAlign w:val="bottom"/>
            <w:tcBorders>
              <w:right w:val="single" w:sz="8" w:color="2360A6"/>
            </w:tcBorders>
          </w:tcPr>
          <w:p>
            <w:pPr>
              <w:jc w:val="right"/>
              <w:ind w:right="57"/>
              <w:spacing w:after="0" w:line="140" w:lineRule="exact"/>
              <w:rPr>
                <w:sz w:val="20"/>
                <w:szCs w:val="20"/>
                <w:color w:val="auto"/>
              </w:rPr>
            </w:pPr>
            <w:r>
              <w:rPr>
                <w:rFonts w:ascii="Arial" w:cs="Arial" w:eastAsia="Arial" w:hAnsi="Arial"/>
                <w:sz w:val="13"/>
                <w:szCs w:val="13"/>
                <w:b w:val="1"/>
                <w:bCs w:val="1"/>
                <w:color w:val="2360A6"/>
              </w:rPr>
              <w:t>Exchange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2360A6"/>
            </w:tcBorders>
          </w:tcPr>
          <w:p>
            <w:pPr>
              <w:spacing w:after="0"/>
              <w:rPr>
                <w:sz w:val="12"/>
                <w:szCs w:val="12"/>
                <w:color w:val="auto"/>
              </w:rPr>
            </w:pPr>
          </w:p>
        </w:tc>
        <w:tc>
          <w:tcPr>
            <w:tcW w:w="1160" w:type="dxa"/>
            <w:vAlign w:val="bottom"/>
            <w:shd w:val="clear" w:color="auto" w:fill="EDEDEE"/>
          </w:tcPr>
          <w:p>
            <w:pPr>
              <w:jc w:val="right"/>
              <w:spacing w:after="0" w:line="140" w:lineRule="exact"/>
              <w:rPr>
                <w:sz w:val="20"/>
                <w:szCs w:val="20"/>
                <w:color w:val="auto"/>
              </w:rPr>
            </w:pPr>
            <w:r>
              <w:rPr>
                <w:rFonts w:ascii="Arial" w:cs="Arial" w:eastAsia="Arial" w:hAnsi="Arial"/>
                <w:sz w:val="13"/>
                <w:szCs w:val="13"/>
                <w:b w:val="1"/>
                <w:bCs w:val="1"/>
                <w:color w:val="2360A6"/>
              </w:rPr>
              <w:t>December 31,</w:t>
            </w:r>
          </w:p>
        </w:tc>
        <w:tc>
          <w:tcPr>
            <w:tcW w:w="80" w:type="dxa"/>
            <w:vAlign w:val="bottom"/>
            <w:shd w:val="clear" w:color="auto" w:fill="EDEDE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auto"/>
              </w:rPr>
              <w:t>In millions of Euro</w:t>
            </w:r>
          </w:p>
        </w:tc>
        <w:tc>
          <w:tcPr>
            <w:tcW w:w="220" w:type="dxa"/>
            <w:vAlign w:val="bottom"/>
            <w:tcBorders>
              <w:bottom w:val="single" w:sz="8" w:color="2360A6"/>
              <w:right w:val="single" w:sz="8" w:color="EDEDEE"/>
            </w:tcBorders>
            <w:shd w:val="clear" w:color="auto" w:fill="EDEDEE"/>
          </w:tcPr>
          <w:p>
            <w:pPr>
              <w:spacing w:after="0"/>
              <w:rPr>
                <w:sz w:val="15"/>
                <w:szCs w:val="15"/>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2015</w:t>
            </w:r>
          </w:p>
        </w:tc>
        <w:tc>
          <w:tcPr>
            <w:tcW w:w="120" w:type="dxa"/>
            <w:vAlign w:val="bottom"/>
            <w:tcBorders>
              <w:bottom w:val="single" w:sz="8" w:color="2360A6"/>
              <w:right w:val="single" w:sz="8" w:color="2360A6"/>
            </w:tcBorders>
            <w:shd w:val="clear" w:color="auto" w:fill="EDEDEE"/>
          </w:tcPr>
          <w:p>
            <w:pPr>
              <w:spacing w:after="0"/>
              <w:rPr>
                <w:sz w:val="15"/>
                <w:szCs w:val="15"/>
                <w:color w:val="auto"/>
              </w:rPr>
            </w:pPr>
          </w:p>
        </w:tc>
        <w:tc>
          <w:tcPr>
            <w:tcW w:w="120" w:type="dxa"/>
            <w:vAlign w:val="bottom"/>
            <w:tcBorders>
              <w:bottom w:val="single" w:sz="8" w:color="2360A6"/>
            </w:tcBorders>
          </w:tcPr>
          <w:p>
            <w:pPr>
              <w:spacing w:after="0"/>
              <w:rPr>
                <w:sz w:val="15"/>
                <w:szCs w:val="15"/>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Increase</w:t>
            </w:r>
          </w:p>
        </w:tc>
        <w:tc>
          <w:tcPr>
            <w:tcW w:w="100" w:type="dxa"/>
            <w:vAlign w:val="bottom"/>
            <w:tcBorders>
              <w:bottom w:val="single" w:sz="8" w:color="2360A6"/>
            </w:tcBorders>
          </w:tcPr>
          <w:p>
            <w:pPr>
              <w:spacing w:after="0"/>
              <w:rPr>
                <w:sz w:val="15"/>
                <w:szCs w:val="15"/>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Reversals</w:t>
            </w:r>
          </w:p>
        </w:tc>
        <w:tc>
          <w:tcPr>
            <w:tcW w:w="100" w:type="dxa"/>
            <w:vAlign w:val="bottom"/>
            <w:tcBorders>
              <w:bottom w:val="single" w:sz="8" w:color="2360A6"/>
            </w:tcBorders>
          </w:tcPr>
          <w:p>
            <w:pPr>
              <w:spacing w:after="0"/>
              <w:rPr>
                <w:sz w:val="15"/>
                <w:szCs w:val="15"/>
                <w:color w:val="auto"/>
              </w:rPr>
            </w:pP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Reversals</w:t>
            </w:r>
          </w:p>
        </w:tc>
        <w:tc>
          <w:tcPr>
            <w:tcW w:w="120" w:type="dxa"/>
            <w:vAlign w:val="bottom"/>
            <w:tcBorders>
              <w:bottom w:val="single" w:sz="8" w:color="2360A6"/>
            </w:tcBorders>
          </w:tcPr>
          <w:p>
            <w:pPr>
              <w:spacing w:after="0"/>
              <w:rPr>
                <w:sz w:val="15"/>
                <w:szCs w:val="15"/>
                <w:color w:val="auto"/>
              </w:rPr>
            </w:pPr>
          </w:p>
        </w:tc>
        <w:tc>
          <w:tcPr>
            <w:tcW w:w="10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Adjustments</w:t>
            </w:r>
          </w:p>
        </w:tc>
        <w:tc>
          <w:tcPr>
            <w:tcW w:w="120" w:type="dxa"/>
            <w:vAlign w:val="bottom"/>
            <w:tcBorders>
              <w:bottom w:val="single" w:sz="8" w:color="2360A6"/>
            </w:tcBorders>
          </w:tcPr>
          <w:p>
            <w:pPr>
              <w:spacing w:after="0"/>
              <w:rPr>
                <w:sz w:val="15"/>
                <w:szCs w:val="15"/>
                <w:color w:val="auto"/>
              </w:rPr>
            </w:pPr>
          </w:p>
        </w:tc>
        <w:tc>
          <w:tcPr>
            <w:tcW w:w="8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b w:val="1"/>
                <w:bCs w:val="1"/>
                <w:color w:val="2360A6"/>
              </w:rPr>
              <w:t>Other</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2015</w:t>
            </w:r>
          </w:p>
        </w:tc>
        <w:tc>
          <w:tcPr>
            <w:tcW w:w="80" w:type="dxa"/>
            <w:vAlign w:val="bottom"/>
            <w:tcBorders>
              <w:bottom w:val="single" w:sz="8" w:color="2360A6"/>
            </w:tcBorders>
            <w:shd w:val="clear" w:color="auto" w:fill="EDED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Restructuring</w:t>
            </w:r>
          </w:p>
        </w:tc>
        <w:tc>
          <w:tcPr>
            <w:tcW w:w="220" w:type="dxa"/>
            <w:vAlign w:val="bottom"/>
            <w:tcBorders>
              <w:bottom w:val="single" w:sz="8" w:color="2360A6"/>
              <w:right w:val="single" w:sz="8" w:color="EDEDEE"/>
            </w:tcBorders>
            <w:shd w:val="clear" w:color="auto" w:fill="EDEDEE"/>
          </w:tcPr>
          <w:p>
            <w:pPr>
              <w:spacing w:after="0"/>
              <w:rPr>
                <w:sz w:val="18"/>
                <w:szCs w:val="18"/>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2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19.8</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0" w:type="dxa"/>
            <w:vAlign w:val="bottom"/>
            <w:tcBorders>
              <w:bottom w:val="single" w:sz="8" w:color="2360A6"/>
            </w:tcBorders>
          </w:tcPr>
          <w:p>
            <w:pPr>
              <w:spacing w:after="0"/>
              <w:rPr>
                <w:sz w:val="18"/>
                <w:szCs w:val="18"/>
                <w:color w:val="auto"/>
              </w:rPr>
            </w:pPr>
          </w:p>
        </w:tc>
        <w:tc>
          <w:tcPr>
            <w:tcW w:w="10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(0.1)</w:t>
            </w:r>
          </w:p>
        </w:tc>
        <w:tc>
          <w:tcPr>
            <w:tcW w:w="120" w:type="dxa"/>
            <w:vAlign w:val="bottom"/>
            <w:tcBorders>
              <w:bottom w:val="single" w:sz="8" w:color="2360A6"/>
            </w:tcBorders>
          </w:tcPr>
          <w:p>
            <w:pPr>
              <w:spacing w:after="0"/>
              <w:rPr>
                <w:sz w:val="18"/>
                <w:szCs w:val="18"/>
                <w:color w:val="auto"/>
              </w:rPr>
            </w:pPr>
          </w:p>
        </w:tc>
        <w:tc>
          <w:tcPr>
            <w:tcW w:w="7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2.9</w:t>
            </w:r>
          </w:p>
        </w:tc>
        <w:tc>
          <w:tcPr>
            <w:tcW w:w="100" w:type="dxa"/>
            <w:vAlign w:val="bottom"/>
            <w:tcBorders>
              <w:bottom w:val="single" w:sz="8" w:color="2360A6"/>
              <w:right w:val="single" w:sz="8" w:color="2360A6"/>
            </w:tcBorders>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22.6</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Pensions and other Long-Term</w:t>
            </w:r>
          </w:p>
        </w:tc>
        <w:tc>
          <w:tcPr>
            <w:tcW w:w="220" w:type="dxa"/>
            <w:vAlign w:val="bottom"/>
            <w:tcBorders>
              <w:right w:val="single" w:sz="8" w:color="EDEDEE"/>
            </w:tcBorders>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c>
          <w:tcPr>
            <w:tcW w:w="120" w:type="dxa"/>
            <w:vAlign w:val="bottom"/>
            <w:tcBorders>
              <w:right w:val="single" w:sz="8" w:color="2360A6"/>
            </w:tcBorders>
            <w:shd w:val="clear" w:color="auto" w:fill="EDEDE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2360A6"/>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right w:val="single" w:sz="8" w:color="2360A6"/>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right w:val="single" w:sz="8" w:color="2360A6"/>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right w:val="single" w:sz="8" w:color="2360A6"/>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2360A6"/>
            </w:tcBorders>
          </w:tcPr>
          <w:p>
            <w:pPr>
              <w:spacing w:after="0"/>
              <w:rPr>
                <w:sz w:val="18"/>
                <w:szCs w:val="18"/>
                <w:color w:val="auto"/>
              </w:rPr>
            </w:pPr>
          </w:p>
        </w:tc>
        <w:tc>
          <w:tcPr>
            <w:tcW w:w="1160" w:type="dxa"/>
            <w:vAlign w:val="bottom"/>
            <w:shd w:val="clear" w:color="auto" w:fill="EDEDEE"/>
          </w:tcPr>
          <w:p>
            <w:pPr>
              <w:spacing w:after="0"/>
              <w:rPr>
                <w:sz w:val="18"/>
                <w:szCs w:val="18"/>
                <w:color w:val="auto"/>
              </w:rPr>
            </w:pPr>
          </w:p>
        </w:tc>
        <w:tc>
          <w:tcPr>
            <w:tcW w:w="80" w:type="dxa"/>
            <w:vAlign w:val="bottom"/>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Employee Benefits </w:t>
            </w:r>
            <w:r>
              <w:rPr>
                <w:rFonts w:ascii="Arial" w:cs="Arial" w:eastAsia="Arial" w:hAnsi="Arial"/>
                <w:sz w:val="8"/>
                <w:szCs w:val="8"/>
                <w:color w:val="231F20"/>
              </w:rPr>
              <w:t>(1)</w:t>
            </w:r>
          </w:p>
        </w:tc>
        <w:tc>
          <w:tcPr>
            <w:tcW w:w="220" w:type="dxa"/>
            <w:vAlign w:val="bottom"/>
            <w:tcBorders>
              <w:bottom w:val="single" w:sz="8" w:color="2360A6"/>
              <w:right w:val="single" w:sz="8" w:color="EDEDEE"/>
            </w:tcBorders>
            <w:shd w:val="clear" w:color="auto" w:fill="EDEDEE"/>
          </w:tcPr>
          <w:p>
            <w:pPr>
              <w:spacing w:after="0"/>
              <w:rPr>
                <w:sz w:val="14"/>
                <w:szCs w:val="14"/>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216.5</w:t>
            </w:r>
          </w:p>
        </w:tc>
        <w:tc>
          <w:tcPr>
            <w:tcW w:w="120" w:type="dxa"/>
            <w:vAlign w:val="bottom"/>
            <w:tcBorders>
              <w:bottom w:val="single" w:sz="8" w:color="2360A6"/>
              <w:right w:val="single" w:sz="8" w:color="2360A6"/>
            </w:tcBorders>
            <w:shd w:val="clear" w:color="auto" w:fill="EDEDEE"/>
          </w:tcPr>
          <w:p>
            <w:pPr>
              <w:spacing w:after="0"/>
              <w:rPr>
                <w:sz w:val="14"/>
                <w:szCs w:val="14"/>
                <w:color w:val="auto"/>
              </w:rPr>
            </w:pPr>
          </w:p>
        </w:tc>
        <w:tc>
          <w:tcPr>
            <w:tcW w:w="120" w:type="dxa"/>
            <w:vAlign w:val="bottom"/>
            <w:tcBorders>
              <w:bottom w:val="single" w:sz="8" w:color="2360A6"/>
            </w:tcBorders>
          </w:tcPr>
          <w:p>
            <w:pPr>
              <w:spacing w:after="0"/>
              <w:rPr>
                <w:sz w:val="14"/>
                <w:szCs w:val="14"/>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31.5</w:t>
            </w:r>
          </w:p>
        </w:tc>
        <w:tc>
          <w:tcPr>
            <w:tcW w:w="100" w:type="dxa"/>
            <w:vAlign w:val="bottom"/>
            <w:tcBorders>
              <w:bottom w:val="single" w:sz="8" w:color="2360A6"/>
            </w:tcBorders>
          </w:tcPr>
          <w:p>
            <w:pPr>
              <w:spacing w:after="0"/>
              <w:rPr>
                <w:sz w:val="14"/>
                <w:szCs w:val="14"/>
                <w:color w:val="auto"/>
              </w:rPr>
            </w:pPr>
          </w:p>
        </w:tc>
        <w:tc>
          <w:tcPr>
            <w:tcW w:w="9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(36.8)</w:t>
            </w:r>
          </w:p>
        </w:tc>
        <w:tc>
          <w:tcPr>
            <w:tcW w:w="100" w:type="dxa"/>
            <w:vAlign w:val="bottom"/>
            <w:tcBorders>
              <w:bottom w:val="single" w:sz="8" w:color="2360A6"/>
            </w:tcBorders>
          </w:tcPr>
          <w:p>
            <w:pPr>
              <w:spacing w:after="0"/>
              <w:rPr>
                <w:sz w:val="14"/>
                <w:szCs w:val="14"/>
                <w:color w:val="auto"/>
              </w:rPr>
            </w:pP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(14.8)</w:t>
            </w:r>
          </w:p>
        </w:tc>
        <w:tc>
          <w:tcPr>
            <w:tcW w:w="120" w:type="dxa"/>
            <w:vAlign w:val="bottom"/>
            <w:tcBorders>
              <w:bottom w:val="single" w:sz="8" w:color="2360A6"/>
            </w:tcBorders>
          </w:tcPr>
          <w:p>
            <w:pPr>
              <w:spacing w:after="0"/>
              <w:rPr>
                <w:sz w:val="14"/>
                <w:szCs w:val="14"/>
                <w:color w:val="auto"/>
              </w:rPr>
            </w:pPr>
          </w:p>
        </w:tc>
        <w:tc>
          <w:tcPr>
            <w:tcW w:w="10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0.3</w:t>
            </w:r>
          </w:p>
        </w:tc>
        <w:tc>
          <w:tcPr>
            <w:tcW w:w="120" w:type="dxa"/>
            <w:vAlign w:val="bottom"/>
            <w:tcBorders>
              <w:bottom w:val="single" w:sz="8" w:color="2360A6"/>
            </w:tcBorders>
          </w:tcPr>
          <w:p>
            <w:pPr>
              <w:spacing w:after="0"/>
              <w:rPr>
                <w:sz w:val="14"/>
                <w:szCs w:val="14"/>
                <w:color w:val="auto"/>
              </w:rPr>
            </w:pPr>
          </w:p>
        </w:tc>
        <w:tc>
          <w:tcPr>
            <w:tcW w:w="720" w:type="dxa"/>
            <w:vAlign w:val="bottom"/>
            <w:tcBorders>
              <w:bottom w:val="single" w:sz="8" w:color="2360A6"/>
            </w:tcBorders>
          </w:tcPr>
          <w:p>
            <w:pPr>
              <w:jc w:val="right"/>
              <w:spacing w:after="0"/>
              <w:rPr>
                <w:sz w:val="20"/>
                <w:szCs w:val="20"/>
                <w:color w:val="auto"/>
              </w:rPr>
            </w:pPr>
            <w:r>
              <w:rPr>
                <w:rFonts w:ascii="Arial" w:cs="Arial" w:eastAsia="Arial" w:hAnsi="Arial"/>
                <w:sz w:val="13"/>
                <w:szCs w:val="13"/>
                <w:color w:val="231F20"/>
              </w:rPr>
              <w:t>3.8</w:t>
            </w:r>
          </w:p>
        </w:tc>
        <w:tc>
          <w:tcPr>
            <w:tcW w:w="100" w:type="dxa"/>
            <w:vAlign w:val="bottom"/>
            <w:tcBorders>
              <w:bottom w:val="single" w:sz="8" w:color="2360A6"/>
              <w:right w:val="single" w:sz="8" w:color="2360A6"/>
            </w:tcBorders>
          </w:tcPr>
          <w:p>
            <w:pPr>
              <w:spacing w:after="0"/>
              <w:rPr>
                <w:sz w:val="14"/>
                <w:szCs w:val="14"/>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200.5</w:t>
            </w:r>
          </w:p>
        </w:tc>
        <w:tc>
          <w:tcPr>
            <w:tcW w:w="80" w:type="dxa"/>
            <w:vAlign w:val="bottom"/>
            <w:tcBorders>
              <w:bottom w:val="single" w:sz="8" w:color="2360A6"/>
            </w:tcBorders>
            <w:shd w:val="clear" w:color="auto" w:fill="EDEDE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Tax</w:t>
            </w:r>
          </w:p>
        </w:tc>
        <w:tc>
          <w:tcPr>
            <w:tcW w:w="220" w:type="dxa"/>
            <w:vAlign w:val="bottom"/>
            <w:tcBorders>
              <w:bottom w:val="single" w:sz="8" w:color="2360A6"/>
              <w:right w:val="single" w:sz="8" w:color="EDEDEE"/>
            </w:tcBorders>
            <w:shd w:val="clear" w:color="auto" w:fill="EDEDEE"/>
          </w:tcPr>
          <w:p>
            <w:pPr>
              <w:spacing w:after="0"/>
              <w:rPr>
                <w:sz w:val="18"/>
                <w:szCs w:val="18"/>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0.8</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2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(0.2)</w:t>
            </w:r>
          </w:p>
        </w:tc>
        <w:tc>
          <w:tcPr>
            <w:tcW w:w="120" w:type="dxa"/>
            <w:vAlign w:val="bottom"/>
            <w:tcBorders>
              <w:bottom w:val="single" w:sz="8" w:color="2360A6"/>
            </w:tcBorders>
          </w:tcPr>
          <w:p>
            <w:pPr>
              <w:spacing w:after="0"/>
              <w:rPr>
                <w:sz w:val="18"/>
                <w:szCs w:val="18"/>
                <w:color w:val="auto"/>
              </w:rPr>
            </w:pPr>
          </w:p>
        </w:tc>
        <w:tc>
          <w:tcPr>
            <w:tcW w:w="10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0.3</w:t>
            </w:r>
          </w:p>
        </w:tc>
        <w:tc>
          <w:tcPr>
            <w:tcW w:w="120" w:type="dxa"/>
            <w:vAlign w:val="bottom"/>
            <w:tcBorders>
              <w:bottom w:val="single" w:sz="8" w:color="2360A6"/>
            </w:tcBorders>
          </w:tcPr>
          <w:p>
            <w:pPr>
              <w:spacing w:after="0"/>
              <w:rPr>
                <w:sz w:val="18"/>
                <w:szCs w:val="18"/>
                <w:color w:val="auto"/>
              </w:rPr>
            </w:pPr>
          </w:p>
        </w:tc>
        <w:tc>
          <w:tcPr>
            <w:tcW w:w="8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0.9</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Litigation</w:t>
            </w:r>
          </w:p>
        </w:tc>
        <w:tc>
          <w:tcPr>
            <w:tcW w:w="220" w:type="dxa"/>
            <w:vAlign w:val="bottom"/>
            <w:tcBorders>
              <w:bottom w:val="single" w:sz="8" w:color="2360A6"/>
              <w:right w:val="single" w:sz="8" w:color="EDEDEE"/>
            </w:tcBorders>
            <w:shd w:val="clear" w:color="auto" w:fill="EDEDEE"/>
          </w:tcPr>
          <w:p>
            <w:pPr>
              <w:spacing w:after="0"/>
              <w:rPr>
                <w:sz w:val="18"/>
                <w:szCs w:val="18"/>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2.3</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2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0" w:type="dxa"/>
            <w:vAlign w:val="bottom"/>
            <w:tcBorders>
              <w:bottom w:val="single" w:sz="8" w:color="2360A6"/>
            </w:tcBorders>
          </w:tcPr>
          <w:p>
            <w:pPr>
              <w:spacing w:after="0"/>
              <w:rPr>
                <w:sz w:val="18"/>
                <w:szCs w:val="18"/>
                <w:color w:val="auto"/>
              </w:rPr>
            </w:pPr>
          </w:p>
        </w:tc>
        <w:tc>
          <w:tcPr>
            <w:tcW w:w="10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0" w:type="dxa"/>
            <w:vAlign w:val="bottom"/>
            <w:tcBorders>
              <w:bottom w:val="single" w:sz="8" w:color="2360A6"/>
            </w:tcBorders>
          </w:tcPr>
          <w:p>
            <w:pPr>
              <w:spacing w:after="0"/>
              <w:rPr>
                <w:sz w:val="18"/>
                <w:szCs w:val="18"/>
                <w:color w:val="auto"/>
              </w:rPr>
            </w:pPr>
          </w:p>
        </w:tc>
        <w:tc>
          <w:tcPr>
            <w:tcW w:w="8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2.3</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w w:val="98"/>
              </w:rPr>
              <w:t>Provisions for Claims Incurred but not Reported</w:t>
            </w:r>
          </w:p>
        </w:tc>
        <w:tc>
          <w:tcPr>
            <w:tcW w:w="220" w:type="dxa"/>
            <w:vAlign w:val="bottom"/>
            <w:tcBorders>
              <w:right w:val="single" w:sz="8" w:color="EDEDEE"/>
            </w:tcBorders>
            <w:shd w:val="clear" w:color="auto" w:fill="EDEDEE"/>
          </w:tcPr>
          <w:p>
            <w:pPr>
              <w:spacing w:after="0"/>
              <w:rPr>
                <w:sz w:val="14"/>
                <w:szCs w:val="14"/>
                <w:color w:val="auto"/>
              </w:rPr>
            </w:pPr>
          </w:p>
        </w:tc>
        <w:tc>
          <w:tcPr>
            <w:tcW w:w="94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231F20"/>
              </w:rPr>
              <w:t>8.0</w:t>
            </w:r>
          </w:p>
        </w:tc>
        <w:tc>
          <w:tcPr>
            <w:tcW w:w="120" w:type="dxa"/>
            <w:vAlign w:val="bottom"/>
            <w:tcBorders>
              <w:right w:val="single" w:sz="8" w:color="2360A6"/>
            </w:tcBorders>
            <w:shd w:val="clear" w:color="auto" w:fill="EDEDE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right w:val="single" w:sz="8" w:color="2360A6"/>
            </w:tcBorders>
            <w:vMerge w:val="restart"/>
          </w:tcPr>
          <w:p>
            <w:pPr>
              <w:jc w:val="right"/>
              <w:ind w:right="77"/>
              <w:spacing w:after="0"/>
              <w:rPr>
                <w:sz w:val="20"/>
                <w:szCs w:val="20"/>
                <w:color w:val="auto"/>
              </w:rPr>
            </w:pPr>
            <w:r>
              <w:rPr>
                <w:rFonts w:ascii="Arial" w:cs="Arial" w:eastAsia="Arial" w:hAnsi="Arial"/>
                <w:sz w:val="13"/>
                <w:szCs w:val="13"/>
                <w:color w:val="231F20"/>
              </w:rPr>
              <w:t>3.7</w:t>
            </w:r>
          </w:p>
        </w:tc>
        <w:tc>
          <w:tcPr>
            <w:tcW w:w="100" w:type="dxa"/>
            <w:vAlign w:val="bottom"/>
          </w:tcPr>
          <w:p>
            <w:pPr>
              <w:spacing w:after="0"/>
              <w:rPr>
                <w:sz w:val="14"/>
                <w:szCs w:val="14"/>
                <w:color w:val="auto"/>
              </w:rPr>
            </w:pPr>
          </w:p>
        </w:tc>
        <w:tc>
          <w:tcPr>
            <w:tcW w:w="960" w:type="dxa"/>
            <w:vAlign w:val="bottom"/>
            <w:tcBorders>
              <w:right w:val="single" w:sz="8" w:color="2360A6"/>
            </w:tcBorders>
            <w:vMerge w:val="restart"/>
          </w:tcPr>
          <w:p>
            <w:pPr>
              <w:jc w:val="right"/>
              <w:ind w:right="77"/>
              <w:spacing w:after="0"/>
              <w:rPr>
                <w:sz w:val="20"/>
                <w:szCs w:val="20"/>
                <w:color w:val="auto"/>
              </w:rPr>
            </w:pPr>
            <w:r>
              <w:rPr>
                <w:rFonts w:ascii="Arial" w:cs="Arial" w:eastAsia="Arial" w:hAnsi="Arial"/>
                <w:sz w:val="13"/>
                <w:szCs w:val="13"/>
                <w:color w:val="231F20"/>
              </w:rPr>
              <w:t>—</w:t>
            </w:r>
          </w:p>
        </w:tc>
        <w:tc>
          <w:tcPr>
            <w:tcW w:w="100" w:type="dxa"/>
            <w:vAlign w:val="bottom"/>
          </w:tcPr>
          <w:p>
            <w:pPr>
              <w:spacing w:after="0"/>
              <w:rPr>
                <w:sz w:val="14"/>
                <w:szCs w:val="14"/>
                <w:color w:val="auto"/>
              </w:rPr>
            </w:pPr>
          </w:p>
        </w:tc>
        <w:tc>
          <w:tcPr>
            <w:tcW w:w="960" w:type="dxa"/>
            <w:vAlign w:val="bottom"/>
            <w:tcBorders>
              <w:right w:val="single" w:sz="8" w:color="2360A6"/>
            </w:tcBorders>
            <w:vMerge w:val="restart"/>
          </w:tcPr>
          <w:p>
            <w:pPr>
              <w:jc w:val="right"/>
              <w:ind w:right="57"/>
              <w:spacing w:after="0"/>
              <w:rPr>
                <w:sz w:val="20"/>
                <w:szCs w:val="20"/>
                <w:color w:val="auto"/>
              </w:rPr>
            </w:pPr>
            <w:r>
              <w:rPr>
                <w:rFonts w:ascii="Arial" w:cs="Arial" w:eastAsia="Arial" w:hAnsi="Arial"/>
                <w:sz w:val="13"/>
                <w:szCs w:val="13"/>
                <w:color w:val="231F20"/>
              </w:rPr>
              <w:t>—</w:t>
            </w:r>
          </w:p>
        </w:tc>
        <w:tc>
          <w:tcPr>
            <w:tcW w:w="120" w:type="dxa"/>
            <w:vAlign w:val="bottom"/>
          </w:tcPr>
          <w:p>
            <w:pPr>
              <w:spacing w:after="0"/>
              <w:rPr>
                <w:sz w:val="14"/>
                <w:szCs w:val="14"/>
                <w:color w:val="auto"/>
              </w:rPr>
            </w:pPr>
          </w:p>
        </w:tc>
        <w:tc>
          <w:tcPr>
            <w:tcW w:w="1040" w:type="dxa"/>
            <w:vAlign w:val="bottom"/>
            <w:tcBorders>
              <w:right w:val="single" w:sz="8" w:color="2360A6"/>
            </w:tcBorders>
            <w:vMerge w:val="restart"/>
          </w:tcPr>
          <w:p>
            <w:pPr>
              <w:jc w:val="right"/>
              <w:ind w:right="57"/>
              <w:spacing w:after="0"/>
              <w:rPr>
                <w:sz w:val="20"/>
                <w:szCs w:val="20"/>
                <w:color w:val="auto"/>
              </w:rPr>
            </w:pPr>
            <w:r>
              <w:rPr>
                <w:rFonts w:ascii="Arial" w:cs="Arial" w:eastAsia="Arial" w:hAnsi="Arial"/>
                <w:sz w:val="13"/>
                <w:szCs w:val="13"/>
                <w:color w:val="231F20"/>
              </w:rPr>
              <w:t>—</w:t>
            </w:r>
          </w:p>
        </w:tc>
        <w:tc>
          <w:tcPr>
            <w:tcW w:w="120" w:type="dxa"/>
            <w:vAlign w:val="bottom"/>
          </w:tcPr>
          <w:p>
            <w:pPr>
              <w:spacing w:after="0"/>
              <w:rPr>
                <w:sz w:val="14"/>
                <w:szCs w:val="14"/>
                <w:color w:val="auto"/>
              </w:rPr>
            </w:pPr>
          </w:p>
        </w:tc>
        <w:tc>
          <w:tcPr>
            <w:tcW w:w="820" w:type="dxa"/>
            <w:vAlign w:val="bottom"/>
            <w:tcBorders>
              <w:right w:val="single" w:sz="8" w:color="2360A6"/>
            </w:tcBorders>
            <w:gridSpan w:val="2"/>
            <w:vMerge w:val="restart"/>
          </w:tcPr>
          <w:p>
            <w:pPr>
              <w:jc w:val="right"/>
              <w:ind w:right="120"/>
              <w:spacing w:after="0"/>
              <w:rPr>
                <w:sz w:val="20"/>
                <w:szCs w:val="20"/>
                <w:color w:val="auto"/>
              </w:rPr>
            </w:pPr>
            <w:r>
              <w:rPr>
                <w:rFonts w:ascii="Arial" w:cs="Arial" w:eastAsia="Arial" w:hAnsi="Arial"/>
                <w:sz w:val="13"/>
                <w:szCs w:val="13"/>
                <w:color w:val="231F20"/>
              </w:rPr>
              <w:t>—</w:t>
            </w:r>
          </w:p>
        </w:tc>
        <w:tc>
          <w:tcPr>
            <w:tcW w:w="11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231F20"/>
              </w:rPr>
              <w:t>11.7</w:t>
            </w:r>
          </w:p>
        </w:tc>
        <w:tc>
          <w:tcPr>
            <w:tcW w:w="80" w:type="dxa"/>
            <w:vAlign w:val="bottom"/>
            <w:shd w:val="clear" w:color="auto" w:fill="EDEDE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9"/>
                <w:szCs w:val="9"/>
                <w:color w:val="231F20"/>
              </w:rPr>
              <w:t>(2)</w:t>
            </w:r>
          </w:p>
        </w:tc>
        <w:tc>
          <w:tcPr>
            <w:tcW w:w="220" w:type="dxa"/>
            <w:vAlign w:val="bottom"/>
            <w:tcBorders>
              <w:bottom w:val="single" w:sz="8" w:color="2360A6"/>
              <w:right w:val="single" w:sz="8" w:color="EDEDEE"/>
            </w:tcBorders>
            <w:shd w:val="clear" w:color="auto" w:fill="EDEDEE"/>
          </w:tcPr>
          <w:p>
            <w:pPr>
              <w:spacing w:after="0"/>
              <w:rPr>
                <w:sz w:val="11"/>
                <w:szCs w:val="11"/>
                <w:color w:val="auto"/>
              </w:rPr>
            </w:pPr>
          </w:p>
        </w:tc>
        <w:tc>
          <w:tcPr>
            <w:tcW w:w="940" w:type="dxa"/>
            <w:vAlign w:val="bottom"/>
            <w:tcBorders>
              <w:bottom w:val="single" w:sz="8" w:color="2360A6"/>
            </w:tcBorders>
            <w:vMerge w:val="continue"/>
            <w:shd w:val="clear" w:color="auto" w:fill="EDEDEE"/>
          </w:tcPr>
          <w:p>
            <w:pPr>
              <w:spacing w:after="0"/>
              <w:rPr>
                <w:sz w:val="11"/>
                <w:szCs w:val="11"/>
                <w:color w:val="auto"/>
              </w:rPr>
            </w:pPr>
          </w:p>
        </w:tc>
        <w:tc>
          <w:tcPr>
            <w:tcW w:w="120" w:type="dxa"/>
            <w:vAlign w:val="bottom"/>
            <w:tcBorders>
              <w:bottom w:val="single" w:sz="8" w:color="2360A6"/>
              <w:right w:val="single" w:sz="8" w:color="2360A6"/>
            </w:tcBorders>
            <w:shd w:val="clear" w:color="auto" w:fill="EDEDEE"/>
          </w:tcPr>
          <w:p>
            <w:pPr>
              <w:spacing w:after="0"/>
              <w:rPr>
                <w:sz w:val="11"/>
                <w:szCs w:val="11"/>
                <w:color w:val="auto"/>
              </w:rPr>
            </w:pPr>
          </w:p>
        </w:tc>
        <w:tc>
          <w:tcPr>
            <w:tcW w:w="120" w:type="dxa"/>
            <w:vAlign w:val="bottom"/>
            <w:tcBorders>
              <w:bottom w:val="single" w:sz="8" w:color="2360A6"/>
            </w:tcBorders>
          </w:tcPr>
          <w:p>
            <w:pPr>
              <w:spacing w:after="0"/>
              <w:rPr>
                <w:sz w:val="11"/>
                <w:szCs w:val="11"/>
                <w:color w:val="auto"/>
              </w:rPr>
            </w:pPr>
          </w:p>
        </w:tc>
        <w:tc>
          <w:tcPr>
            <w:tcW w:w="960" w:type="dxa"/>
            <w:vAlign w:val="bottom"/>
            <w:tcBorders>
              <w:bottom w:val="single" w:sz="8" w:color="2360A6"/>
              <w:right w:val="single" w:sz="8" w:color="2360A6"/>
            </w:tcBorders>
            <w:vMerge w:val="continue"/>
          </w:tcPr>
          <w:p>
            <w:pPr>
              <w:spacing w:after="0"/>
              <w:rPr>
                <w:sz w:val="11"/>
                <w:szCs w:val="11"/>
                <w:color w:val="auto"/>
              </w:rPr>
            </w:pPr>
          </w:p>
        </w:tc>
        <w:tc>
          <w:tcPr>
            <w:tcW w:w="100" w:type="dxa"/>
            <w:vAlign w:val="bottom"/>
            <w:tcBorders>
              <w:bottom w:val="single" w:sz="8" w:color="2360A6"/>
            </w:tcBorders>
          </w:tcPr>
          <w:p>
            <w:pPr>
              <w:spacing w:after="0"/>
              <w:rPr>
                <w:sz w:val="11"/>
                <w:szCs w:val="11"/>
                <w:color w:val="auto"/>
              </w:rPr>
            </w:pPr>
          </w:p>
        </w:tc>
        <w:tc>
          <w:tcPr>
            <w:tcW w:w="960" w:type="dxa"/>
            <w:vAlign w:val="bottom"/>
            <w:tcBorders>
              <w:bottom w:val="single" w:sz="8" w:color="2360A6"/>
              <w:right w:val="single" w:sz="8" w:color="2360A6"/>
            </w:tcBorders>
            <w:vMerge w:val="continue"/>
          </w:tcPr>
          <w:p>
            <w:pPr>
              <w:spacing w:after="0"/>
              <w:rPr>
                <w:sz w:val="11"/>
                <w:szCs w:val="11"/>
                <w:color w:val="auto"/>
              </w:rPr>
            </w:pPr>
          </w:p>
        </w:tc>
        <w:tc>
          <w:tcPr>
            <w:tcW w:w="100" w:type="dxa"/>
            <w:vAlign w:val="bottom"/>
            <w:tcBorders>
              <w:bottom w:val="single" w:sz="8" w:color="2360A6"/>
            </w:tcBorders>
          </w:tcPr>
          <w:p>
            <w:pPr>
              <w:spacing w:after="0"/>
              <w:rPr>
                <w:sz w:val="11"/>
                <w:szCs w:val="11"/>
                <w:color w:val="auto"/>
              </w:rPr>
            </w:pPr>
          </w:p>
        </w:tc>
        <w:tc>
          <w:tcPr>
            <w:tcW w:w="960" w:type="dxa"/>
            <w:vAlign w:val="bottom"/>
            <w:tcBorders>
              <w:bottom w:val="single" w:sz="8" w:color="2360A6"/>
              <w:right w:val="single" w:sz="8" w:color="2360A6"/>
            </w:tcBorders>
            <w:vMerge w:val="continue"/>
          </w:tcPr>
          <w:p>
            <w:pPr>
              <w:spacing w:after="0"/>
              <w:rPr>
                <w:sz w:val="11"/>
                <w:szCs w:val="11"/>
                <w:color w:val="auto"/>
              </w:rPr>
            </w:pPr>
          </w:p>
        </w:tc>
        <w:tc>
          <w:tcPr>
            <w:tcW w:w="120" w:type="dxa"/>
            <w:vAlign w:val="bottom"/>
            <w:tcBorders>
              <w:bottom w:val="single" w:sz="8" w:color="2360A6"/>
            </w:tcBorders>
          </w:tcPr>
          <w:p>
            <w:pPr>
              <w:spacing w:after="0"/>
              <w:rPr>
                <w:sz w:val="11"/>
                <w:szCs w:val="11"/>
                <w:color w:val="auto"/>
              </w:rPr>
            </w:pPr>
          </w:p>
        </w:tc>
        <w:tc>
          <w:tcPr>
            <w:tcW w:w="1040" w:type="dxa"/>
            <w:vAlign w:val="bottom"/>
            <w:tcBorders>
              <w:bottom w:val="single" w:sz="8" w:color="2360A6"/>
              <w:right w:val="single" w:sz="8" w:color="2360A6"/>
            </w:tcBorders>
            <w:vMerge w:val="continue"/>
          </w:tcPr>
          <w:p>
            <w:pPr>
              <w:spacing w:after="0"/>
              <w:rPr>
                <w:sz w:val="11"/>
                <w:szCs w:val="11"/>
                <w:color w:val="auto"/>
              </w:rPr>
            </w:pPr>
          </w:p>
        </w:tc>
        <w:tc>
          <w:tcPr>
            <w:tcW w:w="120" w:type="dxa"/>
            <w:vAlign w:val="bottom"/>
            <w:tcBorders>
              <w:bottom w:val="single" w:sz="8" w:color="2360A6"/>
            </w:tcBorders>
          </w:tcPr>
          <w:p>
            <w:pPr>
              <w:spacing w:after="0"/>
              <w:rPr>
                <w:sz w:val="11"/>
                <w:szCs w:val="11"/>
                <w:color w:val="auto"/>
              </w:rPr>
            </w:pPr>
          </w:p>
        </w:tc>
        <w:tc>
          <w:tcPr>
            <w:tcW w:w="820" w:type="dxa"/>
            <w:vAlign w:val="bottom"/>
            <w:tcBorders>
              <w:bottom w:val="single" w:sz="8" w:color="2360A6"/>
              <w:right w:val="single" w:sz="8" w:color="2360A6"/>
            </w:tcBorders>
            <w:gridSpan w:val="2"/>
            <w:vMerge w:val="continue"/>
          </w:tcPr>
          <w:p>
            <w:pPr>
              <w:spacing w:after="0"/>
              <w:rPr>
                <w:sz w:val="11"/>
                <w:szCs w:val="11"/>
                <w:color w:val="auto"/>
              </w:rPr>
            </w:pPr>
          </w:p>
        </w:tc>
        <w:tc>
          <w:tcPr>
            <w:tcW w:w="1160" w:type="dxa"/>
            <w:vAlign w:val="bottom"/>
            <w:tcBorders>
              <w:bottom w:val="single" w:sz="8" w:color="2360A6"/>
            </w:tcBorders>
            <w:vMerge w:val="continue"/>
            <w:shd w:val="clear" w:color="auto" w:fill="EDEDEE"/>
          </w:tcPr>
          <w:p>
            <w:pPr>
              <w:spacing w:after="0"/>
              <w:rPr>
                <w:sz w:val="11"/>
                <w:szCs w:val="11"/>
                <w:color w:val="auto"/>
              </w:rPr>
            </w:pPr>
          </w:p>
        </w:tc>
        <w:tc>
          <w:tcPr>
            <w:tcW w:w="80" w:type="dxa"/>
            <w:vAlign w:val="bottom"/>
            <w:tcBorders>
              <w:bottom w:val="single" w:sz="8" w:color="2360A6"/>
            </w:tcBorders>
            <w:shd w:val="clear" w:color="auto" w:fill="EDED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Other Non-Current Provisions</w:t>
            </w:r>
          </w:p>
        </w:tc>
        <w:tc>
          <w:tcPr>
            <w:tcW w:w="220" w:type="dxa"/>
            <w:vAlign w:val="bottom"/>
            <w:tcBorders>
              <w:bottom w:val="single" w:sz="8" w:color="2360A6"/>
              <w:right w:val="single" w:sz="8" w:color="EDEDEE"/>
            </w:tcBorders>
            <w:shd w:val="clear" w:color="auto" w:fill="EDEDEE"/>
          </w:tcPr>
          <w:p>
            <w:pPr>
              <w:spacing w:after="0"/>
              <w:rPr>
                <w:sz w:val="18"/>
                <w:szCs w:val="18"/>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4.0</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2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0.4</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(0.4)</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0" w:type="dxa"/>
            <w:vAlign w:val="bottom"/>
            <w:tcBorders>
              <w:bottom w:val="single" w:sz="8" w:color="2360A6"/>
            </w:tcBorders>
          </w:tcPr>
          <w:p>
            <w:pPr>
              <w:spacing w:after="0"/>
              <w:rPr>
                <w:sz w:val="18"/>
                <w:szCs w:val="18"/>
                <w:color w:val="auto"/>
              </w:rPr>
            </w:pPr>
          </w:p>
        </w:tc>
        <w:tc>
          <w:tcPr>
            <w:tcW w:w="10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0.1</w:t>
            </w:r>
          </w:p>
        </w:tc>
        <w:tc>
          <w:tcPr>
            <w:tcW w:w="120" w:type="dxa"/>
            <w:vAlign w:val="bottom"/>
            <w:tcBorders>
              <w:bottom w:val="single" w:sz="8" w:color="2360A6"/>
            </w:tcBorders>
          </w:tcPr>
          <w:p>
            <w:pPr>
              <w:spacing w:after="0"/>
              <w:rPr>
                <w:sz w:val="18"/>
                <w:szCs w:val="18"/>
                <w:color w:val="auto"/>
              </w:rPr>
            </w:pPr>
          </w:p>
        </w:tc>
        <w:tc>
          <w:tcPr>
            <w:tcW w:w="82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231F20"/>
              </w:rPr>
              <w:t>(0.1)</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4.0</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Total Non-Current Provisions</w:t>
            </w:r>
          </w:p>
        </w:tc>
        <w:tc>
          <w:tcPr>
            <w:tcW w:w="220" w:type="dxa"/>
            <w:vAlign w:val="bottom"/>
            <w:tcBorders>
              <w:bottom w:val="single" w:sz="8" w:color="2360A6"/>
              <w:right w:val="single" w:sz="8" w:color="EDEDEE"/>
            </w:tcBorders>
            <w:shd w:val="clear" w:color="auto" w:fill="EDEDEE"/>
          </w:tcPr>
          <w:p>
            <w:pPr>
              <w:spacing w:after="0"/>
              <w:rPr>
                <w:sz w:val="18"/>
                <w:szCs w:val="18"/>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231.6</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2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55.4</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(37.2)</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(15.0)</w:t>
            </w:r>
          </w:p>
        </w:tc>
        <w:tc>
          <w:tcPr>
            <w:tcW w:w="120" w:type="dxa"/>
            <w:vAlign w:val="bottom"/>
            <w:tcBorders>
              <w:bottom w:val="single" w:sz="8" w:color="2360A6"/>
            </w:tcBorders>
          </w:tcPr>
          <w:p>
            <w:pPr>
              <w:spacing w:after="0"/>
              <w:rPr>
                <w:sz w:val="18"/>
                <w:szCs w:val="18"/>
                <w:color w:val="auto"/>
              </w:rPr>
            </w:pPr>
          </w:p>
        </w:tc>
        <w:tc>
          <w:tcPr>
            <w:tcW w:w="10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0.6</w:t>
            </w:r>
          </w:p>
        </w:tc>
        <w:tc>
          <w:tcPr>
            <w:tcW w:w="120" w:type="dxa"/>
            <w:vAlign w:val="bottom"/>
            <w:tcBorders>
              <w:bottom w:val="single" w:sz="8" w:color="2360A6"/>
            </w:tcBorders>
          </w:tcPr>
          <w:p>
            <w:pPr>
              <w:spacing w:after="0"/>
              <w:rPr>
                <w:sz w:val="18"/>
                <w:szCs w:val="18"/>
                <w:color w:val="auto"/>
              </w:rPr>
            </w:pPr>
          </w:p>
        </w:tc>
        <w:tc>
          <w:tcPr>
            <w:tcW w:w="720" w:type="dxa"/>
            <w:vAlign w:val="bottom"/>
            <w:tcBorders>
              <w:bottom w:val="single" w:sz="8" w:color="2360A6"/>
            </w:tcBorders>
          </w:tcPr>
          <w:p>
            <w:pPr>
              <w:jc w:val="right"/>
              <w:spacing w:after="0"/>
              <w:rPr>
                <w:sz w:val="20"/>
                <w:szCs w:val="20"/>
                <w:color w:val="auto"/>
              </w:rPr>
            </w:pPr>
            <w:r>
              <w:rPr>
                <w:rFonts w:ascii="Arial" w:cs="Arial" w:eastAsia="Arial" w:hAnsi="Arial"/>
                <w:sz w:val="13"/>
                <w:szCs w:val="13"/>
                <w:b w:val="1"/>
                <w:bCs w:val="1"/>
                <w:color w:val="2360A6"/>
              </w:rPr>
              <w:t>6.6</w:t>
            </w:r>
          </w:p>
        </w:tc>
        <w:tc>
          <w:tcPr>
            <w:tcW w:w="100" w:type="dxa"/>
            <w:vAlign w:val="bottom"/>
            <w:tcBorders>
              <w:bottom w:val="single" w:sz="8" w:color="2360A6"/>
              <w:right w:val="single" w:sz="8" w:color="2360A6"/>
            </w:tcBorders>
          </w:tcPr>
          <w:p>
            <w:pPr>
              <w:spacing w:after="0"/>
              <w:rPr>
                <w:sz w:val="18"/>
                <w:szCs w:val="18"/>
                <w:color w:val="auto"/>
              </w:rPr>
            </w:pP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242.0</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Pensions and other Long-Term</w:t>
            </w:r>
          </w:p>
        </w:tc>
        <w:tc>
          <w:tcPr>
            <w:tcW w:w="220" w:type="dxa"/>
            <w:vAlign w:val="bottom"/>
            <w:tcBorders>
              <w:right w:val="single" w:sz="8" w:color="EDEDEE"/>
            </w:tcBorders>
            <w:shd w:val="clear" w:color="auto" w:fill="EDEDEE"/>
          </w:tcPr>
          <w:p>
            <w:pPr>
              <w:spacing w:after="0"/>
              <w:rPr>
                <w:sz w:val="18"/>
                <w:szCs w:val="18"/>
                <w:color w:val="auto"/>
              </w:rPr>
            </w:pPr>
          </w:p>
        </w:tc>
        <w:tc>
          <w:tcPr>
            <w:tcW w:w="940" w:type="dxa"/>
            <w:vAlign w:val="bottom"/>
            <w:shd w:val="clear" w:color="auto" w:fill="EDEDEE"/>
          </w:tcPr>
          <w:p>
            <w:pPr>
              <w:spacing w:after="0"/>
              <w:rPr>
                <w:sz w:val="18"/>
                <w:szCs w:val="18"/>
                <w:color w:val="auto"/>
              </w:rPr>
            </w:pPr>
          </w:p>
        </w:tc>
        <w:tc>
          <w:tcPr>
            <w:tcW w:w="120" w:type="dxa"/>
            <w:vAlign w:val="bottom"/>
            <w:tcBorders>
              <w:right w:val="single" w:sz="8" w:color="2360A6"/>
            </w:tcBorders>
            <w:shd w:val="clear" w:color="auto" w:fill="EDEDE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right w:val="single" w:sz="8" w:color="2360A6"/>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right w:val="single" w:sz="8" w:color="2360A6"/>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right w:val="single" w:sz="8" w:color="2360A6"/>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right w:val="single" w:sz="8" w:color="2360A6"/>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right w:val="single" w:sz="8" w:color="2360A6"/>
            </w:tcBorders>
          </w:tcPr>
          <w:p>
            <w:pPr>
              <w:spacing w:after="0"/>
              <w:rPr>
                <w:sz w:val="18"/>
                <w:szCs w:val="18"/>
                <w:color w:val="auto"/>
              </w:rPr>
            </w:pPr>
          </w:p>
        </w:tc>
        <w:tc>
          <w:tcPr>
            <w:tcW w:w="1160" w:type="dxa"/>
            <w:vAlign w:val="bottom"/>
            <w:shd w:val="clear" w:color="auto" w:fill="EDEDEE"/>
          </w:tcPr>
          <w:p>
            <w:pPr>
              <w:spacing w:after="0"/>
              <w:rPr>
                <w:sz w:val="18"/>
                <w:szCs w:val="18"/>
                <w:color w:val="auto"/>
              </w:rPr>
            </w:pPr>
          </w:p>
        </w:tc>
        <w:tc>
          <w:tcPr>
            <w:tcW w:w="80" w:type="dxa"/>
            <w:vAlign w:val="bottom"/>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Employee Benefits </w:t>
            </w:r>
            <w:r>
              <w:rPr>
                <w:rFonts w:ascii="Arial" w:cs="Arial" w:eastAsia="Arial" w:hAnsi="Arial"/>
                <w:sz w:val="8"/>
                <w:szCs w:val="8"/>
                <w:color w:val="231F20"/>
              </w:rPr>
              <w:t>(1)</w:t>
            </w:r>
          </w:p>
        </w:tc>
        <w:tc>
          <w:tcPr>
            <w:tcW w:w="220" w:type="dxa"/>
            <w:vAlign w:val="bottom"/>
            <w:tcBorders>
              <w:bottom w:val="single" w:sz="8" w:color="2360A6"/>
              <w:right w:val="single" w:sz="8" w:color="EDEDEE"/>
            </w:tcBorders>
            <w:shd w:val="clear" w:color="auto" w:fill="EDEDEE"/>
          </w:tcPr>
          <w:p>
            <w:pPr>
              <w:spacing w:after="0"/>
              <w:rPr>
                <w:sz w:val="14"/>
                <w:szCs w:val="14"/>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57.3</w:t>
            </w:r>
          </w:p>
        </w:tc>
        <w:tc>
          <w:tcPr>
            <w:tcW w:w="120" w:type="dxa"/>
            <w:vAlign w:val="bottom"/>
            <w:tcBorders>
              <w:bottom w:val="single" w:sz="8" w:color="2360A6"/>
              <w:right w:val="single" w:sz="8" w:color="2360A6"/>
            </w:tcBorders>
            <w:shd w:val="clear" w:color="auto" w:fill="EDEDEE"/>
          </w:tcPr>
          <w:p>
            <w:pPr>
              <w:spacing w:after="0"/>
              <w:rPr>
                <w:sz w:val="14"/>
                <w:szCs w:val="14"/>
                <w:color w:val="auto"/>
              </w:rPr>
            </w:pPr>
          </w:p>
        </w:tc>
        <w:tc>
          <w:tcPr>
            <w:tcW w:w="120" w:type="dxa"/>
            <w:vAlign w:val="bottom"/>
            <w:tcBorders>
              <w:bottom w:val="single" w:sz="8" w:color="2360A6"/>
            </w:tcBorders>
          </w:tcPr>
          <w:p>
            <w:pPr>
              <w:spacing w:after="0"/>
              <w:rPr>
                <w:sz w:val="14"/>
                <w:szCs w:val="14"/>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26.2</w:t>
            </w:r>
          </w:p>
        </w:tc>
        <w:tc>
          <w:tcPr>
            <w:tcW w:w="100" w:type="dxa"/>
            <w:vAlign w:val="bottom"/>
            <w:tcBorders>
              <w:bottom w:val="single" w:sz="8" w:color="2360A6"/>
            </w:tcBorders>
          </w:tcPr>
          <w:p>
            <w:pPr>
              <w:spacing w:after="0"/>
              <w:rPr>
                <w:sz w:val="14"/>
                <w:szCs w:val="14"/>
                <w:color w:val="auto"/>
              </w:rPr>
            </w:pPr>
          </w:p>
        </w:tc>
        <w:tc>
          <w:tcPr>
            <w:tcW w:w="9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(34.9)</w:t>
            </w:r>
          </w:p>
        </w:tc>
        <w:tc>
          <w:tcPr>
            <w:tcW w:w="100" w:type="dxa"/>
            <w:vAlign w:val="bottom"/>
            <w:tcBorders>
              <w:bottom w:val="single" w:sz="8" w:color="2360A6"/>
            </w:tcBorders>
          </w:tcPr>
          <w:p>
            <w:pPr>
              <w:spacing w:after="0"/>
              <w:rPr>
                <w:sz w:val="14"/>
                <w:szCs w:val="14"/>
                <w:color w:val="auto"/>
              </w:rPr>
            </w:pP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(0.5)</w:t>
            </w:r>
          </w:p>
        </w:tc>
        <w:tc>
          <w:tcPr>
            <w:tcW w:w="120" w:type="dxa"/>
            <w:vAlign w:val="bottom"/>
            <w:tcBorders>
              <w:bottom w:val="single" w:sz="8" w:color="2360A6"/>
            </w:tcBorders>
          </w:tcPr>
          <w:p>
            <w:pPr>
              <w:spacing w:after="0"/>
              <w:rPr>
                <w:sz w:val="14"/>
                <w:szCs w:val="14"/>
                <w:color w:val="auto"/>
              </w:rPr>
            </w:pPr>
          </w:p>
        </w:tc>
        <w:tc>
          <w:tcPr>
            <w:tcW w:w="10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1.5</w:t>
            </w:r>
          </w:p>
        </w:tc>
        <w:tc>
          <w:tcPr>
            <w:tcW w:w="120" w:type="dxa"/>
            <w:vAlign w:val="bottom"/>
            <w:tcBorders>
              <w:bottom w:val="single" w:sz="8" w:color="2360A6"/>
            </w:tcBorders>
          </w:tcPr>
          <w:p>
            <w:pPr>
              <w:spacing w:after="0"/>
              <w:rPr>
                <w:sz w:val="14"/>
                <w:szCs w:val="14"/>
                <w:color w:val="auto"/>
              </w:rPr>
            </w:pPr>
          </w:p>
        </w:tc>
        <w:tc>
          <w:tcPr>
            <w:tcW w:w="82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231F20"/>
              </w:rPr>
              <w:t>(2.9)</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46.7</w:t>
            </w:r>
          </w:p>
        </w:tc>
        <w:tc>
          <w:tcPr>
            <w:tcW w:w="80" w:type="dxa"/>
            <w:vAlign w:val="bottom"/>
            <w:tcBorders>
              <w:bottom w:val="single" w:sz="8" w:color="2360A6"/>
            </w:tcBorders>
            <w:shd w:val="clear" w:color="auto" w:fill="EDEDE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Contingencies related to Contracts </w:t>
            </w:r>
            <w:r>
              <w:rPr>
                <w:rFonts w:ascii="Arial" w:cs="Arial" w:eastAsia="Arial" w:hAnsi="Arial"/>
                <w:sz w:val="8"/>
                <w:szCs w:val="8"/>
                <w:color w:val="231F20"/>
              </w:rPr>
              <w:t>(3)</w:t>
            </w:r>
          </w:p>
        </w:tc>
        <w:tc>
          <w:tcPr>
            <w:tcW w:w="220" w:type="dxa"/>
            <w:vAlign w:val="bottom"/>
            <w:tcBorders>
              <w:bottom w:val="single" w:sz="8" w:color="2360A6"/>
              <w:right w:val="single" w:sz="8" w:color="EDEDEE"/>
            </w:tcBorders>
            <w:shd w:val="clear" w:color="auto" w:fill="EDEDEE"/>
          </w:tcPr>
          <w:p>
            <w:pPr>
              <w:spacing w:after="0"/>
              <w:rPr>
                <w:sz w:val="18"/>
                <w:szCs w:val="18"/>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196.2</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2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207.9</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(122.9)</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(11.3)</w:t>
            </w:r>
          </w:p>
        </w:tc>
        <w:tc>
          <w:tcPr>
            <w:tcW w:w="120" w:type="dxa"/>
            <w:vAlign w:val="bottom"/>
            <w:tcBorders>
              <w:bottom w:val="single" w:sz="8" w:color="2360A6"/>
            </w:tcBorders>
          </w:tcPr>
          <w:p>
            <w:pPr>
              <w:spacing w:after="0"/>
              <w:rPr>
                <w:sz w:val="18"/>
                <w:szCs w:val="18"/>
                <w:color w:val="auto"/>
              </w:rPr>
            </w:pPr>
          </w:p>
        </w:tc>
        <w:tc>
          <w:tcPr>
            <w:tcW w:w="10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1.8</w:t>
            </w:r>
          </w:p>
        </w:tc>
        <w:tc>
          <w:tcPr>
            <w:tcW w:w="120" w:type="dxa"/>
            <w:vAlign w:val="bottom"/>
            <w:tcBorders>
              <w:bottom w:val="single" w:sz="8" w:color="2360A6"/>
            </w:tcBorders>
          </w:tcPr>
          <w:p>
            <w:pPr>
              <w:spacing w:after="0"/>
              <w:rPr>
                <w:sz w:val="18"/>
                <w:szCs w:val="18"/>
                <w:color w:val="auto"/>
              </w:rPr>
            </w:pPr>
          </w:p>
        </w:tc>
        <w:tc>
          <w:tcPr>
            <w:tcW w:w="82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231F20"/>
              </w:rPr>
              <w:t>(3.2)</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268.5</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Restructuring</w:t>
            </w:r>
          </w:p>
        </w:tc>
        <w:tc>
          <w:tcPr>
            <w:tcW w:w="220" w:type="dxa"/>
            <w:vAlign w:val="bottom"/>
            <w:tcBorders>
              <w:bottom w:val="single" w:sz="8" w:color="2360A6"/>
              <w:right w:val="single" w:sz="8" w:color="EDEDEE"/>
            </w:tcBorders>
            <w:shd w:val="clear" w:color="auto" w:fill="EDEDEE"/>
          </w:tcPr>
          <w:p>
            <w:pPr>
              <w:spacing w:after="0"/>
              <w:rPr>
                <w:sz w:val="18"/>
                <w:szCs w:val="18"/>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2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37.0</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(8.0)</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0" w:type="dxa"/>
            <w:vAlign w:val="bottom"/>
            <w:tcBorders>
              <w:bottom w:val="single" w:sz="8" w:color="2360A6"/>
            </w:tcBorders>
          </w:tcPr>
          <w:p>
            <w:pPr>
              <w:spacing w:after="0"/>
              <w:rPr>
                <w:sz w:val="18"/>
                <w:szCs w:val="18"/>
                <w:color w:val="auto"/>
              </w:rPr>
            </w:pPr>
          </w:p>
        </w:tc>
        <w:tc>
          <w:tcPr>
            <w:tcW w:w="10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0" w:type="dxa"/>
            <w:vAlign w:val="bottom"/>
            <w:tcBorders>
              <w:bottom w:val="single" w:sz="8" w:color="2360A6"/>
            </w:tcBorders>
          </w:tcPr>
          <w:p>
            <w:pPr>
              <w:spacing w:after="0"/>
              <w:rPr>
                <w:sz w:val="18"/>
                <w:szCs w:val="18"/>
                <w:color w:val="auto"/>
              </w:rPr>
            </w:pPr>
          </w:p>
        </w:tc>
        <w:tc>
          <w:tcPr>
            <w:tcW w:w="82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231F20"/>
              </w:rPr>
              <w:t>(1.4)</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27.6</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Tax</w:t>
            </w:r>
          </w:p>
        </w:tc>
        <w:tc>
          <w:tcPr>
            <w:tcW w:w="220" w:type="dxa"/>
            <w:vAlign w:val="bottom"/>
            <w:tcBorders>
              <w:bottom w:val="single" w:sz="8" w:color="2360A6"/>
              <w:right w:val="single" w:sz="8" w:color="EDEDEE"/>
            </w:tcBorders>
            <w:shd w:val="clear" w:color="auto" w:fill="EDEDEE"/>
          </w:tcPr>
          <w:p>
            <w:pPr>
              <w:spacing w:after="0"/>
              <w:rPr>
                <w:sz w:val="18"/>
                <w:szCs w:val="18"/>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20.3</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2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14.5</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(3.3)</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(4.9)</w:t>
            </w:r>
          </w:p>
        </w:tc>
        <w:tc>
          <w:tcPr>
            <w:tcW w:w="120" w:type="dxa"/>
            <w:vAlign w:val="bottom"/>
            <w:tcBorders>
              <w:bottom w:val="single" w:sz="8" w:color="2360A6"/>
            </w:tcBorders>
          </w:tcPr>
          <w:p>
            <w:pPr>
              <w:spacing w:after="0"/>
              <w:rPr>
                <w:sz w:val="18"/>
                <w:szCs w:val="18"/>
                <w:color w:val="auto"/>
              </w:rPr>
            </w:pPr>
          </w:p>
        </w:tc>
        <w:tc>
          <w:tcPr>
            <w:tcW w:w="10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(5.4)</w:t>
            </w:r>
          </w:p>
        </w:tc>
        <w:tc>
          <w:tcPr>
            <w:tcW w:w="120" w:type="dxa"/>
            <w:vAlign w:val="bottom"/>
            <w:tcBorders>
              <w:bottom w:val="single" w:sz="8" w:color="2360A6"/>
            </w:tcBorders>
          </w:tcPr>
          <w:p>
            <w:pPr>
              <w:spacing w:after="0"/>
              <w:rPr>
                <w:sz w:val="18"/>
                <w:szCs w:val="18"/>
                <w:color w:val="auto"/>
              </w:rPr>
            </w:pPr>
          </w:p>
        </w:tc>
        <w:tc>
          <w:tcPr>
            <w:tcW w:w="8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21.2</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Litigation </w:t>
            </w:r>
            <w:r>
              <w:rPr>
                <w:rFonts w:ascii="Arial" w:cs="Arial" w:eastAsia="Arial" w:hAnsi="Arial"/>
                <w:sz w:val="8"/>
                <w:szCs w:val="8"/>
                <w:color w:val="231F20"/>
              </w:rPr>
              <w:t>(4)</w:t>
            </w:r>
          </w:p>
        </w:tc>
        <w:tc>
          <w:tcPr>
            <w:tcW w:w="220" w:type="dxa"/>
            <w:vAlign w:val="bottom"/>
            <w:tcBorders>
              <w:bottom w:val="single" w:sz="8" w:color="2360A6"/>
              <w:right w:val="single" w:sz="8" w:color="EDEDEE"/>
            </w:tcBorders>
            <w:shd w:val="clear" w:color="auto" w:fill="EDEDEE"/>
          </w:tcPr>
          <w:p>
            <w:pPr>
              <w:spacing w:after="0"/>
              <w:rPr>
                <w:sz w:val="18"/>
                <w:szCs w:val="18"/>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10.4</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2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10.9</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(1.7)</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(8.2)</w:t>
            </w:r>
          </w:p>
        </w:tc>
        <w:tc>
          <w:tcPr>
            <w:tcW w:w="120" w:type="dxa"/>
            <w:vAlign w:val="bottom"/>
            <w:tcBorders>
              <w:bottom w:val="single" w:sz="8" w:color="2360A6"/>
            </w:tcBorders>
          </w:tcPr>
          <w:p>
            <w:pPr>
              <w:spacing w:after="0"/>
              <w:rPr>
                <w:sz w:val="18"/>
                <w:szCs w:val="18"/>
                <w:color w:val="auto"/>
              </w:rPr>
            </w:pPr>
          </w:p>
        </w:tc>
        <w:tc>
          <w:tcPr>
            <w:tcW w:w="10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(1.8)</w:t>
            </w:r>
          </w:p>
        </w:tc>
        <w:tc>
          <w:tcPr>
            <w:tcW w:w="120" w:type="dxa"/>
            <w:vAlign w:val="bottom"/>
            <w:tcBorders>
              <w:bottom w:val="single" w:sz="8" w:color="2360A6"/>
            </w:tcBorders>
          </w:tcPr>
          <w:p>
            <w:pPr>
              <w:spacing w:after="0"/>
              <w:rPr>
                <w:sz w:val="18"/>
                <w:szCs w:val="18"/>
                <w:color w:val="auto"/>
              </w:rPr>
            </w:pPr>
          </w:p>
        </w:tc>
        <w:tc>
          <w:tcPr>
            <w:tcW w:w="8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9.6</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Provisions for Claims </w:t>
            </w:r>
            <w:r>
              <w:rPr>
                <w:rFonts w:ascii="Arial" w:cs="Arial" w:eastAsia="Arial" w:hAnsi="Arial"/>
                <w:sz w:val="8"/>
                <w:szCs w:val="8"/>
                <w:color w:val="231F20"/>
              </w:rPr>
              <w:t>(2)</w:t>
            </w:r>
          </w:p>
        </w:tc>
        <w:tc>
          <w:tcPr>
            <w:tcW w:w="220" w:type="dxa"/>
            <w:vAlign w:val="bottom"/>
            <w:tcBorders>
              <w:bottom w:val="single" w:sz="8" w:color="2360A6"/>
              <w:right w:val="single" w:sz="8" w:color="EDEDEE"/>
            </w:tcBorders>
            <w:shd w:val="clear" w:color="auto" w:fill="EDEDEE"/>
          </w:tcPr>
          <w:p>
            <w:pPr>
              <w:spacing w:after="0"/>
              <w:rPr>
                <w:sz w:val="18"/>
                <w:szCs w:val="18"/>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3.0</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2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4.9</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0" w:type="dxa"/>
            <w:vAlign w:val="bottom"/>
            <w:tcBorders>
              <w:bottom w:val="single" w:sz="8" w:color="2360A6"/>
            </w:tcBorders>
          </w:tcPr>
          <w:p>
            <w:pPr>
              <w:spacing w:after="0"/>
              <w:rPr>
                <w:sz w:val="18"/>
                <w:szCs w:val="18"/>
                <w:color w:val="auto"/>
              </w:rPr>
            </w:pPr>
          </w:p>
        </w:tc>
        <w:tc>
          <w:tcPr>
            <w:tcW w:w="10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20" w:type="dxa"/>
            <w:vAlign w:val="bottom"/>
            <w:tcBorders>
              <w:bottom w:val="single" w:sz="8" w:color="2360A6"/>
            </w:tcBorders>
          </w:tcPr>
          <w:p>
            <w:pPr>
              <w:spacing w:after="0"/>
              <w:rPr>
                <w:sz w:val="18"/>
                <w:szCs w:val="18"/>
                <w:color w:val="auto"/>
              </w:rPr>
            </w:pPr>
          </w:p>
        </w:tc>
        <w:tc>
          <w:tcPr>
            <w:tcW w:w="8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7.9</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Other Current Provisions</w:t>
            </w:r>
          </w:p>
        </w:tc>
        <w:tc>
          <w:tcPr>
            <w:tcW w:w="220" w:type="dxa"/>
            <w:vAlign w:val="bottom"/>
            <w:tcBorders>
              <w:bottom w:val="single" w:sz="8" w:color="2360A6"/>
              <w:right w:val="single" w:sz="8" w:color="EDEDEE"/>
            </w:tcBorders>
            <w:shd w:val="clear" w:color="auto" w:fill="EDEDEE"/>
          </w:tcPr>
          <w:p>
            <w:pPr>
              <w:spacing w:after="0"/>
              <w:rPr>
                <w:sz w:val="18"/>
                <w:szCs w:val="18"/>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39.1</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2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37.6</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(4.5)</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(8.2)</w:t>
            </w:r>
          </w:p>
        </w:tc>
        <w:tc>
          <w:tcPr>
            <w:tcW w:w="120" w:type="dxa"/>
            <w:vAlign w:val="bottom"/>
            <w:tcBorders>
              <w:bottom w:val="single" w:sz="8" w:color="2360A6"/>
            </w:tcBorders>
          </w:tcPr>
          <w:p>
            <w:pPr>
              <w:spacing w:after="0"/>
              <w:rPr>
                <w:sz w:val="18"/>
                <w:szCs w:val="18"/>
                <w:color w:val="auto"/>
              </w:rPr>
            </w:pPr>
          </w:p>
        </w:tc>
        <w:tc>
          <w:tcPr>
            <w:tcW w:w="10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(9.8)</w:t>
            </w:r>
          </w:p>
        </w:tc>
        <w:tc>
          <w:tcPr>
            <w:tcW w:w="120" w:type="dxa"/>
            <w:vAlign w:val="bottom"/>
            <w:tcBorders>
              <w:bottom w:val="single" w:sz="8" w:color="2360A6"/>
            </w:tcBorders>
          </w:tcPr>
          <w:p>
            <w:pPr>
              <w:spacing w:after="0"/>
              <w:rPr>
                <w:sz w:val="18"/>
                <w:szCs w:val="18"/>
                <w:color w:val="auto"/>
              </w:rPr>
            </w:pPr>
          </w:p>
        </w:tc>
        <w:tc>
          <w:tcPr>
            <w:tcW w:w="82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color w:val="231F20"/>
              </w:rPr>
              <w:t>(2.0)</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52.2</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Total Current Provisions</w:t>
            </w:r>
          </w:p>
        </w:tc>
        <w:tc>
          <w:tcPr>
            <w:tcW w:w="220" w:type="dxa"/>
            <w:vAlign w:val="bottom"/>
            <w:tcBorders>
              <w:bottom w:val="single" w:sz="8" w:color="2360A6"/>
              <w:right w:val="single" w:sz="8" w:color="EDEDEE"/>
            </w:tcBorders>
            <w:shd w:val="clear" w:color="auto" w:fill="EDEDEE"/>
          </w:tcPr>
          <w:p>
            <w:pPr>
              <w:spacing w:after="0"/>
              <w:rPr>
                <w:sz w:val="18"/>
                <w:szCs w:val="18"/>
                <w:color w:val="auto"/>
              </w:rPr>
            </w:pPr>
          </w:p>
        </w:tc>
        <w:tc>
          <w:tcPr>
            <w:tcW w:w="9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326.3</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2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339.0</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(175.3)</w:t>
            </w:r>
          </w:p>
        </w:tc>
        <w:tc>
          <w:tcPr>
            <w:tcW w:w="10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(33.1)</w:t>
            </w:r>
          </w:p>
        </w:tc>
        <w:tc>
          <w:tcPr>
            <w:tcW w:w="120" w:type="dxa"/>
            <w:vAlign w:val="bottom"/>
            <w:tcBorders>
              <w:bottom w:val="single" w:sz="8" w:color="2360A6"/>
            </w:tcBorders>
          </w:tcPr>
          <w:p>
            <w:pPr>
              <w:spacing w:after="0"/>
              <w:rPr>
                <w:sz w:val="18"/>
                <w:szCs w:val="18"/>
                <w:color w:val="auto"/>
              </w:rPr>
            </w:pPr>
          </w:p>
        </w:tc>
        <w:tc>
          <w:tcPr>
            <w:tcW w:w="10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(13.7)</w:t>
            </w:r>
          </w:p>
        </w:tc>
        <w:tc>
          <w:tcPr>
            <w:tcW w:w="120" w:type="dxa"/>
            <w:vAlign w:val="bottom"/>
            <w:tcBorders>
              <w:bottom w:val="single" w:sz="8" w:color="2360A6"/>
            </w:tcBorders>
          </w:tcPr>
          <w:p>
            <w:pPr>
              <w:spacing w:after="0"/>
              <w:rPr>
                <w:sz w:val="18"/>
                <w:szCs w:val="18"/>
                <w:color w:val="auto"/>
              </w:rPr>
            </w:pPr>
          </w:p>
        </w:tc>
        <w:tc>
          <w:tcPr>
            <w:tcW w:w="820" w:type="dxa"/>
            <w:vAlign w:val="bottom"/>
            <w:tcBorders>
              <w:bottom w:val="single" w:sz="8" w:color="2360A6"/>
              <w:right w:val="single" w:sz="8" w:color="2360A6"/>
            </w:tcBorders>
            <w:gridSpan w:val="2"/>
          </w:tcPr>
          <w:p>
            <w:pPr>
              <w:jc w:val="right"/>
              <w:ind w:right="80"/>
              <w:spacing w:after="0"/>
              <w:rPr>
                <w:sz w:val="20"/>
                <w:szCs w:val="20"/>
                <w:color w:val="auto"/>
              </w:rPr>
            </w:pPr>
            <w:r>
              <w:rPr>
                <w:rFonts w:ascii="Arial" w:cs="Arial" w:eastAsia="Arial" w:hAnsi="Arial"/>
                <w:sz w:val="13"/>
                <w:szCs w:val="13"/>
                <w:b w:val="1"/>
                <w:bCs w:val="1"/>
                <w:color w:val="2360A6"/>
              </w:rPr>
              <w:t>(9.5)</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433.7</w:t>
            </w:r>
          </w:p>
        </w:tc>
        <w:tc>
          <w:tcPr>
            <w:tcW w:w="80" w:type="dxa"/>
            <w:vAlign w:val="bottom"/>
            <w:tcBorders>
              <w:bottom w:val="single" w:sz="8" w:color="2360A6"/>
            </w:tcBorders>
            <w:shd w:val="clear" w:color="auto" w:fill="EDED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left w:val="single" w:sz="8" w:color="D4DAEB"/>
              <w:bottom w:val="single" w:sz="8" w:color="2360A6"/>
              <w:right w:val="single" w:sz="8" w:color="2360A6"/>
            </w:tcBorders>
            <w:shd w:val="clear" w:color="auto" w:fill="D4DAEB"/>
          </w:tcPr>
          <w:p>
            <w:pPr>
              <w:ind w:left="40"/>
              <w:spacing w:after="0"/>
              <w:rPr>
                <w:sz w:val="20"/>
                <w:szCs w:val="20"/>
                <w:color w:val="auto"/>
              </w:rPr>
            </w:pPr>
            <w:r>
              <w:rPr>
                <w:rFonts w:ascii="Arial" w:cs="Arial" w:eastAsia="Arial" w:hAnsi="Arial"/>
                <w:sz w:val="13"/>
                <w:szCs w:val="13"/>
                <w:b w:val="1"/>
                <w:bCs w:val="1"/>
                <w:color w:val="2360A6"/>
              </w:rPr>
              <w:t>TOTAL PROVISIONS</w:t>
            </w:r>
          </w:p>
        </w:tc>
        <w:tc>
          <w:tcPr>
            <w:tcW w:w="220" w:type="dxa"/>
            <w:vAlign w:val="bottom"/>
            <w:tcBorders>
              <w:bottom w:val="single" w:sz="8" w:color="2360A6"/>
              <w:right w:val="single" w:sz="8" w:color="D4DAEB"/>
            </w:tcBorders>
            <w:shd w:val="clear" w:color="auto" w:fill="D4DAEB"/>
          </w:tcPr>
          <w:p>
            <w:pPr>
              <w:spacing w:after="0"/>
              <w:rPr>
                <w:sz w:val="18"/>
                <w:szCs w:val="18"/>
                <w:color w:val="auto"/>
              </w:rPr>
            </w:pPr>
          </w:p>
        </w:tc>
        <w:tc>
          <w:tcPr>
            <w:tcW w:w="940" w:type="dxa"/>
            <w:vAlign w:val="bottom"/>
            <w:tcBorders>
              <w:bottom w:val="single" w:sz="8" w:color="2360A6"/>
            </w:tcBorders>
            <w:shd w:val="clear" w:color="auto" w:fill="D4DAEB"/>
          </w:tcPr>
          <w:p>
            <w:pPr>
              <w:jc w:val="right"/>
              <w:spacing w:after="0"/>
              <w:rPr>
                <w:sz w:val="20"/>
                <w:szCs w:val="20"/>
                <w:color w:val="auto"/>
              </w:rPr>
            </w:pPr>
            <w:r>
              <w:rPr>
                <w:rFonts w:ascii="Arial" w:cs="Arial" w:eastAsia="Arial" w:hAnsi="Arial"/>
                <w:sz w:val="13"/>
                <w:szCs w:val="13"/>
                <w:b w:val="1"/>
                <w:bCs w:val="1"/>
                <w:color w:val="2360A6"/>
              </w:rPr>
              <w:t>557.9</w:t>
            </w:r>
          </w:p>
        </w:tc>
        <w:tc>
          <w:tcPr>
            <w:tcW w:w="120" w:type="dxa"/>
            <w:vAlign w:val="bottom"/>
            <w:tcBorders>
              <w:bottom w:val="single" w:sz="8" w:color="2360A6"/>
              <w:right w:val="single" w:sz="8" w:color="2360A6"/>
            </w:tcBorders>
            <w:shd w:val="clear" w:color="auto" w:fill="D4DAEB"/>
          </w:tcPr>
          <w:p>
            <w:pPr>
              <w:spacing w:after="0"/>
              <w:rPr>
                <w:sz w:val="18"/>
                <w:szCs w:val="18"/>
                <w:color w:val="auto"/>
              </w:rPr>
            </w:pPr>
          </w:p>
        </w:tc>
        <w:tc>
          <w:tcPr>
            <w:tcW w:w="120" w:type="dxa"/>
            <w:vAlign w:val="bottom"/>
            <w:tcBorders>
              <w:bottom w:val="single" w:sz="8" w:color="2360A6"/>
              <w:right w:val="single" w:sz="8" w:color="D4DAEB"/>
            </w:tcBorders>
            <w:shd w:val="clear" w:color="auto" w:fill="D4DAEB"/>
          </w:tcPr>
          <w:p>
            <w:pPr>
              <w:spacing w:after="0"/>
              <w:rPr>
                <w:sz w:val="18"/>
                <w:szCs w:val="18"/>
                <w:color w:val="auto"/>
              </w:rPr>
            </w:pPr>
          </w:p>
        </w:tc>
        <w:tc>
          <w:tcPr>
            <w:tcW w:w="960" w:type="dxa"/>
            <w:vAlign w:val="bottom"/>
            <w:tcBorders>
              <w:bottom w:val="single" w:sz="8" w:color="2360A6"/>
              <w:right w:val="single" w:sz="8" w:color="2360A6"/>
            </w:tcBorders>
            <w:shd w:val="clear" w:color="auto" w:fill="D4DAEB"/>
          </w:tcPr>
          <w:p>
            <w:pPr>
              <w:jc w:val="right"/>
              <w:ind w:right="77"/>
              <w:spacing w:after="0"/>
              <w:rPr>
                <w:sz w:val="20"/>
                <w:szCs w:val="20"/>
                <w:color w:val="auto"/>
              </w:rPr>
            </w:pPr>
            <w:r>
              <w:rPr>
                <w:rFonts w:ascii="Arial" w:cs="Arial" w:eastAsia="Arial" w:hAnsi="Arial"/>
                <w:sz w:val="13"/>
                <w:szCs w:val="13"/>
                <w:b w:val="1"/>
                <w:bCs w:val="1"/>
                <w:color w:val="2360A6"/>
              </w:rPr>
              <w:t>394.4</w:t>
            </w:r>
          </w:p>
        </w:tc>
        <w:tc>
          <w:tcPr>
            <w:tcW w:w="100" w:type="dxa"/>
            <w:vAlign w:val="bottom"/>
            <w:tcBorders>
              <w:bottom w:val="single" w:sz="8" w:color="2360A6"/>
              <w:right w:val="single" w:sz="8" w:color="D4DAEB"/>
            </w:tcBorders>
            <w:shd w:val="clear" w:color="auto" w:fill="D4DAEB"/>
          </w:tcPr>
          <w:p>
            <w:pPr>
              <w:spacing w:after="0"/>
              <w:rPr>
                <w:sz w:val="18"/>
                <w:szCs w:val="18"/>
                <w:color w:val="auto"/>
              </w:rPr>
            </w:pPr>
          </w:p>
        </w:tc>
        <w:tc>
          <w:tcPr>
            <w:tcW w:w="960" w:type="dxa"/>
            <w:vAlign w:val="bottom"/>
            <w:tcBorders>
              <w:bottom w:val="single" w:sz="8" w:color="2360A6"/>
              <w:right w:val="single" w:sz="8" w:color="2360A6"/>
            </w:tcBorders>
            <w:shd w:val="clear" w:color="auto" w:fill="D4DAEB"/>
          </w:tcPr>
          <w:p>
            <w:pPr>
              <w:jc w:val="right"/>
              <w:ind w:right="37"/>
              <w:spacing w:after="0"/>
              <w:rPr>
                <w:sz w:val="20"/>
                <w:szCs w:val="20"/>
                <w:color w:val="auto"/>
              </w:rPr>
            </w:pPr>
            <w:r>
              <w:rPr>
                <w:rFonts w:ascii="Arial" w:cs="Arial" w:eastAsia="Arial" w:hAnsi="Arial"/>
                <w:sz w:val="13"/>
                <w:szCs w:val="13"/>
                <w:b w:val="1"/>
                <w:bCs w:val="1"/>
                <w:color w:val="2360A6"/>
              </w:rPr>
              <w:t>(212.5)</w:t>
            </w:r>
          </w:p>
        </w:tc>
        <w:tc>
          <w:tcPr>
            <w:tcW w:w="100" w:type="dxa"/>
            <w:vAlign w:val="bottom"/>
            <w:tcBorders>
              <w:bottom w:val="single" w:sz="8" w:color="2360A6"/>
              <w:right w:val="single" w:sz="8" w:color="D4DAEB"/>
            </w:tcBorders>
            <w:shd w:val="clear" w:color="auto" w:fill="D4DAEB"/>
          </w:tcPr>
          <w:p>
            <w:pPr>
              <w:spacing w:after="0"/>
              <w:rPr>
                <w:sz w:val="18"/>
                <w:szCs w:val="18"/>
                <w:color w:val="auto"/>
              </w:rPr>
            </w:pPr>
          </w:p>
        </w:tc>
        <w:tc>
          <w:tcPr>
            <w:tcW w:w="960" w:type="dxa"/>
            <w:vAlign w:val="bottom"/>
            <w:tcBorders>
              <w:bottom w:val="single" w:sz="8" w:color="2360A6"/>
              <w:right w:val="single" w:sz="8" w:color="2360A6"/>
            </w:tcBorders>
            <w:shd w:val="clear" w:color="auto" w:fill="D4DAEB"/>
          </w:tcPr>
          <w:p>
            <w:pPr>
              <w:jc w:val="right"/>
              <w:ind w:right="17"/>
              <w:spacing w:after="0"/>
              <w:rPr>
                <w:sz w:val="20"/>
                <w:szCs w:val="20"/>
                <w:color w:val="auto"/>
              </w:rPr>
            </w:pPr>
            <w:r>
              <w:rPr>
                <w:rFonts w:ascii="Arial" w:cs="Arial" w:eastAsia="Arial" w:hAnsi="Arial"/>
                <w:sz w:val="13"/>
                <w:szCs w:val="13"/>
                <w:b w:val="1"/>
                <w:bCs w:val="1"/>
                <w:color w:val="2360A6"/>
              </w:rPr>
              <w:t>(48.1)</w:t>
            </w:r>
          </w:p>
        </w:tc>
        <w:tc>
          <w:tcPr>
            <w:tcW w:w="120" w:type="dxa"/>
            <w:vAlign w:val="bottom"/>
            <w:tcBorders>
              <w:bottom w:val="single" w:sz="8" w:color="2360A6"/>
              <w:right w:val="single" w:sz="8" w:color="D4DAEB"/>
            </w:tcBorders>
            <w:shd w:val="clear" w:color="auto" w:fill="D4DAEB"/>
          </w:tcPr>
          <w:p>
            <w:pPr>
              <w:spacing w:after="0"/>
              <w:rPr>
                <w:sz w:val="18"/>
                <w:szCs w:val="18"/>
                <w:color w:val="auto"/>
              </w:rPr>
            </w:pPr>
          </w:p>
        </w:tc>
        <w:tc>
          <w:tcPr>
            <w:tcW w:w="1040" w:type="dxa"/>
            <w:vAlign w:val="bottom"/>
            <w:tcBorders>
              <w:bottom w:val="single" w:sz="8" w:color="2360A6"/>
              <w:right w:val="single" w:sz="8" w:color="2360A6"/>
            </w:tcBorders>
            <w:shd w:val="clear" w:color="auto" w:fill="D4DAEB"/>
          </w:tcPr>
          <w:p>
            <w:pPr>
              <w:jc w:val="right"/>
              <w:ind w:right="17"/>
              <w:spacing w:after="0"/>
              <w:rPr>
                <w:sz w:val="20"/>
                <w:szCs w:val="20"/>
                <w:color w:val="auto"/>
              </w:rPr>
            </w:pPr>
            <w:r>
              <w:rPr>
                <w:rFonts w:ascii="Arial" w:cs="Arial" w:eastAsia="Arial" w:hAnsi="Arial"/>
                <w:sz w:val="13"/>
                <w:szCs w:val="13"/>
                <w:b w:val="1"/>
                <w:bCs w:val="1"/>
                <w:color w:val="2360A6"/>
              </w:rPr>
              <w:t>(13.1)</w:t>
            </w:r>
          </w:p>
        </w:tc>
        <w:tc>
          <w:tcPr>
            <w:tcW w:w="120" w:type="dxa"/>
            <w:vAlign w:val="bottom"/>
            <w:tcBorders>
              <w:bottom w:val="single" w:sz="8" w:color="2360A6"/>
              <w:right w:val="single" w:sz="8" w:color="D4DAEB"/>
            </w:tcBorders>
            <w:shd w:val="clear" w:color="auto" w:fill="D4DAEB"/>
          </w:tcPr>
          <w:p>
            <w:pPr>
              <w:spacing w:after="0"/>
              <w:rPr>
                <w:sz w:val="18"/>
                <w:szCs w:val="18"/>
                <w:color w:val="auto"/>
              </w:rPr>
            </w:pPr>
          </w:p>
        </w:tc>
        <w:tc>
          <w:tcPr>
            <w:tcW w:w="820" w:type="dxa"/>
            <w:vAlign w:val="bottom"/>
            <w:tcBorders>
              <w:bottom w:val="single" w:sz="8" w:color="2360A6"/>
              <w:right w:val="single" w:sz="8" w:color="2360A6"/>
            </w:tcBorders>
            <w:gridSpan w:val="2"/>
            <w:shd w:val="clear" w:color="auto" w:fill="D4DAEB"/>
          </w:tcPr>
          <w:p>
            <w:pPr>
              <w:jc w:val="right"/>
              <w:ind w:right="80"/>
              <w:spacing w:after="0"/>
              <w:rPr>
                <w:sz w:val="20"/>
                <w:szCs w:val="20"/>
                <w:color w:val="auto"/>
              </w:rPr>
            </w:pPr>
            <w:r>
              <w:rPr>
                <w:rFonts w:ascii="Arial" w:cs="Arial" w:eastAsia="Arial" w:hAnsi="Arial"/>
                <w:sz w:val="13"/>
                <w:szCs w:val="13"/>
                <w:b w:val="1"/>
                <w:bCs w:val="1"/>
                <w:color w:val="2360A6"/>
              </w:rPr>
              <w:t>(2.9)</w:t>
            </w:r>
          </w:p>
        </w:tc>
        <w:tc>
          <w:tcPr>
            <w:tcW w:w="1160" w:type="dxa"/>
            <w:vAlign w:val="bottom"/>
            <w:tcBorders>
              <w:bottom w:val="single" w:sz="8" w:color="2360A6"/>
            </w:tcBorders>
            <w:shd w:val="clear" w:color="auto" w:fill="D4DAEB"/>
          </w:tcPr>
          <w:p>
            <w:pPr>
              <w:jc w:val="right"/>
              <w:spacing w:after="0"/>
              <w:rPr>
                <w:sz w:val="20"/>
                <w:szCs w:val="20"/>
                <w:color w:val="auto"/>
              </w:rPr>
            </w:pPr>
            <w:r>
              <w:rPr>
                <w:rFonts w:ascii="Arial" w:cs="Arial" w:eastAsia="Arial" w:hAnsi="Arial"/>
                <w:sz w:val="13"/>
                <w:szCs w:val="13"/>
                <w:b w:val="1"/>
                <w:bCs w:val="1"/>
                <w:color w:val="2360A6"/>
              </w:rPr>
              <w:t>675.7</w:t>
            </w:r>
          </w:p>
        </w:tc>
        <w:tc>
          <w:tcPr>
            <w:tcW w:w="80" w:type="dxa"/>
            <w:vAlign w:val="bottom"/>
            <w:tcBorders>
              <w:bottom w:val="single" w:sz="8" w:color="2360A6"/>
            </w:tcBorders>
            <w:shd w:val="clear" w:color="auto" w:fill="D4DAEB"/>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-2940685</wp:posOffset>
            </wp:positionV>
            <wp:extent cx="6732270" cy="3344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270" cy="334454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231F20"/>
        </w:rPr>
        <w:t>(1) See Note 23 - Pensions and other long-term employee benefit plans.</w:t>
      </w:r>
    </w:p>
    <w:p>
      <w:pPr>
        <w:ind w:left="380"/>
        <w:spacing w:after="0"/>
        <w:rPr>
          <w:sz w:val="20"/>
          <w:szCs w:val="20"/>
          <w:color w:val="auto"/>
        </w:rPr>
      </w:pPr>
      <w:r>
        <w:rPr>
          <w:rFonts w:ascii="Arial" w:cs="Arial" w:eastAsia="Arial" w:hAnsi="Arial"/>
          <w:sz w:val="13"/>
          <w:szCs w:val="13"/>
          <w:color w:val="231F20"/>
        </w:rPr>
        <w:t>(2) Provisions for Reinsurance are recorded at the level of the Group’s captive reinsurance companies.</w:t>
      </w:r>
    </w:p>
    <w:p>
      <w:pPr>
        <w:ind w:left="380"/>
        <w:spacing w:after="0" w:line="216" w:lineRule="auto"/>
        <w:rPr>
          <w:sz w:val="20"/>
          <w:szCs w:val="20"/>
          <w:color w:val="auto"/>
        </w:rPr>
      </w:pPr>
      <w:r>
        <w:rPr>
          <w:rFonts w:ascii="Arial" w:cs="Arial" w:eastAsia="Arial" w:hAnsi="Arial"/>
          <w:sz w:val="13"/>
          <w:szCs w:val="13"/>
          <w:color w:val="231F20"/>
        </w:rPr>
        <w:t>(3) Provisions recognized on contingencies on contracts are related to claims on contracts.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231F20"/>
        </w:rPr>
        <w:t>(4) See Note 31 - Litigation and contingent liabilities.</w:t>
      </w:r>
    </w:p>
    <w:p>
      <w:pPr>
        <w:sectPr>
          <w:pgSz w:w="11900" w:h="16838" w:orient="portrait"/>
          <w:cols w:equalWidth="0" w:num="1">
            <w:col w:w="10960"/>
          </w:cols>
          <w:pgMar w:left="320" w:top="694" w:right="619" w:bottom="1440" w:gutter="0" w:footer="0" w:header="0"/>
        </w:sectPr>
      </w:pPr>
    </w:p>
    <w:bookmarkStart w:id="142" w:name="page143"/>
    <w:bookmarkEnd w:id="142"/>
    <w:tbl>
      <w:tblPr>
        <w:tblLayout w:type="fixed"/>
        <w:tblInd w:w="340" w:type="dxa"/>
        <w:tblCellMar>
          <w:top w:w="0" w:type="dxa"/>
          <w:left w:w="0" w:type="dxa"/>
          <w:bottom w:w="0" w:type="dxa"/>
          <w:right w:w="0" w:type="dxa"/>
        </w:tblCellMar>
      </w:tblPr>
      <w:tr>
        <w:trPr>
          <w:trHeight w:val="221"/>
        </w:trPr>
        <w:tc>
          <w:tcPr>
            <w:tcW w:w="2780" w:type="dxa"/>
            <w:vAlign w:val="bottom"/>
            <w:tcBorders>
              <w:top w:val="single" w:sz="8" w:color="2360A6"/>
              <w:right w:val="single" w:sz="8" w:color="2360A6"/>
            </w:tcBorders>
          </w:tcPr>
          <w:p>
            <w:pPr>
              <w:spacing w:after="0"/>
              <w:rPr>
                <w:sz w:val="19"/>
                <w:szCs w:val="19"/>
                <w:color w:val="auto"/>
              </w:rPr>
            </w:pPr>
          </w:p>
        </w:tc>
        <w:tc>
          <w:tcPr>
            <w:tcW w:w="1160" w:type="dxa"/>
            <w:vAlign w:val="bottom"/>
            <w:tcBorders>
              <w:top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As of</w:t>
            </w:r>
          </w:p>
        </w:tc>
        <w:tc>
          <w:tcPr>
            <w:tcW w:w="120" w:type="dxa"/>
            <w:vAlign w:val="bottom"/>
            <w:tcBorders>
              <w:top w:val="single" w:sz="8" w:color="2360A6"/>
              <w:right w:val="single" w:sz="8" w:color="2360A6"/>
            </w:tcBorders>
            <w:shd w:val="clear" w:color="auto" w:fill="EDEDEE"/>
          </w:tcPr>
          <w:p>
            <w:pPr>
              <w:spacing w:after="0"/>
              <w:rPr>
                <w:sz w:val="19"/>
                <w:szCs w:val="19"/>
                <w:color w:val="auto"/>
              </w:rPr>
            </w:pPr>
          </w:p>
        </w:tc>
        <w:tc>
          <w:tcPr>
            <w:tcW w:w="1080" w:type="dxa"/>
            <w:vAlign w:val="bottom"/>
            <w:tcBorders>
              <w:top w:val="single" w:sz="8" w:color="2360A6"/>
              <w:right w:val="single" w:sz="8" w:color="2360A6"/>
            </w:tcBorders>
          </w:tcPr>
          <w:p>
            <w:pPr>
              <w:spacing w:after="0"/>
              <w:rPr>
                <w:sz w:val="19"/>
                <w:szCs w:val="19"/>
                <w:color w:val="auto"/>
              </w:rPr>
            </w:pPr>
          </w:p>
        </w:tc>
        <w:tc>
          <w:tcPr>
            <w:tcW w:w="1060" w:type="dxa"/>
            <w:vAlign w:val="bottom"/>
            <w:tcBorders>
              <w:top w:val="single" w:sz="8" w:color="2360A6"/>
              <w:right w:val="single" w:sz="8" w:color="2360A6"/>
            </w:tcBorders>
          </w:tcPr>
          <w:p>
            <w:pPr>
              <w:spacing w:after="0"/>
              <w:rPr>
                <w:sz w:val="19"/>
                <w:szCs w:val="19"/>
                <w:color w:val="auto"/>
              </w:rPr>
            </w:pPr>
          </w:p>
        </w:tc>
        <w:tc>
          <w:tcPr>
            <w:tcW w:w="1060" w:type="dxa"/>
            <w:vAlign w:val="bottom"/>
            <w:tcBorders>
              <w:top w:val="single" w:sz="8" w:color="2360A6"/>
              <w:right w:val="single" w:sz="8" w:color="2360A6"/>
            </w:tcBorders>
          </w:tcPr>
          <w:p>
            <w:pPr>
              <w:spacing w:after="0"/>
              <w:rPr>
                <w:sz w:val="19"/>
                <w:szCs w:val="19"/>
                <w:color w:val="auto"/>
              </w:rPr>
            </w:pPr>
          </w:p>
        </w:tc>
        <w:tc>
          <w:tcPr>
            <w:tcW w:w="116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Foreign</w:t>
            </w:r>
          </w:p>
        </w:tc>
        <w:tc>
          <w:tcPr>
            <w:tcW w:w="940" w:type="dxa"/>
            <w:vAlign w:val="bottom"/>
            <w:tcBorders>
              <w:top w:val="single" w:sz="8" w:color="2360A6"/>
              <w:right w:val="single" w:sz="8" w:color="2360A6"/>
            </w:tcBorders>
          </w:tcPr>
          <w:p>
            <w:pPr>
              <w:spacing w:after="0"/>
              <w:rPr>
                <w:sz w:val="19"/>
                <w:szCs w:val="19"/>
                <w:color w:val="auto"/>
              </w:rPr>
            </w:pPr>
          </w:p>
        </w:tc>
        <w:tc>
          <w:tcPr>
            <w:tcW w:w="1140" w:type="dxa"/>
            <w:vAlign w:val="bottom"/>
            <w:tcBorders>
              <w:top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As of</w:t>
            </w:r>
          </w:p>
        </w:tc>
        <w:tc>
          <w:tcPr>
            <w:tcW w:w="100" w:type="dxa"/>
            <w:vAlign w:val="bottom"/>
            <w:tcBorders>
              <w:top w:val="single" w:sz="8" w:color="2360A6"/>
            </w:tcBorders>
            <w:shd w:val="clear" w:color="auto" w:fill="EDEDEE"/>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780" w:type="dxa"/>
            <w:vAlign w:val="bottom"/>
            <w:tcBorders>
              <w:right w:val="single" w:sz="8" w:color="2360A6"/>
            </w:tcBorders>
          </w:tcPr>
          <w:p>
            <w:pPr>
              <w:spacing w:after="0"/>
              <w:rPr>
                <w:sz w:val="11"/>
                <w:szCs w:val="11"/>
                <w:color w:val="auto"/>
              </w:rPr>
            </w:pPr>
          </w:p>
        </w:tc>
        <w:tc>
          <w:tcPr>
            <w:tcW w:w="116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b w:val="1"/>
                <w:bCs w:val="1"/>
                <w:color w:val="2360A6"/>
              </w:rPr>
              <w:t>January 1,</w:t>
            </w:r>
          </w:p>
        </w:tc>
        <w:tc>
          <w:tcPr>
            <w:tcW w:w="120" w:type="dxa"/>
            <w:vAlign w:val="bottom"/>
            <w:tcBorders>
              <w:right w:val="single" w:sz="8" w:color="2360A6"/>
            </w:tcBorders>
            <w:shd w:val="clear" w:color="auto" w:fill="EDEDEE"/>
          </w:tcPr>
          <w:p>
            <w:pPr>
              <w:spacing w:after="0"/>
              <w:rPr>
                <w:sz w:val="11"/>
                <w:szCs w:val="11"/>
                <w:color w:val="auto"/>
              </w:rPr>
            </w:pPr>
          </w:p>
        </w:tc>
        <w:tc>
          <w:tcPr>
            <w:tcW w:w="1080" w:type="dxa"/>
            <w:vAlign w:val="bottom"/>
            <w:tcBorders>
              <w:right w:val="single" w:sz="8" w:color="2360A6"/>
            </w:tcBorders>
          </w:tcPr>
          <w:p>
            <w:pPr>
              <w:spacing w:after="0"/>
              <w:rPr>
                <w:sz w:val="11"/>
                <w:szCs w:val="11"/>
                <w:color w:val="auto"/>
              </w:rPr>
            </w:pPr>
          </w:p>
        </w:tc>
        <w:tc>
          <w:tcPr>
            <w:tcW w:w="1060" w:type="dxa"/>
            <w:vAlign w:val="bottom"/>
            <w:tcBorders>
              <w:right w:val="single" w:sz="8" w:color="2360A6"/>
            </w:tcBorders>
          </w:tcPr>
          <w:p>
            <w:pPr>
              <w:jc w:val="right"/>
              <w:ind w:right="77"/>
              <w:spacing w:after="0" w:line="135" w:lineRule="exact"/>
              <w:rPr>
                <w:sz w:val="20"/>
                <w:szCs w:val="20"/>
                <w:color w:val="auto"/>
              </w:rPr>
            </w:pPr>
            <w:r>
              <w:rPr>
                <w:rFonts w:ascii="Arial" w:cs="Arial" w:eastAsia="Arial" w:hAnsi="Arial"/>
                <w:sz w:val="13"/>
                <w:szCs w:val="13"/>
                <w:b w:val="1"/>
                <w:bCs w:val="1"/>
                <w:color w:val="2360A6"/>
              </w:rPr>
              <w:t>Used</w:t>
            </w:r>
          </w:p>
        </w:tc>
        <w:tc>
          <w:tcPr>
            <w:tcW w:w="1060" w:type="dxa"/>
            <w:vAlign w:val="bottom"/>
            <w:tcBorders>
              <w:right w:val="single" w:sz="8" w:color="2360A6"/>
            </w:tcBorders>
          </w:tcPr>
          <w:p>
            <w:pPr>
              <w:jc w:val="right"/>
              <w:ind w:right="57"/>
              <w:spacing w:after="0" w:line="135" w:lineRule="exact"/>
              <w:rPr>
                <w:sz w:val="20"/>
                <w:szCs w:val="20"/>
                <w:color w:val="auto"/>
              </w:rPr>
            </w:pPr>
            <w:r>
              <w:rPr>
                <w:rFonts w:ascii="Arial" w:cs="Arial" w:eastAsia="Arial" w:hAnsi="Arial"/>
                <w:sz w:val="13"/>
                <w:szCs w:val="13"/>
                <w:b w:val="1"/>
                <w:bCs w:val="1"/>
                <w:color w:val="2360A6"/>
              </w:rPr>
              <w:t>Unused</w:t>
            </w:r>
          </w:p>
        </w:tc>
        <w:tc>
          <w:tcPr>
            <w:tcW w:w="1160" w:type="dxa"/>
            <w:vAlign w:val="bottom"/>
            <w:tcBorders>
              <w:right w:val="single" w:sz="8" w:color="2360A6"/>
            </w:tcBorders>
          </w:tcPr>
          <w:p>
            <w:pPr>
              <w:jc w:val="right"/>
              <w:ind w:right="57"/>
              <w:spacing w:after="0" w:line="135" w:lineRule="exact"/>
              <w:rPr>
                <w:sz w:val="20"/>
                <w:szCs w:val="20"/>
                <w:color w:val="auto"/>
              </w:rPr>
            </w:pPr>
            <w:r>
              <w:rPr>
                <w:rFonts w:ascii="Arial" w:cs="Arial" w:eastAsia="Arial" w:hAnsi="Arial"/>
                <w:sz w:val="13"/>
                <w:szCs w:val="13"/>
                <w:b w:val="1"/>
                <w:bCs w:val="1"/>
                <w:color w:val="2360A6"/>
              </w:rPr>
              <w:t>Exchange</w:t>
            </w:r>
          </w:p>
        </w:tc>
        <w:tc>
          <w:tcPr>
            <w:tcW w:w="940" w:type="dxa"/>
            <w:vAlign w:val="bottom"/>
            <w:tcBorders>
              <w:right w:val="single" w:sz="8" w:color="2360A6"/>
            </w:tcBorders>
          </w:tcPr>
          <w:p>
            <w:pPr>
              <w:spacing w:after="0"/>
              <w:rPr>
                <w:sz w:val="11"/>
                <w:szCs w:val="11"/>
                <w:color w:val="auto"/>
              </w:rPr>
            </w:pPr>
          </w:p>
        </w:tc>
        <w:tc>
          <w:tcPr>
            <w:tcW w:w="1140" w:type="dxa"/>
            <w:vAlign w:val="bottom"/>
            <w:shd w:val="clear" w:color="auto" w:fill="EDEDEE"/>
          </w:tcPr>
          <w:p>
            <w:pPr>
              <w:jc w:val="right"/>
              <w:spacing w:after="0" w:line="135" w:lineRule="exact"/>
              <w:rPr>
                <w:sz w:val="20"/>
                <w:szCs w:val="20"/>
                <w:color w:val="auto"/>
              </w:rPr>
            </w:pPr>
            <w:r>
              <w:rPr>
                <w:rFonts w:ascii="Arial" w:cs="Arial" w:eastAsia="Arial" w:hAnsi="Arial"/>
                <w:sz w:val="13"/>
                <w:szCs w:val="13"/>
                <w:b w:val="1"/>
                <w:bCs w:val="1"/>
                <w:color w:val="2360A6"/>
              </w:rPr>
              <w:t>December 31,</w:t>
            </w:r>
          </w:p>
        </w:tc>
        <w:tc>
          <w:tcPr>
            <w:tcW w:w="100" w:type="dxa"/>
            <w:vAlign w:val="bottom"/>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auto"/>
              </w:rPr>
              <w:t>In millions of Euro</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2014</w:t>
            </w:r>
          </w:p>
        </w:tc>
        <w:tc>
          <w:tcPr>
            <w:tcW w:w="120" w:type="dxa"/>
            <w:vAlign w:val="bottom"/>
            <w:tcBorders>
              <w:bottom w:val="single" w:sz="8" w:color="2360A6"/>
              <w:right w:val="single" w:sz="8" w:color="2360A6"/>
            </w:tcBorders>
            <w:shd w:val="clear" w:color="auto" w:fill="EDEDEE"/>
          </w:tcPr>
          <w:p>
            <w:pPr>
              <w:spacing w:after="0"/>
              <w:rPr>
                <w:sz w:val="15"/>
                <w:szCs w:val="15"/>
                <w:color w:val="auto"/>
              </w:rPr>
            </w:pP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Increase</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Reversals</w:t>
            </w:r>
          </w:p>
        </w:tc>
        <w:tc>
          <w:tcPr>
            <w:tcW w:w="10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Reversals</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Adjustments</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Other</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2014</w:t>
            </w:r>
          </w:p>
        </w:tc>
        <w:tc>
          <w:tcPr>
            <w:tcW w:w="100" w:type="dxa"/>
            <w:vAlign w:val="bottom"/>
            <w:tcBorders>
              <w:bottom w:val="single" w:sz="8" w:color="2360A6"/>
            </w:tcBorders>
            <w:shd w:val="clear" w:color="auto" w:fill="EDEDE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Pensions and other Long-Term</w:t>
            </w:r>
          </w:p>
        </w:tc>
        <w:tc>
          <w:tcPr>
            <w:tcW w:w="1160" w:type="dxa"/>
            <w:vAlign w:val="bottom"/>
            <w:shd w:val="clear" w:color="auto" w:fill="EDEDEE"/>
          </w:tcPr>
          <w:p>
            <w:pPr>
              <w:spacing w:after="0"/>
              <w:rPr>
                <w:sz w:val="18"/>
                <w:szCs w:val="18"/>
                <w:color w:val="auto"/>
              </w:rPr>
            </w:pPr>
          </w:p>
        </w:tc>
        <w:tc>
          <w:tcPr>
            <w:tcW w:w="120" w:type="dxa"/>
            <w:vAlign w:val="bottom"/>
            <w:tcBorders>
              <w:right w:val="single" w:sz="8" w:color="2360A6"/>
            </w:tcBorders>
            <w:shd w:val="clear" w:color="auto" w:fill="EDEDEE"/>
          </w:tcPr>
          <w:p>
            <w:pPr>
              <w:spacing w:after="0"/>
              <w:rPr>
                <w:sz w:val="18"/>
                <w:szCs w:val="18"/>
                <w:color w:val="auto"/>
              </w:rPr>
            </w:pPr>
          </w:p>
        </w:tc>
        <w:tc>
          <w:tcPr>
            <w:tcW w:w="1080" w:type="dxa"/>
            <w:vAlign w:val="bottom"/>
            <w:tcBorders>
              <w:right w:val="single" w:sz="8" w:color="2360A6"/>
            </w:tcBorders>
          </w:tcPr>
          <w:p>
            <w:pPr>
              <w:spacing w:after="0"/>
              <w:rPr>
                <w:sz w:val="18"/>
                <w:szCs w:val="18"/>
                <w:color w:val="auto"/>
              </w:rPr>
            </w:pPr>
          </w:p>
        </w:tc>
        <w:tc>
          <w:tcPr>
            <w:tcW w:w="1060" w:type="dxa"/>
            <w:vAlign w:val="bottom"/>
            <w:tcBorders>
              <w:right w:val="single" w:sz="8" w:color="2360A6"/>
            </w:tcBorders>
          </w:tcPr>
          <w:p>
            <w:pPr>
              <w:spacing w:after="0"/>
              <w:rPr>
                <w:sz w:val="18"/>
                <w:szCs w:val="18"/>
                <w:color w:val="auto"/>
              </w:rPr>
            </w:pPr>
          </w:p>
        </w:tc>
        <w:tc>
          <w:tcPr>
            <w:tcW w:w="1060" w:type="dxa"/>
            <w:vAlign w:val="bottom"/>
            <w:tcBorders>
              <w:right w:val="single" w:sz="8" w:color="2360A6"/>
            </w:tcBorders>
          </w:tcPr>
          <w:p>
            <w:pPr>
              <w:spacing w:after="0"/>
              <w:rPr>
                <w:sz w:val="18"/>
                <w:szCs w:val="18"/>
                <w:color w:val="auto"/>
              </w:rPr>
            </w:pPr>
          </w:p>
        </w:tc>
        <w:tc>
          <w:tcPr>
            <w:tcW w:w="1160" w:type="dxa"/>
            <w:vAlign w:val="bottom"/>
            <w:tcBorders>
              <w:right w:val="single" w:sz="8" w:color="2360A6"/>
            </w:tcBorders>
          </w:tcPr>
          <w:p>
            <w:pPr>
              <w:spacing w:after="0"/>
              <w:rPr>
                <w:sz w:val="18"/>
                <w:szCs w:val="18"/>
                <w:color w:val="auto"/>
              </w:rPr>
            </w:pPr>
          </w:p>
        </w:tc>
        <w:tc>
          <w:tcPr>
            <w:tcW w:w="940" w:type="dxa"/>
            <w:vAlign w:val="bottom"/>
            <w:tcBorders>
              <w:right w:val="single" w:sz="8" w:color="2360A6"/>
            </w:tcBorders>
          </w:tcPr>
          <w:p>
            <w:pPr>
              <w:spacing w:after="0"/>
              <w:rPr>
                <w:sz w:val="18"/>
                <w:szCs w:val="18"/>
                <w:color w:val="auto"/>
              </w:rPr>
            </w:pPr>
          </w:p>
        </w:tc>
        <w:tc>
          <w:tcPr>
            <w:tcW w:w="1140" w:type="dxa"/>
            <w:vAlign w:val="bottom"/>
            <w:shd w:val="clear" w:color="auto" w:fill="EDEDEE"/>
          </w:tcPr>
          <w:p>
            <w:pPr>
              <w:spacing w:after="0"/>
              <w:rPr>
                <w:sz w:val="18"/>
                <w:szCs w:val="18"/>
                <w:color w:val="auto"/>
              </w:rPr>
            </w:pPr>
          </w:p>
        </w:tc>
        <w:tc>
          <w:tcPr>
            <w:tcW w:w="10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Employee Benefits </w:t>
            </w:r>
            <w:r>
              <w:rPr>
                <w:rFonts w:ascii="Arial" w:cs="Arial" w:eastAsia="Arial" w:hAnsi="Arial"/>
                <w:sz w:val="8"/>
                <w:szCs w:val="8"/>
                <w:color w:val="231F20"/>
              </w:rPr>
              <w:t>(1)</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234.2</w:t>
            </w:r>
          </w:p>
        </w:tc>
        <w:tc>
          <w:tcPr>
            <w:tcW w:w="120" w:type="dxa"/>
            <w:vAlign w:val="bottom"/>
            <w:tcBorders>
              <w:bottom w:val="single" w:sz="8" w:color="2360A6"/>
              <w:right w:val="single" w:sz="8" w:color="2360A6"/>
            </w:tcBorders>
            <w:shd w:val="clear" w:color="auto" w:fill="EDEDEE"/>
          </w:tcPr>
          <w:p>
            <w:pPr>
              <w:spacing w:after="0"/>
              <w:rPr>
                <w:sz w:val="14"/>
                <w:szCs w:val="14"/>
                <w:color w:val="auto"/>
              </w:rPr>
            </w:pP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116.5</w:t>
            </w:r>
          </w:p>
        </w:tc>
        <w:tc>
          <w:tcPr>
            <w:tcW w:w="10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(22.1)</w:t>
            </w:r>
          </w:p>
        </w:tc>
        <w:tc>
          <w:tcPr>
            <w:tcW w:w="10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(99.0)</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2.6</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(15.7)</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216.5</w:t>
            </w:r>
          </w:p>
        </w:tc>
        <w:tc>
          <w:tcPr>
            <w:tcW w:w="100" w:type="dxa"/>
            <w:vAlign w:val="bottom"/>
            <w:tcBorders>
              <w:bottom w:val="single" w:sz="8" w:color="2360A6"/>
            </w:tcBorders>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Tax</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6.7</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(0.2)</w:t>
            </w:r>
          </w:p>
        </w:tc>
        <w:tc>
          <w:tcPr>
            <w:tcW w:w="10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(6.2)</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0.5</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0.8</w:t>
            </w:r>
          </w:p>
        </w:tc>
        <w:tc>
          <w:tcPr>
            <w:tcW w:w="100" w:type="dxa"/>
            <w:vAlign w:val="bottom"/>
            <w:tcBorders>
              <w:bottom w:val="single" w:sz="8" w:color="2360A6"/>
            </w:tcBorders>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Litigation</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2.3</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2.3</w:t>
            </w:r>
          </w:p>
        </w:tc>
        <w:tc>
          <w:tcPr>
            <w:tcW w:w="100" w:type="dxa"/>
            <w:vAlign w:val="bottom"/>
            <w:tcBorders>
              <w:bottom w:val="single" w:sz="8" w:color="2360A6"/>
            </w:tcBorders>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w w:val="98"/>
              </w:rPr>
              <w:t>Provisions for Claims Incurred but not Reported</w:t>
            </w:r>
          </w:p>
        </w:tc>
        <w:tc>
          <w:tcPr>
            <w:tcW w:w="116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231F20"/>
              </w:rPr>
              <w:t>6.2</w:t>
            </w:r>
          </w:p>
        </w:tc>
        <w:tc>
          <w:tcPr>
            <w:tcW w:w="120" w:type="dxa"/>
            <w:vAlign w:val="bottom"/>
            <w:tcBorders>
              <w:right w:val="single" w:sz="8" w:color="2360A6"/>
            </w:tcBorders>
            <w:shd w:val="clear" w:color="auto" w:fill="EDEDEE"/>
          </w:tcPr>
          <w:p>
            <w:pPr>
              <w:spacing w:after="0"/>
              <w:rPr>
                <w:sz w:val="14"/>
                <w:szCs w:val="14"/>
                <w:color w:val="auto"/>
              </w:rPr>
            </w:pPr>
          </w:p>
        </w:tc>
        <w:tc>
          <w:tcPr>
            <w:tcW w:w="1080" w:type="dxa"/>
            <w:vAlign w:val="bottom"/>
            <w:tcBorders>
              <w:right w:val="single" w:sz="8" w:color="2360A6"/>
            </w:tcBorders>
            <w:vMerge w:val="restart"/>
          </w:tcPr>
          <w:p>
            <w:pPr>
              <w:jc w:val="right"/>
              <w:ind w:right="77"/>
              <w:spacing w:after="0"/>
              <w:rPr>
                <w:sz w:val="20"/>
                <w:szCs w:val="20"/>
                <w:color w:val="auto"/>
              </w:rPr>
            </w:pPr>
            <w:r>
              <w:rPr>
                <w:rFonts w:ascii="Arial" w:cs="Arial" w:eastAsia="Arial" w:hAnsi="Arial"/>
                <w:sz w:val="13"/>
                <w:szCs w:val="13"/>
                <w:color w:val="231F20"/>
              </w:rPr>
              <w:t>1.7</w:t>
            </w:r>
          </w:p>
        </w:tc>
        <w:tc>
          <w:tcPr>
            <w:tcW w:w="1060" w:type="dxa"/>
            <w:vAlign w:val="bottom"/>
            <w:tcBorders>
              <w:right w:val="single" w:sz="8" w:color="2360A6"/>
            </w:tcBorders>
            <w:vMerge w:val="restart"/>
          </w:tcPr>
          <w:p>
            <w:pPr>
              <w:jc w:val="right"/>
              <w:ind w:right="77"/>
              <w:spacing w:after="0"/>
              <w:rPr>
                <w:sz w:val="20"/>
                <w:szCs w:val="20"/>
                <w:color w:val="auto"/>
              </w:rPr>
            </w:pPr>
            <w:r>
              <w:rPr>
                <w:rFonts w:ascii="Arial" w:cs="Arial" w:eastAsia="Arial" w:hAnsi="Arial"/>
                <w:sz w:val="13"/>
                <w:szCs w:val="13"/>
                <w:color w:val="231F20"/>
              </w:rPr>
              <w:t>—</w:t>
            </w:r>
          </w:p>
        </w:tc>
        <w:tc>
          <w:tcPr>
            <w:tcW w:w="1060" w:type="dxa"/>
            <w:vAlign w:val="bottom"/>
            <w:tcBorders>
              <w:right w:val="single" w:sz="8" w:color="2360A6"/>
            </w:tcBorders>
            <w:vMerge w:val="restart"/>
          </w:tcPr>
          <w:p>
            <w:pPr>
              <w:jc w:val="right"/>
              <w:ind w:right="57"/>
              <w:spacing w:after="0"/>
              <w:rPr>
                <w:sz w:val="20"/>
                <w:szCs w:val="20"/>
                <w:color w:val="auto"/>
              </w:rPr>
            </w:pPr>
            <w:r>
              <w:rPr>
                <w:rFonts w:ascii="Arial" w:cs="Arial" w:eastAsia="Arial" w:hAnsi="Arial"/>
                <w:sz w:val="13"/>
                <w:szCs w:val="13"/>
                <w:color w:val="231F20"/>
              </w:rPr>
              <w:t>—</w:t>
            </w:r>
          </w:p>
        </w:tc>
        <w:tc>
          <w:tcPr>
            <w:tcW w:w="1160" w:type="dxa"/>
            <w:vAlign w:val="bottom"/>
            <w:tcBorders>
              <w:right w:val="single" w:sz="8" w:color="2360A6"/>
            </w:tcBorders>
            <w:vMerge w:val="restart"/>
          </w:tcPr>
          <w:p>
            <w:pPr>
              <w:jc w:val="right"/>
              <w:ind w:right="57"/>
              <w:spacing w:after="0"/>
              <w:rPr>
                <w:sz w:val="20"/>
                <w:szCs w:val="20"/>
                <w:color w:val="auto"/>
              </w:rPr>
            </w:pPr>
            <w:r>
              <w:rPr>
                <w:rFonts w:ascii="Arial" w:cs="Arial" w:eastAsia="Arial" w:hAnsi="Arial"/>
                <w:sz w:val="13"/>
                <w:szCs w:val="13"/>
                <w:color w:val="231F20"/>
              </w:rPr>
              <w:t>0.1</w:t>
            </w:r>
          </w:p>
        </w:tc>
        <w:tc>
          <w:tcPr>
            <w:tcW w:w="940" w:type="dxa"/>
            <w:vAlign w:val="bottom"/>
            <w:tcBorders>
              <w:right w:val="single" w:sz="8" w:color="2360A6"/>
            </w:tcBorders>
            <w:vMerge w:val="restart"/>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vMerge w:val="restart"/>
            <w:shd w:val="clear" w:color="auto" w:fill="EDEDEE"/>
          </w:tcPr>
          <w:p>
            <w:pPr>
              <w:jc w:val="right"/>
              <w:spacing w:after="0"/>
              <w:rPr>
                <w:sz w:val="20"/>
                <w:szCs w:val="20"/>
                <w:color w:val="auto"/>
              </w:rPr>
            </w:pPr>
            <w:r>
              <w:rPr>
                <w:rFonts w:ascii="Arial" w:cs="Arial" w:eastAsia="Arial" w:hAnsi="Arial"/>
                <w:sz w:val="13"/>
                <w:szCs w:val="13"/>
                <w:color w:val="231F20"/>
              </w:rPr>
              <w:t>8.0</w:t>
            </w:r>
          </w:p>
        </w:tc>
        <w:tc>
          <w:tcPr>
            <w:tcW w:w="100" w:type="dxa"/>
            <w:vAlign w:val="bottom"/>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9"/>
                <w:szCs w:val="9"/>
                <w:color w:val="231F20"/>
              </w:rPr>
              <w:t>(2)</w:t>
            </w:r>
          </w:p>
        </w:tc>
        <w:tc>
          <w:tcPr>
            <w:tcW w:w="1160" w:type="dxa"/>
            <w:vAlign w:val="bottom"/>
            <w:tcBorders>
              <w:bottom w:val="single" w:sz="8" w:color="2360A6"/>
            </w:tcBorders>
            <w:vMerge w:val="continue"/>
            <w:shd w:val="clear" w:color="auto" w:fill="EDEDEE"/>
          </w:tcPr>
          <w:p>
            <w:pPr>
              <w:spacing w:after="0"/>
              <w:rPr>
                <w:sz w:val="11"/>
                <w:szCs w:val="11"/>
                <w:color w:val="auto"/>
              </w:rPr>
            </w:pPr>
          </w:p>
        </w:tc>
        <w:tc>
          <w:tcPr>
            <w:tcW w:w="120" w:type="dxa"/>
            <w:vAlign w:val="bottom"/>
            <w:tcBorders>
              <w:bottom w:val="single" w:sz="8" w:color="2360A6"/>
              <w:right w:val="single" w:sz="8" w:color="2360A6"/>
            </w:tcBorders>
            <w:shd w:val="clear" w:color="auto" w:fill="EDEDEE"/>
          </w:tcPr>
          <w:p>
            <w:pPr>
              <w:spacing w:after="0"/>
              <w:rPr>
                <w:sz w:val="11"/>
                <w:szCs w:val="11"/>
                <w:color w:val="auto"/>
              </w:rPr>
            </w:pPr>
          </w:p>
        </w:tc>
        <w:tc>
          <w:tcPr>
            <w:tcW w:w="1080" w:type="dxa"/>
            <w:vAlign w:val="bottom"/>
            <w:tcBorders>
              <w:bottom w:val="single" w:sz="8" w:color="2360A6"/>
              <w:right w:val="single" w:sz="8" w:color="2360A6"/>
            </w:tcBorders>
            <w:vMerge w:val="continue"/>
          </w:tcPr>
          <w:p>
            <w:pPr>
              <w:spacing w:after="0"/>
              <w:rPr>
                <w:sz w:val="11"/>
                <w:szCs w:val="11"/>
                <w:color w:val="auto"/>
              </w:rPr>
            </w:pPr>
          </w:p>
        </w:tc>
        <w:tc>
          <w:tcPr>
            <w:tcW w:w="1060" w:type="dxa"/>
            <w:vAlign w:val="bottom"/>
            <w:tcBorders>
              <w:bottom w:val="single" w:sz="8" w:color="2360A6"/>
              <w:right w:val="single" w:sz="8" w:color="2360A6"/>
            </w:tcBorders>
            <w:vMerge w:val="continue"/>
          </w:tcPr>
          <w:p>
            <w:pPr>
              <w:spacing w:after="0"/>
              <w:rPr>
                <w:sz w:val="11"/>
                <w:szCs w:val="11"/>
                <w:color w:val="auto"/>
              </w:rPr>
            </w:pPr>
          </w:p>
        </w:tc>
        <w:tc>
          <w:tcPr>
            <w:tcW w:w="1060" w:type="dxa"/>
            <w:vAlign w:val="bottom"/>
            <w:tcBorders>
              <w:bottom w:val="single" w:sz="8" w:color="2360A6"/>
              <w:right w:val="single" w:sz="8" w:color="2360A6"/>
            </w:tcBorders>
            <w:vMerge w:val="continue"/>
          </w:tcPr>
          <w:p>
            <w:pPr>
              <w:spacing w:after="0"/>
              <w:rPr>
                <w:sz w:val="11"/>
                <w:szCs w:val="11"/>
                <w:color w:val="auto"/>
              </w:rPr>
            </w:pPr>
          </w:p>
        </w:tc>
        <w:tc>
          <w:tcPr>
            <w:tcW w:w="1160" w:type="dxa"/>
            <w:vAlign w:val="bottom"/>
            <w:tcBorders>
              <w:bottom w:val="single" w:sz="8" w:color="2360A6"/>
              <w:right w:val="single" w:sz="8" w:color="2360A6"/>
            </w:tcBorders>
            <w:vMerge w:val="continue"/>
          </w:tcPr>
          <w:p>
            <w:pPr>
              <w:spacing w:after="0"/>
              <w:rPr>
                <w:sz w:val="11"/>
                <w:szCs w:val="11"/>
                <w:color w:val="auto"/>
              </w:rPr>
            </w:pPr>
          </w:p>
        </w:tc>
        <w:tc>
          <w:tcPr>
            <w:tcW w:w="940" w:type="dxa"/>
            <w:vAlign w:val="bottom"/>
            <w:tcBorders>
              <w:bottom w:val="single" w:sz="8" w:color="2360A6"/>
              <w:right w:val="single" w:sz="8" w:color="2360A6"/>
            </w:tcBorders>
            <w:vMerge w:val="continue"/>
          </w:tcPr>
          <w:p>
            <w:pPr>
              <w:spacing w:after="0"/>
              <w:rPr>
                <w:sz w:val="11"/>
                <w:szCs w:val="11"/>
                <w:color w:val="auto"/>
              </w:rPr>
            </w:pPr>
          </w:p>
        </w:tc>
        <w:tc>
          <w:tcPr>
            <w:tcW w:w="1140" w:type="dxa"/>
            <w:vAlign w:val="bottom"/>
            <w:tcBorders>
              <w:bottom w:val="single" w:sz="8" w:color="2360A6"/>
            </w:tcBorders>
            <w:vMerge w:val="continue"/>
            <w:shd w:val="clear" w:color="auto" w:fill="EDEDEE"/>
          </w:tcPr>
          <w:p>
            <w:pPr>
              <w:spacing w:after="0"/>
              <w:rPr>
                <w:sz w:val="11"/>
                <w:szCs w:val="11"/>
                <w:color w:val="auto"/>
              </w:rPr>
            </w:pPr>
          </w:p>
        </w:tc>
        <w:tc>
          <w:tcPr>
            <w:tcW w:w="100" w:type="dxa"/>
            <w:vAlign w:val="bottom"/>
            <w:tcBorders>
              <w:bottom w:val="single" w:sz="8" w:color="2360A6"/>
            </w:tcBorders>
            <w:shd w:val="clear" w:color="auto" w:fill="EDEDE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Other Non-Current Provisions</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10.8</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0.3</w:t>
            </w:r>
          </w:p>
        </w:tc>
        <w:tc>
          <w:tcPr>
            <w:tcW w:w="10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(4.4)</w:t>
            </w:r>
          </w:p>
        </w:tc>
        <w:tc>
          <w:tcPr>
            <w:tcW w:w="10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(0.8)</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0.3</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(2.2)</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4.0</w:t>
            </w:r>
          </w:p>
        </w:tc>
        <w:tc>
          <w:tcPr>
            <w:tcW w:w="100" w:type="dxa"/>
            <w:vAlign w:val="bottom"/>
            <w:tcBorders>
              <w:bottom w:val="single" w:sz="8" w:color="2360A6"/>
            </w:tcBorders>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Total Non-Current Provisions</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260.2</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118.5</w:t>
            </w:r>
          </w:p>
        </w:tc>
        <w:tc>
          <w:tcPr>
            <w:tcW w:w="10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(26.7)</w:t>
            </w:r>
          </w:p>
        </w:tc>
        <w:tc>
          <w:tcPr>
            <w:tcW w:w="10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(106.0)</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3.5</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(17.9)</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231.6</w:t>
            </w:r>
          </w:p>
        </w:tc>
        <w:tc>
          <w:tcPr>
            <w:tcW w:w="100" w:type="dxa"/>
            <w:vAlign w:val="bottom"/>
            <w:tcBorders>
              <w:bottom w:val="single" w:sz="8" w:color="2360A6"/>
            </w:tcBorders>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Pensions and other Long-Term</w:t>
            </w:r>
          </w:p>
        </w:tc>
        <w:tc>
          <w:tcPr>
            <w:tcW w:w="1160" w:type="dxa"/>
            <w:vAlign w:val="bottom"/>
            <w:shd w:val="clear" w:color="auto" w:fill="EDEDEE"/>
          </w:tcPr>
          <w:p>
            <w:pPr>
              <w:spacing w:after="0"/>
              <w:rPr>
                <w:sz w:val="18"/>
                <w:szCs w:val="18"/>
                <w:color w:val="auto"/>
              </w:rPr>
            </w:pPr>
          </w:p>
        </w:tc>
        <w:tc>
          <w:tcPr>
            <w:tcW w:w="120" w:type="dxa"/>
            <w:vAlign w:val="bottom"/>
            <w:tcBorders>
              <w:right w:val="single" w:sz="8" w:color="2360A6"/>
            </w:tcBorders>
            <w:shd w:val="clear" w:color="auto" w:fill="EDEDEE"/>
          </w:tcPr>
          <w:p>
            <w:pPr>
              <w:spacing w:after="0"/>
              <w:rPr>
                <w:sz w:val="18"/>
                <w:szCs w:val="18"/>
                <w:color w:val="auto"/>
              </w:rPr>
            </w:pPr>
          </w:p>
        </w:tc>
        <w:tc>
          <w:tcPr>
            <w:tcW w:w="1080" w:type="dxa"/>
            <w:vAlign w:val="bottom"/>
            <w:tcBorders>
              <w:right w:val="single" w:sz="8" w:color="2360A6"/>
            </w:tcBorders>
          </w:tcPr>
          <w:p>
            <w:pPr>
              <w:spacing w:after="0"/>
              <w:rPr>
                <w:sz w:val="18"/>
                <w:szCs w:val="18"/>
                <w:color w:val="auto"/>
              </w:rPr>
            </w:pPr>
          </w:p>
        </w:tc>
        <w:tc>
          <w:tcPr>
            <w:tcW w:w="1060" w:type="dxa"/>
            <w:vAlign w:val="bottom"/>
            <w:tcBorders>
              <w:right w:val="single" w:sz="8" w:color="2360A6"/>
            </w:tcBorders>
          </w:tcPr>
          <w:p>
            <w:pPr>
              <w:spacing w:after="0"/>
              <w:rPr>
                <w:sz w:val="18"/>
                <w:szCs w:val="18"/>
                <w:color w:val="auto"/>
              </w:rPr>
            </w:pPr>
          </w:p>
        </w:tc>
        <w:tc>
          <w:tcPr>
            <w:tcW w:w="1060" w:type="dxa"/>
            <w:vAlign w:val="bottom"/>
            <w:tcBorders>
              <w:right w:val="single" w:sz="8" w:color="2360A6"/>
            </w:tcBorders>
          </w:tcPr>
          <w:p>
            <w:pPr>
              <w:spacing w:after="0"/>
              <w:rPr>
                <w:sz w:val="18"/>
                <w:szCs w:val="18"/>
                <w:color w:val="auto"/>
              </w:rPr>
            </w:pPr>
          </w:p>
        </w:tc>
        <w:tc>
          <w:tcPr>
            <w:tcW w:w="1160" w:type="dxa"/>
            <w:vAlign w:val="bottom"/>
            <w:tcBorders>
              <w:right w:val="single" w:sz="8" w:color="2360A6"/>
            </w:tcBorders>
          </w:tcPr>
          <w:p>
            <w:pPr>
              <w:spacing w:after="0"/>
              <w:rPr>
                <w:sz w:val="18"/>
                <w:szCs w:val="18"/>
                <w:color w:val="auto"/>
              </w:rPr>
            </w:pPr>
          </w:p>
        </w:tc>
        <w:tc>
          <w:tcPr>
            <w:tcW w:w="940" w:type="dxa"/>
            <w:vAlign w:val="bottom"/>
            <w:tcBorders>
              <w:right w:val="single" w:sz="8" w:color="2360A6"/>
            </w:tcBorders>
          </w:tcPr>
          <w:p>
            <w:pPr>
              <w:spacing w:after="0"/>
              <w:rPr>
                <w:sz w:val="18"/>
                <w:szCs w:val="18"/>
                <w:color w:val="auto"/>
              </w:rPr>
            </w:pPr>
          </w:p>
        </w:tc>
        <w:tc>
          <w:tcPr>
            <w:tcW w:w="1140" w:type="dxa"/>
            <w:vAlign w:val="bottom"/>
            <w:shd w:val="clear" w:color="auto" w:fill="EDEDEE"/>
          </w:tcPr>
          <w:p>
            <w:pPr>
              <w:spacing w:after="0"/>
              <w:rPr>
                <w:sz w:val="18"/>
                <w:szCs w:val="18"/>
                <w:color w:val="auto"/>
              </w:rPr>
            </w:pPr>
          </w:p>
        </w:tc>
        <w:tc>
          <w:tcPr>
            <w:tcW w:w="100" w:type="dxa"/>
            <w:vAlign w:val="bottom"/>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Employee Benefits </w:t>
            </w:r>
            <w:r>
              <w:rPr>
                <w:rFonts w:ascii="Arial" w:cs="Arial" w:eastAsia="Arial" w:hAnsi="Arial"/>
                <w:sz w:val="8"/>
                <w:szCs w:val="8"/>
                <w:color w:val="231F20"/>
              </w:rPr>
              <w:t>(1)</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29.9</w:t>
            </w:r>
          </w:p>
        </w:tc>
        <w:tc>
          <w:tcPr>
            <w:tcW w:w="120" w:type="dxa"/>
            <w:vAlign w:val="bottom"/>
            <w:tcBorders>
              <w:bottom w:val="single" w:sz="8" w:color="2360A6"/>
              <w:right w:val="single" w:sz="8" w:color="2360A6"/>
            </w:tcBorders>
            <w:shd w:val="clear" w:color="auto" w:fill="EDEDEE"/>
          </w:tcPr>
          <w:p>
            <w:pPr>
              <w:spacing w:after="0"/>
              <w:rPr>
                <w:sz w:val="14"/>
                <w:szCs w:val="14"/>
                <w:color w:val="auto"/>
              </w:rPr>
            </w:pP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25.4</w:t>
            </w:r>
          </w:p>
        </w:tc>
        <w:tc>
          <w:tcPr>
            <w:tcW w:w="10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(17.8)</w:t>
            </w:r>
          </w:p>
        </w:tc>
        <w:tc>
          <w:tcPr>
            <w:tcW w:w="10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(0.1)</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1.3</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18.6</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57.3</w:t>
            </w:r>
          </w:p>
        </w:tc>
        <w:tc>
          <w:tcPr>
            <w:tcW w:w="100" w:type="dxa"/>
            <w:vAlign w:val="bottom"/>
            <w:tcBorders>
              <w:bottom w:val="single" w:sz="8" w:color="2360A6"/>
            </w:tcBorders>
            <w:shd w:val="clear" w:color="auto" w:fill="EDEDE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Contingencies related to Contracts </w:t>
            </w:r>
            <w:r>
              <w:rPr>
                <w:rFonts w:ascii="Arial" w:cs="Arial" w:eastAsia="Arial" w:hAnsi="Arial"/>
                <w:sz w:val="8"/>
                <w:szCs w:val="8"/>
                <w:color w:val="231F20"/>
              </w:rPr>
              <w:t>(3)</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106.6</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183.3</w:t>
            </w:r>
          </w:p>
        </w:tc>
        <w:tc>
          <w:tcPr>
            <w:tcW w:w="10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(37.6)</w:t>
            </w:r>
          </w:p>
        </w:tc>
        <w:tc>
          <w:tcPr>
            <w:tcW w:w="10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(46.7)</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4.9</w:t>
            </w:r>
          </w:p>
        </w:tc>
        <w:tc>
          <w:tcPr>
            <w:tcW w:w="9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(14.3)</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196.2</w:t>
            </w:r>
          </w:p>
        </w:tc>
        <w:tc>
          <w:tcPr>
            <w:tcW w:w="100" w:type="dxa"/>
            <w:vAlign w:val="bottom"/>
            <w:tcBorders>
              <w:bottom w:val="single" w:sz="8" w:color="2360A6"/>
            </w:tcBorders>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Tax</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26.5</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5.1</w:t>
            </w:r>
          </w:p>
        </w:tc>
        <w:tc>
          <w:tcPr>
            <w:tcW w:w="10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(9.7)</w:t>
            </w:r>
          </w:p>
        </w:tc>
        <w:tc>
          <w:tcPr>
            <w:tcW w:w="10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(2.0)</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0.4</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20.3</w:t>
            </w:r>
          </w:p>
        </w:tc>
        <w:tc>
          <w:tcPr>
            <w:tcW w:w="100" w:type="dxa"/>
            <w:vAlign w:val="bottom"/>
            <w:tcBorders>
              <w:bottom w:val="single" w:sz="8" w:color="2360A6"/>
            </w:tcBorders>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Litigation </w:t>
            </w:r>
            <w:r>
              <w:rPr>
                <w:rFonts w:ascii="Arial" w:cs="Arial" w:eastAsia="Arial" w:hAnsi="Arial"/>
                <w:sz w:val="8"/>
                <w:szCs w:val="8"/>
                <w:color w:val="231F20"/>
              </w:rPr>
              <w:t>(4)</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2.7</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8.8</w:t>
            </w:r>
          </w:p>
        </w:tc>
        <w:tc>
          <w:tcPr>
            <w:tcW w:w="10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(0.2)</w:t>
            </w:r>
          </w:p>
        </w:tc>
        <w:tc>
          <w:tcPr>
            <w:tcW w:w="10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(1.0)</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0.1</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10.4</w:t>
            </w:r>
          </w:p>
        </w:tc>
        <w:tc>
          <w:tcPr>
            <w:tcW w:w="100" w:type="dxa"/>
            <w:vAlign w:val="bottom"/>
            <w:tcBorders>
              <w:bottom w:val="single" w:sz="8" w:color="2360A6"/>
            </w:tcBorders>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 xml:space="preserve">Provisions for Claims </w:t>
            </w:r>
            <w:r>
              <w:rPr>
                <w:rFonts w:ascii="Arial" w:cs="Arial" w:eastAsia="Arial" w:hAnsi="Arial"/>
                <w:sz w:val="8"/>
                <w:szCs w:val="8"/>
                <w:color w:val="231F20"/>
              </w:rPr>
              <w:t>(2)</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1.6</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1.4</w:t>
            </w:r>
          </w:p>
        </w:tc>
        <w:tc>
          <w:tcPr>
            <w:tcW w:w="10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3.0</w:t>
            </w:r>
          </w:p>
        </w:tc>
        <w:tc>
          <w:tcPr>
            <w:tcW w:w="100" w:type="dxa"/>
            <w:vAlign w:val="bottom"/>
            <w:tcBorders>
              <w:bottom w:val="single" w:sz="8" w:color="2360A6"/>
            </w:tcBorders>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Other Current Provisions</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48.9</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11.9</w:t>
            </w:r>
          </w:p>
        </w:tc>
        <w:tc>
          <w:tcPr>
            <w:tcW w:w="10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(8.8)</w:t>
            </w:r>
          </w:p>
        </w:tc>
        <w:tc>
          <w:tcPr>
            <w:tcW w:w="10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(16.6)</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0.3</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3.4</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color w:val="231F20"/>
              </w:rPr>
              <w:t>39.1</w:t>
            </w:r>
          </w:p>
        </w:tc>
        <w:tc>
          <w:tcPr>
            <w:tcW w:w="100" w:type="dxa"/>
            <w:vAlign w:val="bottom"/>
            <w:tcBorders>
              <w:bottom w:val="single" w:sz="8" w:color="2360A6"/>
            </w:tcBorders>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Total Current Provisions</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216.2</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08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235.9</w:t>
            </w:r>
          </w:p>
        </w:tc>
        <w:tc>
          <w:tcPr>
            <w:tcW w:w="10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(74.1)</w:t>
            </w:r>
          </w:p>
        </w:tc>
        <w:tc>
          <w:tcPr>
            <w:tcW w:w="10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(66.4)</w:t>
            </w:r>
          </w:p>
        </w:tc>
        <w:tc>
          <w:tcPr>
            <w:tcW w:w="11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7.0</w:t>
            </w:r>
          </w:p>
        </w:tc>
        <w:tc>
          <w:tcPr>
            <w:tcW w:w="9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7.7</w:t>
            </w:r>
          </w:p>
        </w:tc>
        <w:tc>
          <w:tcPr>
            <w:tcW w:w="114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326.3</w:t>
            </w:r>
          </w:p>
        </w:tc>
        <w:tc>
          <w:tcPr>
            <w:tcW w:w="100" w:type="dxa"/>
            <w:vAlign w:val="bottom"/>
            <w:tcBorders>
              <w:bottom w:val="single" w:sz="8" w:color="2360A6"/>
            </w:tcBorders>
            <w:shd w:val="clear" w:color="auto" w:fill="EDED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2360A6"/>
              <w:right w:val="single" w:sz="8" w:color="2360A6"/>
            </w:tcBorders>
            <w:shd w:val="clear" w:color="auto" w:fill="D4DAEB"/>
          </w:tcPr>
          <w:p>
            <w:pPr>
              <w:ind w:left="40"/>
              <w:spacing w:after="0"/>
              <w:rPr>
                <w:sz w:val="20"/>
                <w:szCs w:val="20"/>
                <w:color w:val="auto"/>
              </w:rPr>
            </w:pPr>
            <w:r>
              <w:rPr>
                <w:rFonts w:ascii="Arial" w:cs="Arial" w:eastAsia="Arial" w:hAnsi="Arial"/>
                <w:sz w:val="13"/>
                <w:szCs w:val="13"/>
                <w:b w:val="1"/>
                <w:bCs w:val="1"/>
                <w:color w:val="2360A6"/>
              </w:rPr>
              <w:t>TOTAL PROVISIONS</w:t>
            </w:r>
          </w:p>
        </w:tc>
        <w:tc>
          <w:tcPr>
            <w:tcW w:w="1160" w:type="dxa"/>
            <w:vAlign w:val="bottom"/>
            <w:tcBorders>
              <w:bottom w:val="single" w:sz="8" w:color="2360A6"/>
            </w:tcBorders>
            <w:shd w:val="clear" w:color="auto" w:fill="D4DAEB"/>
          </w:tcPr>
          <w:p>
            <w:pPr>
              <w:jc w:val="right"/>
              <w:spacing w:after="0"/>
              <w:rPr>
                <w:sz w:val="20"/>
                <w:szCs w:val="20"/>
                <w:color w:val="auto"/>
              </w:rPr>
            </w:pPr>
            <w:r>
              <w:rPr>
                <w:rFonts w:ascii="Arial" w:cs="Arial" w:eastAsia="Arial" w:hAnsi="Arial"/>
                <w:sz w:val="13"/>
                <w:szCs w:val="13"/>
                <w:b w:val="1"/>
                <w:bCs w:val="1"/>
                <w:color w:val="2360A6"/>
              </w:rPr>
              <w:t>476.4</w:t>
            </w:r>
          </w:p>
        </w:tc>
        <w:tc>
          <w:tcPr>
            <w:tcW w:w="120" w:type="dxa"/>
            <w:vAlign w:val="bottom"/>
            <w:tcBorders>
              <w:bottom w:val="single" w:sz="8" w:color="2360A6"/>
              <w:right w:val="single" w:sz="8" w:color="2360A6"/>
            </w:tcBorders>
            <w:shd w:val="clear" w:color="auto" w:fill="D4DAEB"/>
          </w:tcPr>
          <w:p>
            <w:pPr>
              <w:spacing w:after="0"/>
              <w:rPr>
                <w:sz w:val="18"/>
                <w:szCs w:val="18"/>
                <w:color w:val="auto"/>
              </w:rPr>
            </w:pPr>
          </w:p>
        </w:tc>
        <w:tc>
          <w:tcPr>
            <w:tcW w:w="1080" w:type="dxa"/>
            <w:vAlign w:val="bottom"/>
            <w:tcBorders>
              <w:bottom w:val="single" w:sz="8" w:color="2360A6"/>
              <w:right w:val="single" w:sz="8" w:color="2360A6"/>
            </w:tcBorders>
            <w:shd w:val="clear" w:color="auto" w:fill="D4DAEB"/>
          </w:tcPr>
          <w:p>
            <w:pPr>
              <w:jc w:val="right"/>
              <w:ind w:right="77"/>
              <w:spacing w:after="0"/>
              <w:rPr>
                <w:sz w:val="20"/>
                <w:szCs w:val="20"/>
                <w:color w:val="auto"/>
              </w:rPr>
            </w:pPr>
            <w:r>
              <w:rPr>
                <w:rFonts w:ascii="Arial" w:cs="Arial" w:eastAsia="Arial" w:hAnsi="Arial"/>
                <w:sz w:val="13"/>
                <w:szCs w:val="13"/>
                <w:b w:val="1"/>
                <w:bCs w:val="1"/>
                <w:color w:val="2360A6"/>
              </w:rPr>
              <w:t>354.4</w:t>
            </w:r>
          </w:p>
        </w:tc>
        <w:tc>
          <w:tcPr>
            <w:tcW w:w="1060" w:type="dxa"/>
            <w:vAlign w:val="bottom"/>
            <w:tcBorders>
              <w:bottom w:val="single" w:sz="8" w:color="2360A6"/>
              <w:right w:val="single" w:sz="8" w:color="2360A6"/>
            </w:tcBorders>
            <w:shd w:val="clear" w:color="auto" w:fill="D4DAEB"/>
          </w:tcPr>
          <w:p>
            <w:pPr>
              <w:jc w:val="right"/>
              <w:ind w:right="37"/>
              <w:spacing w:after="0"/>
              <w:rPr>
                <w:sz w:val="20"/>
                <w:szCs w:val="20"/>
                <w:color w:val="auto"/>
              </w:rPr>
            </w:pPr>
            <w:r>
              <w:rPr>
                <w:rFonts w:ascii="Arial" w:cs="Arial" w:eastAsia="Arial" w:hAnsi="Arial"/>
                <w:sz w:val="13"/>
                <w:szCs w:val="13"/>
                <w:b w:val="1"/>
                <w:bCs w:val="1"/>
                <w:color w:val="2360A6"/>
              </w:rPr>
              <w:t>(100.8)</w:t>
            </w:r>
          </w:p>
        </w:tc>
        <w:tc>
          <w:tcPr>
            <w:tcW w:w="1060" w:type="dxa"/>
            <w:vAlign w:val="bottom"/>
            <w:tcBorders>
              <w:bottom w:val="single" w:sz="8" w:color="2360A6"/>
              <w:right w:val="single" w:sz="8" w:color="2360A6"/>
            </w:tcBorders>
            <w:shd w:val="clear" w:color="auto" w:fill="D4DAEB"/>
          </w:tcPr>
          <w:p>
            <w:pPr>
              <w:jc w:val="right"/>
              <w:ind w:right="17"/>
              <w:spacing w:after="0"/>
              <w:rPr>
                <w:sz w:val="20"/>
                <w:szCs w:val="20"/>
                <w:color w:val="auto"/>
              </w:rPr>
            </w:pPr>
            <w:r>
              <w:rPr>
                <w:rFonts w:ascii="Arial" w:cs="Arial" w:eastAsia="Arial" w:hAnsi="Arial"/>
                <w:sz w:val="13"/>
                <w:szCs w:val="13"/>
                <w:b w:val="1"/>
                <w:bCs w:val="1"/>
                <w:color w:val="2360A6"/>
              </w:rPr>
              <w:t>(172.4)</w:t>
            </w:r>
          </w:p>
        </w:tc>
        <w:tc>
          <w:tcPr>
            <w:tcW w:w="1160" w:type="dxa"/>
            <w:vAlign w:val="bottom"/>
            <w:tcBorders>
              <w:bottom w:val="single" w:sz="8" w:color="2360A6"/>
              <w:right w:val="single" w:sz="8" w:color="2360A6"/>
            </w:tcBorders>
            <w:shd w:val="clear" w:color="auto" w:fill="D4DAEB"/>
          </w:tcPr>
          <w:p>
            <w:pPr>
              <w:jc w:val="right"/>
              <w:ind w:right="57"/>
              <w:spacing w:after="0"/>
              <w:rPr>
                <w:sz w:val="20"/>
                <w:szCs w:val="20"/>
                <w:color w:val="auto"/>
              </w:rPr>
            </w:pPr>
            <w:r>
              <w:rPr>
                <w:rFonts w:ascii="Arial" w:cs="Arial" w:eastAsia="Arial" w:hAnsi="Arial"/>
                <w:sz w:val="13"/>
                <w:szCs w:val="13"/>
                <w:b w:val="1"/>
                <w:bCs w:val="1"/>
                <w:color w:val="2360A6"/>
              </w:rPr>
              <w:t>10.5</w:t>
            </w:r>
          </w:p>
        </w:tc>
        <w:tc>
          <w:tcPr>
            <w:tcW w:w="940" w:type="dxa"/>
            <w:vAlign w:val="bottom"/>
            <w:tcBorders>
              <w:bottom w:val="single" w:sz="8" w:color="2360A6"/>
              <w:right w:val="single" w:sz="8" w:color="2360A6"/>
            </w:tcBorders>
            <w:shd w:val="clear" w:color="auto" w:fill="D4DAEB"/>
          </w:tcPr>
          <w:p>
            <w:pPr>
              <w:jc w:val="right"/>
              <w:ind w:right="17"/>
              <w:spacing w:after="0"/>
              <w:rPr>
                <w:sz w:val="20"/>
                <w:szCs w:val="20"/>
                <w:color w:val="auto"/>
              </w:rPr>
            </w:pPr>
            <w:r>
              <w:rPr>
                <w:rFonts w:ascii="Arial" w:cs="Arial" w:eastAsia="Arial" w:hAnsi="Arial"/>
                <w:sz w:val="13"/>
                <w:szCs w:val="13"/>
                <w:b w:val="1"/>
                <w:bCs w:val="1"/>
                <w:color w:val="2360A6"/>
              </w:rPr>
              <w:t>(10.2)</w:t>
            </w:r>
          </w:p>
        </w:tc>
        <w:tc>
          <w:tcPr>
            <w:tcW w:w="1140" w:type="dxa"/>
            <w:vAlign w:val="bottom"/>
            <w:tcBorders>
              <w:bottom w:val="single" w:sz="8" w:color="2360A6"/>
            </w:tcBorders>
            <w:shd w:val="clear" w:color="auto" w:fill="D4DAEB"/>
          </w:tcPr>
          <w:p>
            <w:pPr>
              <w:jc w:val="right"/>
              <w:spacing w:after="0"/>
              <w:rPr>
                <w:sz w:val="20"/>
                <w:szCs w:val="20"/>
                <w:color w:val="auto"/>
              </w:rPr>
            </w:pPr>
            <w:r>
              <w:rPr>
                <w:rFonts w:ascii="Arial" w:cs="Arial" w:eastAsia="Arial" w:hAnsi="Arial"/>
                <w:sz w:val="13"/>
                <w:szCs w:val="13"/>
                <w:b w:val="1"/>
                <w:bCs w:val="1"/>
                <w:color w:val="2360A6"/>
              </w:rPr>
              <w:t>557.9</w:t>
            </w:r>
          </w:p>
        </w:tc>
        <w:tc>
          <w:tcPr>
            <w:tcW w:w="100" w:type="dxa"/>
            <w:vAlign w:val="bottom"/>
            <w:tcBorders>
              <w:bottom w:val="single" w:sz="8" w:color="2360A6"/>
            </w:tcBorders>
            <w:shd w:val="clear" w:color="auto" w:fill="D4DAEB"/>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423545</wp:posOffset>
            </wp:positionH>
            <wp:positionV relativeFrom="page">
              <wp:posOffset>603250</wp:posOffset>
            </wp:positionV>
            <wp:extent cx="6732270" cy="3053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270" cy="305308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231F20"/>
        </w:rPr>
        <w:t>(1) See Note 23 - Pensions and other long-term employee benefit plans.</w:t>
      </w:r>
    </w:p>
    <w:p>
      <w:pPr>
        <w:ind w:left="380"/>
        <w:spacing w:after="0"/>
        <w:rPr>
          <w:sz w:val="20"/>
          <w:szCs w:val="20"/>
          <w:color w:val="auto"/>
        </w:rPr>
      </w:pPr>
      <w:r>
        <w:rPr>
          <w:rFonts w:ascii="Arial" w:cs="Arial" w:eastAsia="Arial" w:hAnsi="Arial"/>
          <w:sz w:val="13"/>
          <w:szCs w:val="13"/>
          <w:color w:val="231F20"/>
        </w:rPr>
        <w:t>(2) Provisions for Reinsurance are recorded at the level of the Group’s captive reinsurance companies.</w:t>
      </w:r>
    </w:p>
    <w:p>
      <w:pPr>
        <w:ind w:left="380"/>
        <w:spacing w:after="0" w:line="216" w:lineRule="auto"/>
        <w:rPr>
          <w:sz w:val="20"/>
          <w:szCs w:val="20"/>
          <w:color w:val="auto"/>
        </w:rPr>
      </w:pPr>
      <w:r>
        <w:rPr>
          <w:rFonts w:ascii="Arial" w:cs="Arial" w:eastAsia="Arial" w:hAnsi="Arial"/>
          <w:sz w:val="13"/>
          <w:szCs w:val="13"/>
          <w:color w:val="231F20"/>
        </w:rPr>
        <w:t>(3) Provisions recognized on contingencies on contracts are related to claims on contracts.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3"/>
          <w:szCs w:val="13"/>
          <w:color w:val="231F20"/>
        </w:rPr>
        <w:t>(4) See Note 31 - Litigation and contingent liabilities.</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(B) Schedule of Provisions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shows the maturity of provisions forecast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87630</wp:posOffset>
            </wp:positionV>
            <wp:extent cx="6723380" cy="29159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23380" cy="2915920"/>
                    </a:xfrm>
                    <a:prstGeom prst="rect">
                      <a:avLst/>
                    </a:prstGeom>
                    <a:noFill/>
                  </pic:spPr>
                </pic:pic>
              </a:graphicData>
            </a:graphic>
          </wp:anchor>
        </w:drawing>
      </w:r>
    </w:p>
    <w:p>
      <w:pPr>
        <w:spacing w:after="0" w:line="98" w:lineRule="exact"/>
        <w:rPr>
          <w:sz w:val="20"/>
          <w:szCs w:val="20"/>
          <w:color w:val="auto"/>
        </w:rPr>
      </w:pPr>
    </w:p>
    <w:tbl>
      <w:tblPr>
        <w:tblLayout w:type="fixed"/>
        <w:tblInd w:w="340" w:type="dxa"/>
        <w:tblCellMar>
          <w:top w:w="0" w:type="dxa"/>
          <w:left w:w="0" w:type="dxa"/>
          <w:bottom w:w="0" w:type="dxa"/>
          <w:right w:w="0" w:type="dxa"/>
        </w:tblCellMar>
      </w:tblPr>
      <w:tr>
        <w:trPr>
          <w:trHeight w:val="194"/>
        </w:trPr>
        <w:tc>
          <w:tcPr>
            <w:tcW w:w="3640" w:type="dxa"/>
            <w:vAlign w:val="bottom"/>
            <w:tcBorders>
              <w:top w:val="single" w:sz="8" w:color="2360A6"/>
              <w:right w:val="single" w:sz="8" w:color="2360A6"/>
            </w:tcBorders>
          </w:tcPr>
          <w:p>
            <w:pPr>
              <w:spacing w:after="0"/>
              <w:rPr>
                <w:sz w:val="16"/>
                <w:szCs w:val="16"/>
                <w:color w:val="auto"/>
              </w:rPr>
            </w:pPr>
          </w:p>
        </w:tc>
        <w:tc>
          <w:tcPr>
            <w:tcW w:w="1360" w:type="dxa"/>
            <w:vAlign w:val="bottom"/>
            <w:tcBorders>
              <w:top w:val="single" w:sz="8" w:color="2360A6"/>
            </w:tcBorders>
            <w:shd w:val="clear" w:color="auto" w:fill="2360A6"/>
          </w:tcPr>
          <w:p>
            <w:pPr>
              <w:jc w:val="right"/>
              <w:spacing w:after="0"/>
              <w:rPr>
                <w:sz w:val="20"/>
                <w:szCs w:val="20"/>
                <w:color w:val="auto"/>
              </w:rPr>
            </w:pPr>
            <w:r>
              <w:rPr>
                <w:rFonts w:ascii="Arial" w:cs="Arial" w:eastAsia="Arial" w:hAnsi="Arial"/>
                <w:sz w:val="13"/>
                <w:szCs w:val="13"/>
                <w:b w:val="1"/>
                <w:bCs w:val="1"/>
                <w:color w:val="FFFFFF"/>
              </w:rPr>
              <w:t>As of 31</w:t>
            </w:r>
          </w:p>
        </w:tc>
        <w:tc>
          <w:tcPr>
            <w:tcW w:w="120" w:type="dxa"/>
            <w:vAlign w:val="bottom"/>
            <w:tcBorders>
              <w:top w:val="single" w:sz="8" w:color="2360A6"/>
              <w:right w:val="single" w:sz="8" w:color="2360A6"/>
            </w:tcBorders>
            <w:shd w:val="clear" w:color="auto" w:fill="2360A6"/>
          </w:tcPr>
          <w:p>
            <w:pPr>
              <w:spacing w:after="0"/>
              <w:rPr>
                <w:sz w:val="16"/>
                <w:szCs w:val="16"/>
                <w:color w:val="auto"/>
              </w:rPr>
            </w:pPr>
          </w:p>
        </w:tc>
        <w:tc>
          <w:tcPr>
            <w:tcW w:w="840" w:type="dxa"/>
            <w:vAlign w:val="bottom"/>
            <w:tcBorders>
              <w:top w:val="single" w:sz="8" w:color="2360A6"/>
              <w:right w:val="single" w:sz="8" w:color="2360A6"/>
            </w:tcBorders>
          </w:tcPr>
          <w:p>
            <w:pPr>
              <w:spacing w:after="0"/>
              <w:rPr>
                <w:sz w:val="16"/>
                <w:szCs w:val="16"/>
                <w:color w:val="auto"/>
              </w:rPr>
            </w:pPr>
          </w:p>
        </w:tc>
        <w:tc>
          <w:tcPr>
            <w:tcW w:w="760" w:type="dxa"/>
            <w:vAlign w:val="bottom"/>
            <w:tcBorders>
              <w:top w:val="single" w:sz="8" w:color="2360A6"/>
              <w:right w:val="single" w:sz="8" w:color="2360A6"/>
            </w:tcBorders>
          </w:tcPr>
          <w:p>
            <w:pPr>
              <w:spacing w:after="0"/>
              <w:rPr>
                <w:sz w:val="16"/>
                <w:szCs w:val="16"/>
                <w:color w:val="auto"/>
              </w:rPr>
            </w:pPr>
          </w:p>
        </w:tc>
        <w:tc>
          <w:tcPr>
            <w:tcW w:w="740" w:type="dxa"/>
            <w:vAlign w:val="bottom"/>
            <w:tcBorders>
              <w:top w:val="single" w:sz="8" w:color="2360A6"/>
              <w:right w:val="single" w:sz="8" w:color="2360A6"/>
            </w:tcBorders>
          </w:tcPr>
          <w:p>
            <w:pPr>
              <w:spacing w:after="0"/>
              <w:rPr>
                <w:sz w:val="16"/>
                <w:szCs w:val="16"/>
                <w:color w:val="auto"/>
              </w:rPr>
            </w:pPr>
          </w:p>
        </w:tc>
        <w:tc>
          <w:tcPr>
            <w:tcW w:w="740" w:type="dxa"/>
            <w:vAlign w:val="bottom"/>
            <w:tcBorders>
              <w:top w:val="single" w:sz="8" w:color="2360A6"/>
              <w:right w:val="single" w:sz="8" w:color="2360A6"/>
            </w:tcBorders>
          </w:tcPr>
          <w:p>
            <w:pPr>
              <w:spacing w:after="0"/>
              <w:rPr>
                <w:sz w:val="16"/>
                <w:szCs w:val="16"/>
                <w:color w:val="auto"/>
              </w:rPr>
            </w:pPr>
          </w:p>
        </w:tc>
        <w:tc>
          <w:tcPr>
            <w:tcW w:w="740" w:type="dxa"/>
            <w:vAlign w:val="bottom"/>
            <w:tcBorders>
              <w:top w:val="single" w:sz="8" w:color="2360A6"/>
              <w:right w:val="single" w:sz="8" w:color="2360A6"/>
            </w:tcBorders>
          </w:tcPr>
          <w:p>
            <w:pPr>
              <w:spacing w:after="0"/>
              <w:rPr>
                <w:sz w:val="16"/>
                <w:szCs w:val="16"/>
                <w:color w:val="auto"/>
              </w:rPr>
            </w:pPr>
          </w:p>
        </w:tc>
        <w:tc>
          <w:tcPr>
            <w:tcW w:w="720" w:type="dxa"/>
            <w:vAlign w:val="bottom"/>
            <w:tcBorders>
              <w:top w:val="single" w:sz="8" w:color="2360A6"/>
              <w:right w:val="single" w:sz="8" w:color="2360A6"/>
            </w:tcBorders>
          </w:tcPr>
          <w:p>
            <w:pPr>
              <w:spacing w:after="0"/>
              <w:rPr>
                <w:sz w:val="16"/>
                <w:szCs w:val="16"/>
                <w:color w:val="auto"/>
              </w:rPr>
            </w:pPr>
          </w:p>
        </w:tc>
        <w:tc>
          <w:tcPr>
            <w:tcW w:w="920" w:type="dxa"/>
            <w:vAlign w:val="bottom"/>
            <w:tcBorders>
              <w:top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2023 and</w:t>
            </w:r>
          </w:p>
        </w:tc>
        <w:tc>
          <w:tcPr>
            <w:tcW w:w="20" w:type="dxa"/>
            <w:vAlign w:val="bottom"/>
            <w:tcBorders>
              <w:top w:val="single" w:sz="8" w:color="2360A6"/>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6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In millions of Euro</w:t>
            </w:r>
          </w:p>
        </w:tc>
        <w:tc>
          <w:tcPr>
            <w:tcW w:w="1360" w:type="dxa"/>
            <w:vAlign w:val="bottom"/>
            <w:tcBorders>
              <w:bottom w:val="single" w:sz="8" w:color="2360A6"/>
            </w:tcBorders>
            <w:shd w:val="clear" w:color="auto" w:fill="2360A6"/>
          </w:tcPr>
          <w:p>
            <w:pPr>
              <w:jc w:val="right"/>
              <w:spacing w:after="0"/>
              <w:rPr>
                <w:sz w:val="20"/>
                <w:szCs w:val="20"/>
                <w:color w:val="auto"/>
              </w:rPr>
            </w:pPr>
            <w:r>
              <w:rPr>
                <w:rFonts w:ascii="Arial" w:cs="Arial" w:eastAsia="Arial" w:hAnsi="Arial"/>
                <w:sz w:val="13"/>
                <w:szCs w:val="13"/>
                <w:b w:val="1"/>
                <w:bCs w:val="1"/>
                <w:color w:val="FFFFFF"/>
              </w:rPr>
              <w:t>December, 2016</w:t>
            </w:r>
          </w:p>
        </w:tc>
        <w:tc>
          <w:tcPr>
            <w:tcW w:w="120" w:type="dxa"/>
            <w:vAlign w:val="bottom"/>
            <w:tcBorders>
              <w:bottom w:val="single" w:sz="8" w:color="2360A6"/>
              <w:right w:val="single" w:sz="8" w:color="2360A6"/>
            </w:tcBorders>
            <w:shd w:val="clear" w:color="auto" w:fill="2360A6"/>
          </w:tcPr>
          <w:p>
            <w:pPr>
              <w:spacing w:after="0"/>
              <w:rPr>
                <w:sz w:val="15"/>
                <w:szCs w:val="15"/>
                <w:color w:val="auto"/>
              </w:rPr>
            </w:pPr>
          </w:p>
        </w:tc>
        <w:tc>
          <w:tcPr>
            <w:tcW w:w="8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2017</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2018</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2019</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2020</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2021</w:t>
            </w:r>
          </w:p>
        </w:tc>
        <w:tc>
          <w:tcPr>
            <w:tcW w:w="72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2022</w:t>
            </w:r>
          </w:p>
        </w:tc>
        <w:tc>
          <w:tcPr>
            <w:tcW w:w="920" w:type="dxa"/>
            <w:vAlign w:val="bottom"/>
            <w:tcBorders>
              <w:bottom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beyond</w:t>
            </w:r>
          </w:p>
        </w:tc>
        <w:tc>
          <w:tcPr>
            <w:tcW w:w="2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4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Restructuring</w:t>
            </w:r>
          </w:p>
        </w:tc>
        <w:tc>
          <w:tcPr>
            <w:tcW w:w="136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47.3</w:t>
            </w:r>
          </w:p>
        </w:tc>
        <w:tc>
          <w:tcPr>
            <w:tcW w:w="120" w:type="dxa"/>
            <w:vAlign w:val="bottom"/>
            <w:tcBorders>
              <w:bottom w:val="single" w:sz="8" w:color="EDEDEE"/>
              <w:right w:val="single" w:sz="8" w:color="2360A6"/>
            </w:tcBorders>
            <w:shd w:val="clear" w:color="auto" w:fill="EDEDEE"/>
          </w:tcPr>
          <w:p>
            <w:pPr>
              <w:spacing w:after="0"/>
              <w:rPr>
                <w:sz w:val="18"/>
                <w:szCs w:val="18"/>
                <w:color w:val="auto"/>
              </w:rPr>
            </w:pPr>
          </w:p>
        </w:tc>
        <w:tc>
          <w:tcPr>
            <w:tcW w:w="8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39.2</w:t>
            </w:r>
          </w:p>
        </w:tc>
        <w:tc>
          <w:tcPr>
            <w:tcW w:w="74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4.4</w:t>
            </w:r>
          </w:p>
        </w:tc>
        <w:tc>
          <w:tcPr>
            <w:tcW w:w="74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2.4</w:t>
            </w:r>
          </w:p>
        </w:tc>
        <w:tc>
          <w:tcPr>
            <w:tcW w:w="7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0.7</w:t>
            </w:r>
          </w:p>
        </w:tc>
        <w:tc>
          <w:tcPr>
            <w:tcW w:w="72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0.3</w:t>
            </w:r>
          </w:p>
        </w:tc>
        <w:tc>
          <w:tcPr>
            <w:tcW w:w="920" w:type="dxa"/>
            <w:vAlign w:val="bottom"/>
          </w:tcPr>
          <w:p>
            <w:pPr>
              <w:jc w:val="right"/>
              <w:ind w:right="37"/>
              <w:spacing w:after="0"/>
              <w:rPr>
                <w:sz w:val="20"/>
                <w:szCs w:val="20"/>
                <w:color w:val="auto"/>
              </w:rPr>
            </w:pPr>
            <w:r>
              <w:rPr>
                <w:rFonts w:ascii="Arial" w:cs="Arial" w:eastAsia="Arial" w:hAnsi="Arial"/>
                <w:sz w:val="13"/>
                <w:szCs w:val="13"/>
                <w:color w:val="231F20"/>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Pensions and other Long-Term</w:t>
            </w:r>
          </w:p>
        </w:tc>
        <w:tc>
          <w:tcPr>
            <w:tcW w:w="1360" w:type="dxa"/>
            <w:vAlign w:val="bottom"/>
            <w:tcBorders>
              <w:top w:val="single" w:sz="8" w:color="2360A6"/>
            </w:tcBorders>
            <w:vMerge w:val="restart"/>
            <w:shd w:val="clear" w:color="auto" w:fill="EDEDEE"/>
          </w:tcPr>
          <w:p>
            <w:pPr>
              <w:jc w:val="right"/>
              <w:spacing w:after="0"/>
              <w:rPr>
                <w:sz w:val="20"/>
                <w:szCs w:val="20"/>
                <w:color w:val="auto"/>
              </w:rPr>
            </w:pPr>
            <w:r>
              <w:rPr>
                <w:rFonts w:ascii="Arial" w:cs="Arial" w:eastAsia="Arial" w:hAnsi="Arial"/>
                <w:sz w:val="13"/>
                <w:szCs w:val="13"/>
                <w:color w:val="231F20"/>
              </w:rPr>
              <w:t>191.8</w:t>
            </w:r>
          </w:p>
        </w:tc>
        <w:tc>
          <w:tcPr>
            <w:tcW w:w="120" w:type="dxa"/>
            <w:vAlign w:val="bottom"/>
            <w:tcBorders>
              <w:top w:val="single" w:sz="8" w:color="2360A6"/>
              <w:right w:val="single" w:sz="8" w:color="2360A6"/>
            </w:tcBorders>
            <w:shd w:val="clear" w:color="auto" w:fill="EDEDEE"/>
          </w:tcPr>
          <w:p>
            <w:pPr>
              <w:spacing w:after="0"/>
              <w:rPr>
                <w:sz w:val="17"/>
                <w:szCs w:val="17"/>
                <w:color w:val="auto"/>
              </w:rPr>
            </w:pPr>
          </w:p>
        </w:tc>
        <w:tc>
          <w:tcPr>
            <w:tcW w:w="840" w:type="dxa"/>
            <w:vAlign w:val="bottom"/>
            <w:tcBorders>
              <w:top w:val="single" w:sz="8" w:color="2360A6"/>
              <w:right w:val="single" w:sz="8" w:color="2360A6"/>
            </w:tcBorders>
            <w:vMerge w:val="restart"/>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top w:val="single" w:sz="8" w:color="2360A6"/>
              <w:right w:val="single" w:sz="8" w:color="2360A6"/>
            </w:tcBorders>
            <w:vMerge w:val="restart"/>
          </w:tcPr>
          <w:p>
            <w:pPr>
              <w:jc w:val="right"/>
              <w:ind w:right="77"/>
              <w:spacing w:after="0"/>
              <w:rPr>
                <w:sz w:val="20"/>
                <w:szCs w:val="20"/>
                <w:color w:val="auto"/>
              </w:rPr>
            </w:pPr>
            <w:r>
              <w:rPr>
                <w:rFonts w:ascii="Arial" w:cs="Arial" w:eastAsia="Arial" w:hAnsi="Arial"/>
                <w:sz w:val="13"/>
                <w:szCs w:val="13"/>
                <w:color w:val="231F20"/>
              </w:rPr>
              <w:t>43.0</w:t>
            </w:r>
          </w:p>
        </w:tc>
        <w:tc>
          <w:tcPr>
            <w:tcW w:w="740" w:type="dxa"/>
            <w:vAlign w:val="bottom"/>
            <w:tcBorders>
              <w:top w:val="single" w:sz="8" w:color="2360A6"/>
              <w:right w:val="single" w:sz="8" w:color="2360A6"/>
            </w:tcBorders>
            <w:vMerge w:val="restart"/>
          </w:tcPr>
          <w:p>
            <w:pPr>
              <w:jc w:val="right"/>
              <w:ind w:right="77"/>
              <w:spacing w:after="0"/>
              <w:rPr>
                <w:sz w:val="20"/>
                <w:szCs w:val="20"/>
                <w:color w:val="auto"/>
              </w:rPr>
            </w:pPr>
            <w:r>
              <w:rPr>
                <w:rFonts w:ascii="Arial" w:cs="Arial" w:eastAsia="Arial" w:hAnsi="Arial"/>
                <w:sz w:val="13"/>
                <w:szCs w:val="13"/>
                <w:color w:val="231F20"/>
              </w:rPr>
              <w:t>19.4</w:t>
            </w:r>
          </w:p>
        </w:tc>
        <w:tc>
          <w:tcPr>
            <w:tcW w:w="740" w:type="dxa"/>
            <w:vAlign w:val="bottom"/>
            <w:tcBorders>
              <w:top w:val="single" w:sz="8" w:color="2360A6"/>
              <w:right w:val="single" w:sz="8" w:color="2360A6"/>
            </w:tcBorders>
            <w:vMerge w:val="restart"/>
          </w:tcPr>
          <w:p>
            <w:pPr>
              <w:jc w:val="right"/>
              <w:ind w:right="77"/>
              <w:spacing w:after="0"/>
              <w:rPr>
                <w:sz w:val="20"/>
                <w:szCs w:val="20"/>
                <w:color w:val="auto"/>
              </w:rPr>
            </w:pPr>
            <w:r>
              <w:rPr>
                <w:rFonts w:ascii="Arial" w:cs="Arial" w:eastAsia="Arial" w:hAnsi="Arial"/>
                <w:sz w:val="13"/>
                <w:szCs w:val="13"/>
                <w:color w:val="231F20"/>
              </w:rPr>
              <w:t>6.7</w:t>
            </w:r>
          </w:p>
        </w:tc>
        <w:tc>
          <w:tcPr>
            <w:tcW w:w="740" w:type="dxa"/>
            <w:vAlign w:val="bottom"/>
            <w:tcBorders>
              <w:top w:val="single" w:sz="8" w:color="2360A6"/>
              <w:right w:val="single" w:sz="8" w:color="2360A6"/>
            </w:tcBorders>
            <w:vMerge w:val="restart"/>
          </w:tcPr>
          <w:p>
            <w:pPr>
              <w:jc w:val="right"/>
              <w:ind w:right="57"/>
              <w:spacing w:after="0"/>
              <w:rPr>
                <w:sz w:val="20"/>
                <w:szCs w:val="20"/>
                <w:color w:val="auto"/>
              </w:rPr>
            </w:pPr>
            <w:r>
              <w:rPr>
                <w:rFonts w:ascii="Arial" w:cs="Arial" w:eastAsia="Arial" w:hAnsi="Arial"/>
                <w:sz w:val="13"/>
                <w:szCs w:val="13"/>
                <w:color w:val="231F20"/>
              </w:rPr>
              <w:t>7.4</w:t>
            </w:r>
          </w:p>
        </w:tc>
        <w:tc>
          <w:tcPr>
            <w:tcW w:w="720" w:type="dxa"/>
            <w:vAlign w:val="bottom"/>
            <w:tcBorders>
              <w:top w:val="single" w:sz="8" w:color="2360A6"/>
              <w:right w:val="single" w:sz="8" w:color="2360A6"/>
            </w:tcBorders>
            <w:vMerge w:val="restart"/>
          </w:tcPr>
          <w:p>
            <w:pPr>
              <w:jc w:val="right"/>
              <w:ind w:right="37"/>
              <w:spacing w:after="0"/>
              <w:rPr>
                <w:sz w:val="20"/>
                <w:szCs w:val="20"/>
                <w:color w:val="auto"/>
              </w:rPr>
            </w:pPr>
            <w:r>
              <w:rPr>
                <w:rFonts w:ascii="Arial" w:cs="Arial" w:eastAsia="Arial" w:hAnsi="Arial"/>
                <w:sz w:val="13"/>
                <w:szCs w:val="13"/>
                <w:color w:val="231F20"/>
              </w:rPr>
              <w:t>13.4</w:t>
            </w:r>
          </w:p>
        </w:tc>
        <w:tc>
          <w:tcPr>
            <w:tcW w:w="920" w:type="dxa"/>
            <w:vAlign w:val="bottom"/>
            <w:tcBorders>
              <w:top w:val="single" w:sz="8" w:color="2360A6"/>
            </w:tcBorders>
            <w:vMerge w:val="restart"/>
          </w:tcPr>
          <w:p>
            <w:pPr>
              <w:jc w:val="right"/>
              <w:ind w:right="37"/>
              <w:spacing w:after="0"/>
              <w:rPr>
                <w:sz w:val="20"/>
                <w:szCs w:val="20"/>
                <w:color w:val="auto"/>
              </w:rPr>
            </w:pPr>
            <w:r>
              <w:rPr>
                <w:rFonts w:ascii="Arial" w:cs="Arial" w:eastAsia="Arial" w:hAnsi="Arial"/>
                <w:sz w:val="13"/>
                <w:szCs w:val="13"/>
                <w:color w:val="231F20"/>
              </w:rPr>
              <w:t>101.9</w:t>
            </w:r>
          </w:p>
        </w:tc>
        <w:tc>
          <w:tcPr>
            <w:tcW w:w="20" w:type="dxa"/>
            <w:vAlign w:val="bottom"/>
            <w:tcBorders>
              <w:top w:val="single" w:sz="8" w:color="2360A6"/>
            </w:tcBorders>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3640" w:type="dxa"/>
            <w:vAlign w:val="bottom"/>
            <w:tcBorders>
              <w:right w:val="single" w:sz="8" w:color="2360A6"/>
            </w:tcBorders>
            <w:vMerge w:val="restart"/>
          </w:tcPr>
          <w:p>
            <w:pPr>
              <w:ind w:left="40"/>
              <w:spacing w:after="0"/>
              <w:rPr>
                <w:sz w:val="20"/>
                <w:szCs w:val="20"/>
                <w:color w:val="auto"/>
              </w:rPr>
            </w:pPr>
            <w:r>
              <w:rPr>
                <w:rFonts w:ascii="Arial" w:cs="Arial" w:eastAsia="Arial" w:hAnsi="Arial"/>
                <w:sz w:val="13"/>
                <w:szCs w:val="13"/>
                <w:color w:val="231F20"/>
              </w:rPr>
              <w:t>Employee Benefits</w:t>
            </w:r>
          </w:p>
        </w:tc>
        <w:tc>
          <w:tcPr>
            <w:tcW w:w="1360" w:type="dxa"/>
            <w:vAlign w:val="bottom"/>
            <w:vMerge w:val="continue"/>
            <w:shd w:val="clear" w:color="auto" w:fill="EDEDEE"/>
          </w:tcPr>
          <w:p>
            <w:pPr>
              <w:spacing w:after="0"/>
              <w:rPr>
                <w:sz w:val="5"/>
                <w:szCs w:val="5"/>
                <w:color w:val="auto"/>
              </w:rPr>
            </w:pPr>
          </w:p>
        </w:tc>
        <w:tc>
          <w:tcPr>
            <w:tcW w:w="120" w:type="dxa"/>
            <w:vAlign w:val="bottom"/>
            <w:tcBorders>
              <w:right w:val="single" w:sz="8" w:color="2360A6"/>
            </w:tcBorders>
            <w:shd w:val="clear" w:color="auto" w:fill="EDEDEE"/>
          </w:tcPr>
          <w:p>
            <w:pPr>
              <w:spacing w:after="0"/>
              <w:rPr>
                <w:sz w:val="5"/>
                <w:szCs w:val="5"/>
                <w:color w:val="auto"/>
              </w:rPr>
            </w:pPr>
          </w:p>
        </w:tc>
        <w:tc>
          <w:tcPr>
            <w:tcW w:w="840" w:type="dxa"/>
            <w:vAlign w:val="bottom"/>
            <w:tcBorders>
              <w:right w:val="single" w:sz="8" w:color="2360A6"/>
            </w:tcBorders>
            <w:vMerge w:val="continue"/>
          </w:tcPr>
          <w:p>
            <w:pPr>
              <w:spacing w:after="0"/>
              <w:rPr>
                <w:sz w:val="5"/>
                <w:szCs w:val="5"/>
                <w:color w:val="auto"/>
              </w:rPr>
            </w:pPr>
          </w:p>
        </w:tc>
        <w:tc>
          <w:tcPr>
            <w:tcW w:w="760" w:type="dxa"/>
            <w:vAlign w:val="bottom"/>
            <w:tcBorders>
              <w:right w:val="single" w:sz="8" w:color="2360A6"/>
            </w:tcBorders>
            <w:vMerge w:val="continue"/>
          </w:tcPr>
          <w:p>
            <w:pPr>
              <w:spacing w:after="0"/>
              <w:rPr>
                <w:sz w:val="5"/>
                <w:szCs w:val="5"/>
                <w:color w:val="auto"/>
              </w:rPr>
            </w:pPr>
          </w:p>
        </w:tc>
        <w:tc>
          <w:tcPr>
            <w:tcW w:w="740" w:type="dxa"/>
            <w:vAlign w:val="bottom"/>
            <w:tcBorders>
              <w:right w:val="single" w:sz="8" w:color="2360A6"/>
            </w:tcBorders>
            <w:vMerge w:val="continue"/>
          </w:tcPr>
          <w:p>
            <w:pPr>
              <w:spacing w:after="0"/>
              <w:rPr>
                <w:sz w:val="5"/>
                <w:szCs w:val="5"/>
                <w:color w:val="auto"/>
              </w:rPr>
            </w:pPr>
          </w:p>
        </w:tc>
        <w:tc>
          <w:tcPr>
            <w:tcW w:w="740" w:type="dxa"/>
            <w:vAlign w:val="bottom"/>
            <w:tcBorders>
              <w:right w:val="single" w:sz="8" w:color="2360A6"/>
            </w:tcBorders>
            <w:vMerge w:val="continue"/>
          </w:tcPr>
          <w:p>
            <w:pPr>
              <w:spacing w:after="0"/>
              <w:rPr>
                <w:sz w:val="5"/>
                <w:szCs w:val="5"/>
                <w:color w:val="auto"/>
              </w:rPr>
            </w:pPr>
          </w:p>
        </w:tc>
        <w:tc>
          <w:tcPr>
            <w:tcW w:w="740" w:type="dxa"/>
            <w:vAlign w:val="bottom"/>
            <w:tcBorders>
              <w:right w:val="single" w:sz="8" w:color="2360A6"/>
            </w:tcBorders>
            <w:vMerge w:val="continue"/>
          </w:tcPr>
          <w:p>
            <w:pPr>
              <w:spacing w:after="0"/>
              <w:rPr>
                <w:sz w:val="5"/>
                <w:szCs w:val="5"/>
                <w:color w:val="auto"/>
              </w:rPr>
            </w:pPr>
          </w:p>
        </w:tc>
        <w:tc>
          <w:tcPr>
            <w:tcW w:w="720" w:type="dxa"/>
            <w:vAlign w:val="bottom"/>
            <w:tcBorders>
              <w:right w:val="single" w:sz="8" w:color="2360A6"/>
            </w:tcBorders>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640" w:type="dxa"/>
            <w:vAlign w:val="bottom"/>
            <w:tcBorders>
              <w:bottom w:val="single" w:sz="8" w:color="2360A6"/>
              <w:right w:val="single" w:sz="8" w:color="2360A6"/>
            </w:tcBorders>
            <w:vMerge w:val="continue"/>
          </w:tcPr>
          <w:p>
            <w:pPr>
              <w:spacing w:after="0"/>
              <w:rPr>
                <w:sz w:val="9"/>
                <w:szCs w:val="9"/>
                <w:color w:val="auto"/>
              </w:rPr>
            </w:pPr>
          </w:p>
        </w:tc>
        <w:tc>
          <w:tcPr>
            <w:tcW w:w="1360" w:type="dxa"/>
            <w:vAlign w:val="bottom"/>
            <w:tcBorders>
              <w:bottom w:val="single" w:sz="8" w:color="2360A6"/>
            </w:tcBorders>
            <w:shd w:val="clear" w:color="auto" w:fill="EDEDEE"/>
          </w:tcPr>
          <w:p>
            <w:pPr>
              <w:spacing w:after="0"/>
              <w:rPr>
                <w:sz w:val="9"/>
                <w:szCs w:val="9"/>
                <w:color w:val="auto"/>
              </w:rPr>
            </w:pPr>
          </w:p>
        </w:tc>
        <w:tc>
          <w:tcPr>
            <w:tcW w:w="120" w:type="dxa"/>
            <w:vAlign w:val="bottom"/>
            <w:tcBorders>
              <w:bottom w:val="single" w:sz="8" w:color="2360A6"/>
              <w:right w:val="single" w:sz="8" w:color="2360A6"/>
            </w:tcBorders>
            <w:shd w:val="clear" w:color="auto" w:fill="EDEDEE"/>
          </w:tcPr>
          <w:p>
            <w:pPr>
              <w:spacing w:after="0"/>
              <w:rPr>
                <w:sz w:val="9"/>
                <w:szCs w:val="9"/>
                <w:color w:val="auto"/>
              </w:rPr>
            </w:pPr>
          </w:p>
        </w:tc>
        <w:tc>
          <w:tcPr>
            <w:tcW w:w="840" w:type="dxa"/>
            <w:vAlign w:val="bottom"/>
            <w:tcBorders>
              <w:bottom w:val="single" w:sz="8" w:color="2360A6"/>
              <w:right w:val="single" w:sz="8" w:color="2360A6"/>
            </w:tcBorders>
          </w:tcPr>
          <w:p>
            <w:pPr>
              <w:spacing w:after="0"/>
              <w:rPr>
                <w:sz w:val="9"/>
                <w:szCs w:val="9"/>
                <w:color w:val="auto"/>
              </w:rPr>
            </w:pPr>
          </w:p>
        </w:tc>
        <w:tc>
          <w:tcPr>
            <w:tcW w:w="760" w:type="dxa"/>
            <w:vAlign w:val="bottom"/>
            <w:tcBorders>
              <w:bottom w:val="single" w:sz="8" w:color="2360A6"/>
              <w:right w:val="single" w:sz="8" w:color="2360A6"/>
            </w:tcBorders>
          </w:tcPr>
          <w:p>
            <w:pPr>
              <w:spacing w:after="0"/>
              <w:rPr>
                <w:sz w:val="9"/>
                <w:szCs w:val="9"/>
                <w:color w:val="auto"/>
              </w:rPr>
            </w:pPr>
          </w:p>
        </w:tc>
        <w:tc>
          <w:tcPr>
            <w:tcW w:w="740" w:type="dxa"/>
            <w:vAlign w:val="bottom"/>
            <w:tcBorders>
              <w:bottom w:val="single" w:sz="8" w:color="2360A6"/>
              <w:right w:val="single" w:sz="8" w:color="2360A6"/>
            </w:tcBorders>
          </w:tcPr>
          <w:p>
            <w:pPr>
              <w:spacing w:after="0"/>
              <w:rPr>
                <w:sz w:val="9"/>
                <w:szCs w:val="9"/>
                <w:color w:val="auto"/>
              </w:rPr>
            </w:pPr>
          </w:p>
        </w:tc>
        <w:tc>
          <w:tcPr>
            <w:tcW w:w="740" w:type="dxa"/>
            <w:vAlign w:val="bottom"/>
            <w:tcBorders>
              <w:bottom w:val="single" w:sz="8" w:color="2360A6"/>
              <w:right w:val="single" w:sz="8" w:color="2360A6"/>
            </w:tcBorders>
          </w:tcPr>
          <w:p>
            <w:pPr>
              <w:spacing w:after="0"/>
              <w:rPr>
                <w:sz w:val="9"/>
                <w:szCs w:val="9"/>
                <w:color w:val="auto"/>
              </w:rPr>
            </w:pPr>
          </w:p>
        </w:tc>
        <w:tc>
          <w:tcPr>
            <w:tcW w:w="740" w:type="dxa"/>
            <w:vAlign w:val="bottom"/>
            <w:tcBorders>
              <w:bottom w:val="single" w:sz="8" w:color="2360A6"/>
              <w:right w:val="single" w:sz="8" w:color="2360A6"/>
            </w:tcBorders>
          </w:tcPr>
          <w:p>
            <w:pPr>
              <w:spacing w:after="0"/>
              <w:rPr>
                <w:sz w:val="9"/>
                <w:szCs w:val="9"/>
                <w:color w:val="auto"/>
              </w:rPr>
            </w:pPr>
          </w:p>
        </w:tc>
        <w:tc>
          <w:tcPr>
            <w:tcW w:w="720" w:type="dxa"/>
            <w:vAlign w:val="bottom"/>
            <w:tcBorders>
              <w:bottom w:val="single" w:sz="8" w:color="2360A6"/>
              <w:right w:val="single" w:sz="8" w:color="2360A6"/>
            </w:tcBorders>
          </w:tcPr>
          <w:p>
            <w:pPr>
              <w:spacing w:after="0"/>
              <w:rPr>
                <w:sz w:val="9"/>
                <w:szCs w:val="9"/>
                <w:color w:val="auto"/>
              </w:rPr>
            </w:pPr>
          </w:p>
        </w:tc>
        <w:tc>
          <w:tcPr>
            <w:tcW w:w="920" w:type="dxa"/>
            <w:vAlign w:val="bottom"/>
            <w:tcBorders>
              <w:bottom w:val="single" w:sz="8" w:color="2360A6"/>
            </w:tcBorders>
          </w:tcPr>
          <w:p>
            <w:pPr>
              <w:spacing w:after="0"/>
              <w:rPr>
                <w:sz w:val="9"/>
                <w:szCs w:val="9"/>
                <w:color w:val="auto"/>
              </w:rPr>
            </w:pPr>
          </w:p>
        </w:tc>
        <w:tc>
          <w:tcPr>
            <w:tcW w:w="20" w:type="dxa"/>
            <w:vAlign w:val="bottom"/>
            <w:tcBorders>
              <w:bottom w:val="single" w:sz="8" w:color="2360A6"/>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4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Tax</w:t>
            </w:r>
          </w:p>
        </w:tc>
        <w:tc>
          <w:tcPr>
            <w:tcW w:w="136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1.4</w:t>
            </w:r>
          </w:p>
        </w:tc>
        <w:tc>
          <w:tcPr>
            <w:tcW w:w="120" w:type="dxa"/>
            <w:vAlign w:val="bottom"/>
            <w:tcBorders>
              <w:bottom w:val="single" w:sz="8" w:color="EDEDEE"/>
              <w:right w:val="single" w:sz="8" w:color="2360A6"/>
            </w:tcBorders>
            <w:shd w:val="clear" w:color="auto" w:fill="EDEDEE"/>
          </w:tcPr>
          <w:p>
            <w:pPr>
              <w:spacing w:after="0"/>
              <w:rPr>
                <w:sz w:val="18"/>
                <w:szCs w:val="18"/>
                <w:color w:val="auto"/>
              </w:rPr>
            </w:pPr>
          </w:p>
        </w:tc>
        <w:tc>
          <w:tcPr>
            <w:tcW w:w="8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1.4</w:t>
            </w:r>
          </w:p>
        </w:tc>
        <w:tc>
          <w:tcPr>
            <w:tcW w:w="74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2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Litigation</w:t>
            </w:r>
          </w:p>
        </w:tc>
        <w:tc>
          <w:tcPr>
            <w:tcW w:w="136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2.3</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2.3</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2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20" w:type="dxa"/>
            <w:vAlign w:val="bottom"/>
            <w:tcBorders>
              <w:top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top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Provisions for Claims Incurred but not Reported</w:t>
            </w:r>
          </w:p>
        </w:tc>
        <w:tc>
          <w:tcPr>
            <w:tcW w:w="136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22.9</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9.6</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6.9</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3.9</w:t>
            </w:r>
          </w:p>
        </w:tc>
        <w:tc>
          <w:tcPr>
            <w:tcW w:w="7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0.7</w:t>
            </w:r>
          </w:p>
        </w:tc>
        <w:tc>
          <w:tcPr>
            <w:tcW w:w="72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0.4</w:t>
            </w:r>
          </w:p>
        </w:tc>
        <w:tc>
          <w:tcPr>
            <w:tcW w:w="920" w:type="dxa"/>
            <w:vAlign w:val="bottom"/>
            <w:tcBorders>
              <w:top w:val="single" w:sz="8" w:color="2360A6"/>
            </w:tcBorders>
          </w:tcPr>
          <w:p>
            <w:pPr>
              <w:jc w:val="right"/>
              <w:ind w:right="37"/>
              <w:spacing w:after="0"/>
              <w:rPr>
                <w:sz w:val="20"/>
                <w:szCs w:val="20"/>
                <w:color w:val="auto"/>
              </w:rPr>
            </w:pPr>
            <w:r>
              <w:rPr>
                <w:rFonts w:ascii="Arial" w:cs="Arial" w:eastAsia="Arial" w:hAnsi="Arial"/>
                <w:sz w:val="13"/>
                <w:szCs w:val="13"/>
                <w:color w:val="231F20"/>
              </w:rPr>
              <w:t>1.4</w:t>
            </w:r>
          </w:p>
        </w:tc>
        <w:tc>
          <w:tcPr>
            <w:tcW w:w="20" w:type="dxa"/>
            <w:vAlign w:val="bottom"/>
            <w:tcBorders>
              <w:top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Other Non-Current Provisions</w:t>
            </w:r>
          </w:p>
        </w:tc>
        <w:tc>
          <w:tcPr>
            <w:tcW w:w="136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10.5</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10.2</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2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20" w:type="dxa"/>
            <w:vAlign w:val="bottom"/>
            <w:tcBorders>
              <w:top w:val="single" w:sz="8" w:color="2360A6"/>
            </w:tcBorders>
          </w:tcPr>
          <w:p>
            <w:pPr>
              <w:jc w:val="right"/>
              <w:ind w:right="37"/>
              <w:spacing w:after="0"/>
              <w:rPr>
                <w:sz w:val="20"/>
                <w:szCs w:val="20"/>
                <w:color w:val="auto"/>
              </w:rPr>
            </w:pPr>
            <w:r>
              <w:rPr>
                <w:rFonts w:ascii="Arial" w:cs="Arial" w:eastAsia="Arial" w:hAnsi="Arial"/>
                <w:sz w:val="13"/>
                <w:szCs w:val="13"/>
                <w:color w:val="231F20"/>
              </w:rPr>
              <w:t>0.3</w:t>
            </w:r>
          </w:p>
        </w:tc>
        <w:tc>
          <w:tcPr>
            <w:tcW w:w="20" w:type="dxa"/>
            <w:vAlign w:val="bottom"/>
            <w:tcBorders>
              <w:top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Total Non-Current Provisions</w:t>
            </w:r>
          </w:p>
        </w:tc>
        <w:tc>
          <w:tcPr>
            <w:tcW w:w="136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276.2</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w:t>
            </w:r>
          </w:p>
        </w:tc>
        <w:tc>
          <w:tcPr>
            <w:tcW w:w="76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105.7</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30.7</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13.0</w:t>
            </w:r>
          </w:p>
        </w:tc>
        <w:tc>
          <w:tcPr>
            <w:tcW w:w="7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8.8</w:t>
            </w:r>
          </w:p>
        </w:tc>
        <w:tc>
          <w:tcPr>
            <w:tcW w:w="72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14.1</w:t>
            </w:r>
          </w:p>
        </w:tc>
        <w:tc>
          <w:tcPr>
            <w:tcW w:w="920" w:type="dxa"/>
            <w:vAlign w:val="bottom"/>
            <w:tcBorders>
              <w:top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103.9</w:t>
            </w:r>
          </w:p>
        </w:tc>
        <w:tc>
          <w:tcPr>
            <w:tcW w:w="20" w:type="dxa"/>
            <w:vAlign w:val="bottom"/>
            <w:tcBorders>
              <w:top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Pensions and other Long-Term</w:t>
            </w:r>
          </w:p>
        </w:tc>
        <w:tc>
          <w:tcPr>
            <w:tcW w:w="1360" w:type="dxa"/>
            <w:vAlign w:val="bottom"/>
            <w:tcBorders>
              <w:top w:val="single" w:sz="8" w:color="2360A6"/>
            </w:tcBorders>
            <w:vMerge w:val="restart"/>
            <w:shd w:val="clear" w:color="auto" w:fill="EDEDEE"/>
          </w:tcPr>
          <w:p>
            <w:pPr>
              <w:jc w:val="right"/>
              <w:spacing w:after="0"/>
              <w:rPr>
                <w:sz w:val="20"/>
                <w:szCs w:val="20"/>
                <w:color w:val="auto"/>
              </w:rPr>
            </w:pPr>
            <w:r>
              <w:rPr>
                <w:rFonts w:ascii="Arial" w:cs="Arial" w:eastAsia="Arial" w:hAnsi="Arial"/>
                <w:sz w:val="13"/>
                <w:szCs w:val="13"/>
                <w:color w:val="231F20"/>
              </w:rPr>
              <w:t>35.6</w:t>
            </w:r>
          </w:p>
        </w:tc>
        <w:tc>
          <w:tcPr>
            <w:tcW w:w="120" w:type="dxa"/>
            <w:vAlign w:val="bottom"/>
            <w:tcBorders>
              <w:top w:val="single" w:sz="8" w:color="2360A6"/>
              <w:right w:val="single" w:sz="8" w:color="2360A6"/>
            </w:tcBorders>
            <w:shd w:val="clear" w:color="auto" w:fill="EDEDEE"/>
          </w:tcPr>
          <w:p>
            <w:pPr>
              <w:spacing w:after="0"/>
              <w:rPr>
                <w:sz w:val="17"/>
                <w:szCs w:val="17"/>
                <w:color w:val="auto"/>
              </w:rPr>
            </w:pPr>
          </w:p>
        </w:tc>
        <w:tc>
          <w:tcPr>
            <w:tcW w:w="840" w:type="dxa"/>
            <w:vAlign w:val="bottom"/>
            <w:tcBorders>
              <w:top w:val="single" w:sz="8" w:color="2360A6"/>
              <w:right w:val="single" w:sz="8" w:color="2360A6"/>
            </w:tcBorders>
            <w:vMerge w:val="restart"/>
          </w:tcPr>
          <w:p>
            <w:pPr>
              <w:jc w:val="right"/>
              <w:ind w:right="57"/>
              <w:spacing w:after="0"/>
              <w:rPr>
                <w:sz w:val="20"/>
                <w:szCs w:val="20"/>
                <w:color w:val="auto"/>
              </w:rPr>
            </w:pPr>
            <w:r>
              <w:rPr>
                <w:rFonts w:ascii="Arial" w:cs="Arial" w:eastAsia="Arial" w:hAnsi="Arial"/>
                <w:sz w:val="13"/>
                <w:szCs w:val="13"/>
                <w:color w:val="231F20"/>
              </w:rPr>
              <w:t>35.6</w:t>
            </w:r>
          </w:p>
        </w:tc>
        <w:tc>
          <w:tcPr>
            <w:tcW w:w="760" w:type="dxa"/>
            <w:vAlign w:val="bottom"/>
            <w:tcBorders>
              <w:top w:val="single" w:sz="8" w:color="2360A6"/>
              <w:right w:val="single" w:sz="8" w:color="2360A6"/>
            </w:tcBorders>
            <w:vMerge w:val="restart"/>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vMerge w:val="restart"/>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vMerge w:val="restart"/>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vMerge w:val="restart"/>
          </w:tcPr>
          <w:p>
            <w:pPr>
              <w:jc w:val="right"/>
              <w:ind w:right="57"/>
              <w:spacing w:after="0"/>
              <w:rPr>
                <w:sz w:val="20"/>
                <w:szCs w:val="20"/>
                <w:color w:val="auto"/>
              </w:rPr>
            </w:pPr>
            <w:r>
              <w:rPr>
                <w:rFonts w:ascii="Arial" w:cs="Arial" w:eastAsia="Arial" w:hAnsi="Arial"/>
                <w:sz w:val="13"/>
                <w:szCs w:val="13"/>
                <w:color w:val="231F20"/>
              </w:rPr>
              <w:t>—</w:t>
            </w:r>
          </w:p>
        </w:tc>
        <w:tc>
          <w:tcPr>
            <w:tcW w:w="720" w:type="dxa"/>
            <w:vAlign w:val="bottom"/>
            <w:tcBorders>
              <w:top w:val="single" w:sz="8" w:color="2360A6"/>
              <w:right w:val="single" w:sz="8" w:color="2360A6"/>
            </w:tcBorders>
            <w:vMerge w:val="restart"/>
          </w:tcPr>
          <w:p>
            <w:pPr>
              <w:jc w:val="right"/>
              <w:ind w:right="37"/>
              <w:spacing w:after="0"/>
              <w:rPr>
                <w:sz w:val="20"/>
                <w:szCs w:val="20"/>
                <w:color w:val="auto"/>
              </w:rPr>
            </w:pPr>
            <w:r>
              <w:rPr>
                <w:rFonts w:ascii="Arial" w:cs="Arial" w:eastAsia="Arial" w:hAnsi="Arial"/>
                <w:sz w:val="13"/>
                <w:szCs w:val="13"/>
                <w:color w:val="231F20"/>
              </w:rPr>
              <w:t>—</w:t>
            </w:r>
          </w:p>
        </w:tc>
        <w:tc>
          <w:tcPr>
            <w:tcW w:w="920" w:type="dxa"/>
            <w:vAlign w:val="bottom"/>
            <w:tcBorders>
              <w:top w:val="single" w:sz="8" w:color="2360A6"/>
            </w:tcBorders>
            <w:vMerge w:val="restart"/>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top w:val="single" w:sz="8" w:color="2360A6"/>
            </w:tcBorders>
          </w:tcPr>
          <w:p>
            <w:pPr>
              <w:spacing w:after="0"/>
              <w:rPr>
                <w:sz w:val="17"/>
                <w:szCs w:val="17"/>
                <w:color w:val="auto"/>
              </w:rPr>
            </w:pPr>
          </w:p>
        </w:tc>
        <w:tc>
          <w:tcPr>
            <w:tcW w:w="0" w:type="dxa"/>
            <w:vAlign w:val="bottom"/>
          </w:tcPr>
          <w:p>
            <w:pPr>
              <w:spacing w:after="0"/>
              <w:rPr>
                <w:sz w:val="1"/>
                <w:szCs w:val="1"/>
                <w:color w:val="auto"/>
              </w:rPr>
            </w:pPr>
          </w:p>
        </w:tc>
      </w:tr>
      <w:tr>
        <w:trPr>
          <w:trHeight w:val="57"/>
        </w:trPr>
        <w:tc>
          <w:tcPr>
            <w:tcW w:w="3640" w:type="dxa"/>
            <w:vAlign w:val="bottom"/>
            <w:tcBorders>
              <w:right w:val="single" w:sz="8" w:color="2360A6"/>
            </w:tcBorders>
            <w:vMerge w:val="restart"/>
          </w:tcPr>
          <w:p>
            <w:pPr>
              <w:ind w:left="40"/>
              <w:spacing w:after="0"/>
              <w:rPr>
                <w:sz w:val="20"/>
                <w:szCs w:val="20"/>
                <w:color w:val="auto"/>
              </w:rPr>
            </w:pPr>
            <w:r>
              <w:rPr>
                <w:rFonts w:ascii="Arial" w:cs="Arial" w:eastAsia="Arial" w:hAnsi="Arial"/>
                <w:sz w:val="13"/>
                <w:szCs w:val="13"/>
                <w:color w:val="231F20"/>
              </w:rPr>
              <w:t>Employee Benefits</w:t>
            </w:r>
          </w:p>
        </w:tc>
        <w:tc>
          <w:tcPr>
            <w:tcW w:w="1360" w:type="dxa"/>
            <w:vAlign w:val="bottom"/>
            <w:vMerge w:val="continue"/>
            <w:shd w:val="clear" w:color="auto" w:fill="EDEDEE"/>
          </w:tcPr>
          <w:p>
            <w:pPr>
              <w:spacing w:after="0"/>
              <w:rPr>
                <w:sz w:val="5"/>
                <w:szCs w:val="5"/>
                <w:color w:val="auto"/>
              </w:rPr>
            </w:pPr>
          </w:p>
        </w:tc>
        <w:tc>
          <w:tcPr>
            <w:tcW w:w="120" w:type="dxa"/>
            <w:vAlign w:val="bottom"/>
            <w:tcBorders>
              <w:right w:val="single" w:sz="8" w:color="2360A6"/>
            </w:tcBorders>
            <w:shd w:val="clear" w:color="auto" w:fill="EDEDEE"/>
          </w:tcPr>
          <w:p>
            <w:pPr>
              <w:spacing w:after="0"/>
              <w:rPr>
                <w:sz w:val="5"/>
                <w:szCs w:val="5"/>
                <w:color w:val="auto"/>
              </w:rPr>
            </w:pPr>
          </w:p>
        </w:tc>
        <w:tc>
          <w:tcPr>
            <w:tcW w:w="840" w:type="dxa"/>
            <w:vAlign w:val="bottom"/>
            <w:tcBorders>
              <w:right w:val="single" w:sz="8" w:color="2360A6"/>
            </w:tcBorders>
            <w:vMerge w:val="continue"/>
          </w:tcPr>
          <w:p>
            <w:pPr>
              <w:spacing w:after="0"/>
              <w:rPr>
                <w:sz w:val="5"/>
                <w:szCs w:val="5"/>
                <w:color w:val="auto"/>
              </w:rPr>
            </w:pPr>
          </w:p>
        </w:tc>
        <w:tc>
          <w:tcPr>
            <w:tcW w:w="760" w:type="dxa"/>
            <w:vAlign w:val="bottom"/>
            <w:tcBorders>
              <w:right w:val="single" w:sz="8" w:color="2360A6"/>
            </w:tcBorders>
            <w:vMerge w:val="continue"/>
          </w:tcPr>
          <w:p>
            <w:pPr>
              <w:spacing w:after="0"/>
              <w:rPr>
                <w:sz w:val="5"/>
                <w:szCs w:val="5"/>
                <w:color w:val="auto"/>
              </w:rPr>
            </w:pPr>
          </w:p>
        </w:tc>
        <w:tc>
          <w:tcPr>
            <w:tcW w:w="740" w:type="dxa"/>
            <w:vAlign w:val="bottom"/>
            <w:tcBorders>
              <w:right w:val="single" w:sz="8" w:color="2360A6"/>
            </w:tcBorders>
            <w:vMerge w:val="continue"/>
          </w:tcPr>
          <w:p>
            <w:pPr>
              <w:spacing w:after="0"/>
              <w:rPr>
                <w:sz w:val="5"/>
                <w:szCs w:val="5"/>
                <w:color w:val="auto"/>
              </w:rPr>
            </w:pPr>
          </w:p>
        </w:tc>
        <w:tc>
          <w:tcPr>
            <w:tcW w:w="740" w:type="dxa"/>
            <w:vAlign w:val="bottom"/>
            <w:tcBorders>
              <w:right w:val="single" w:sz="8" w:color="2360A6"/>
            </w:tcBorders>
            <w:vMerge w:val="continue"/>
          </w:tcPr>
          <w:p>
            <w:pPr>
              <w:spacing w:after="0"/>
              <w:rPr>
                <w:sz w:val="5"/>
                <w:szCs w:val="5"/>
                <w:color w:val="auto"/>
              </w:rPr>
            </w:pPr>
          </w:p>
        </w:tc>
        <w:tc>
          <w:tcPr>
            <w:tcW w:w="740" w:type="dxa"/>
            <w:vAlign w:val="bottom"/>
            <w:tcBorders>
              <w:right w:val="single" w:sz="8" w:color="2360A6"/>
            </w:tcBorders>
            <w:vMerge w:val="continue"/>
          </w:tcPr>
          <w:p>
            <w:pPr>
              <w:spacing w:after="0"/>
              <w:rPr>
                <w:sz w:val="5"/>
                <w:szCs w:val="5"/>
                <w:color w:val="auto"/>
              </w:rPr>
            </w:pPr>
          </w:p>
        </w:tc>
        <w:tc>
          <w:tcPr>
            <w:tcW w:w="720" w:type="dxa"/>
            <w:vAlign w:val="bottom"/>
            <w:tcBorders>
              <w:right w:val="single" w:sz="8" w:color="2360A6"/>
            </w:tcBorders>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640" w:type="dxa"/>
            <w:vAlign w:val="bottom"/>
            <w:tcBorders>
              <w:bottom w:val="single" w:sz="8" w:color="2360A6"/>
              <w:right w:val="single" w:sz="8" w:color="2360A6"/>
            </w:tcBorders>
            <w:vMerge w:val="continue"/>
          </w:tcPr>
          <w:p>
            <w:pPr>
              <w:spacing w:after="0"/>
              <w:rPr>
                <w:sz w:val="9"/>
                <w:szCs w:val="9"/>
                <w:color w:val="auto"/>
              </w:rPr>
            </w:pPr>
          </w:p>
        </w:tc>
        <w:tc>
          <w:tcPr>
            <w:tcW w:w="1360" w:type="dxa"/>
            <w:vAlign w:val="bottom"/>
            <w:tcBorders>
              <w:bottom w:val="single" w:sz="8" w:color="2360A6"/>
            </w:tcBorders>
            <w:shd w:val="clear" w:color="auto" w:fill="EDEDEE"/>
          </w:tcPr>
          <w:p>
            <w:pPr>
              <w:spacing w:after="0"/>
              <w:rPr>
                <w:sz w:val="9"/>
                <w:szCs w:val="9"/>
                <w:color w:val="auto"/>
              </w:rPr>
            </w:pPr>
          </w:p>
        </w:tc>
        <w:tc>
          <w:tcPr>
            <w:tcW w:w="120" w:type="dxa"/>
            <w:vAlign w:val="bottom"/>
            <w:tcBorders>
              <w:bottom w:val="single" w:sz="8" w:color="2360A6"/>
              <w:right w:val="single" w:sz="8" w:color="2360A6"/>
            </w:tcBorders>
            <w:shd w:val="clear" w:color="auto" w:fill="EDEDEE"/>
          </w:tcPr>
          <w:p>
            <w:pPr>
              <w:spacing w:after="0"/>
              <w:rPr>
                <w:sz w:val="9"/>
                <w:szCs w:val="9"/>
                <w:color w:val="auto"/>
              </w:rPr>
            </w:pPr>
          </w:p>
        </w:tc>
        <w:tc>
          <w:tcPr>
            <w:tcW w:w="840" w:type="dxa"/>
            <w:vAlign w:val="bottom"/>
            <w:tcBorders>
              <w:bottom w:val="single" w:sz="8" w:color="2360A6"/>
              <w:right w:val="single" w:sz="8" w:color="2360A6"/>
            </w:tcBorders>
          </w:tcPr>
          <w:p>
            <w:pPr>
              <w:spacing w:after="0"/>
              <w:rPr>
                <w:sz w:val="9"/>
                <w:szCs w:val="9"/>
                <w:color w:val="auto"/>
              </w:rPr>
            </w:pPr>
          </w:p>
        </w:tc>
        <w:tc>
          <w:tcPr>
            <w:tcW w:w="760" w:type="dxa"/>
            <w:vAlign w:val="bottom"/>
            <w:tcBorders>
              <w:bottom w:val="single" w:sz="8" w:color="2360A6"/>
              <w:right w:val="single" w:sz="8" w:color="2360A6"/>
            </w:tcBorders>
          </w:tcPr>
          <w:p>
            <w:pPr>
              <w:spacing w:after="0"/>
              <w:rPr>
                <w:sz w:val="9"/>
                <w:szCs w:val="9"/>
                <w:color w:val="auto"/>
              </w:rPr>
            </w:pPr>
          </w:p>
        </w:tc>
        <w:tc>
          <w:tcPr>
            <w:tcW w:w="740" w:type="dxa"/>
            <w:vAlign w:val="bottom"/>
            <w:tcBorders>
              <w:bottom w:val="single" w:sz="8" w:color="2360A6"/>
              <w:right w:val="single" w:sz="8" w:color="2360A6"/>
            </w:tcBorders>
          </w:tcPr>
          <w:p>
            <w:pPr>
              <w:spacing w:after="0"/>
              <w:rPr>
                <w:sz w:val="9"/>
                <w:szCs w:val="9"/>
                <w:color w:val="auto"/>
              </w:rPr>
            </w:pPr>
          </w:p>
        </w:tc>
        <w:tc>
          <w:tcPr>
            <w:tcW w:w="740" w:type="dxa"/>
            <w:vAlign w:val="bottom"/>
            <w:tcBorders>
              <w:bottom w:val="single" w:sz="8" w:color="2360A6"/>
              <w:right w:val="single" w:sz="8" w:color="2360A6"/>
            </w:tcBorders>
          </w:tcPr>
          <w:p>
            <w:pPr>
              <w:spacing w:after="0"/>
              <w:rPr>
                <w:sz w:val="9"/>
                <w:szCs w:val="9"/>
                <w:color w:val="auto"/>
              </w:rPr>
            </w:pPr>
          </w:p>
        </w:tc>
        <w:tc>
          <w:tcPr>
            <w:tcW w:w="740" w:type="dxa"/>
            <w:vAlign w:val="bottom"/>
            <w:tcBorders>
              <w:bottom w:val="single" w:sz="8" w:color="2360A6"/>
              <w:right w:val="single" w:sz="8" w:color="2360A6"/>
            </w:tcBorders>
          </w:tcPr>
          <w:p>
            <w:pPr>
              <w:spacing w:after="0"/>
              <w:rPr>
                <w:sz w:val="9"/>
                <w:szCs w:val="9"/>
                <w:color w:val="auto"/>
              </w:rPr>
            </w:pPr>
          </w:p>
        </w:tc>
        <w:tc>
          <w:tcPr>
            <w:tcW w:w="720" w:type="dxa"/>
            <w:vAlign w:val="bottom"/>
            <w:tcBorders>
              <w:bottom w:val="single" w:sz="8" w:color="2360A6"/>
              <w:right w:val="single" w:sz="8" w:color="2360A6"/>
            </w:tcBorders>
          </w:tcPr>
          <w:p>
            <w:pPr>
              <w:spacing w:after="0"/>
              <w:rPr>
                <w:sz w:val="9"/>
                <w:szCs w:val="9"/>
                <w:color w:val="auto"/>
              </w:rPr>
            </w:pPr>
          </w:p>
        </w:tc>
        <w:tc>
          <w:tcPr>
            <w:tcW w:w="920" w:type="dxa"/>
            <w:vAlign w:val="bottom"/>
            <w:tcBorders>
              <w:bottom w:val="single" w:sz="8" w:color="2360A6"/>
            </w:tcBorders>
          </w:tcPr>
          <w:p>
            <w:pPr>
              <w:spacing w:after="0"/>
              <w:rPr>
                <w:sz w:val="9"/>
                <w:szCs w:val="9"/>
                <w:color w:val="auto"/>
              </w:rPr>
            </w:pPr>
          </w:p>
        </w:tc>
        <w:tc>
          <w:tcPr>
            <w:tcW w:w="20" w:type="dxa"/>
            <w:vAlign w:val="bottom"/>
            <w:tcBorders>
              <w:bottom w:val="single" w:sz="8" w:color="2360A6"/>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64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 xml:space="preserve">Contingencies related to Contracts </w:t>
            </w:r>
            <w:r>
              <w:rPr>
                <w:rFonts w:ascii="Arial" w:cs="Arial" w:eastAsia="Arial" w:hAnsi="Arial"/>
                <w:sz w:val="8"/>
                <w:szCs w:val="8"/>
                <w:color w:val="231F20"/>
              </w:rPr>
              <w:t>(1)</w:t>
            </w:r>
          </w:p>
        </w:tc>
        <w:tc>
          <w:tcPr>
            <w:tcW w:w="1360" w:type="dxa"/>
            <w:vAlign w:val="bottom"/>
            <w:tcBorders>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351.1</w:t>
            </w:r>
          </w:p>
        </w:tc>
        <w:tc>
          <w:tcPr>
            <w:tcW w:w="120" w:type="dxa"/>
            <w:vAlign w:val="bottom"/>
            <w:tcBorders>
              <w:bottom w:val="single" w:sz="8" w:color="EDEDEE"/>
              <w:right w:val="single" w:sz="8" w:color="2360A6"/>
            </w:tcBorders>
            <w:shd w:val="clear" w:color="auto" w:fill="EDEDEE"/>
          </w:tcPr>
          <w:p>
            <w:pPr>
              <w:spacing w:after="0"/>
              <w:rPr>
                <w:sz w:val="18"/>
                <w:szCs w:val="18"/>
                <w:color w:val="auto"/>
              </w:rPr>
            </w:pPr>
          </w:p>
        </w:tc>
        <w:tc>
          <w:tcPr>
            <w:tcW w:w="8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319.8</w:t>
            </w:r>
          </w:p>
        </w:tc>
        <w:tc>
          <w:tcPr>
            <w:tcW w:w="76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25.0</w:t>
            </w:r>
          </w:p>
        </w:tc>
        <w:tc>
          <w:tcPr>
            <w:tcW w:w="74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3.1</w:t>
            </w:r>
          </w:p>
        </w:tc>
        <w:tc>
          <w:tcPr>
            <w:tcW w:w="74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1.6</w:t>
            </w:r>
          </w:p>
        </w:tc>
        <w:tc>
          <w:tcPr>
            <w:tcW w:w="74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1.6</w:t>
            </w:r>
          </w:p>
        </w:tc>
        <w:tc>
          <w:tcPr>
            <w:tcW w:w="720" w:type="dxa"/>
            <w:vAlign w:val="bottom"/>
            <w:tcBorders>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20" w:type="dxa"/>
            <w:vAlign w:val="bottom"/>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Restructuring</w:t>
            </w:r>
          </w:p>
        </w:tc>
        <w:tc>
          <w:tcPr>
            <w:tcW w:w="136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54.0</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54.0</w:t>
            </w:r>
          </w:p>
        </w:tc>
        <w:tc>
          <w:tcPr>
            <w:tcW w:w="76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2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20" w:type="dxa"/>
            <w:vAlign w:val="bottom"/>
            <w:tcBorders>
              <w:top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top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Tax</w:t>
            </w:r>
          </w:p>
        </w:tc>
        <w:tc>
          <w:tcPr>
            <w:tcW w:w="136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33.1</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33.1</w:t>
            </w:r>
          </w:p>
        </w:tc>
        <w:tc>
          <w:tcPr>
            <w:tcW w:w="76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2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20" w:type="dxa"/>
            <w:vAlign w:val="bottom"/>
            <w:tcBorders>
              <w:top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top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Litigation</w:t>
            </w:r>
          </w:p>
        </w:tc>
        <w:tc>
          <w:tcPr>
            <w:tcW w:w="136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29.4</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29.4</w:t>
            </w:r>
          </w:p>
        </w:tc>
        <w:tc>
          <w:tcPr>
            <w:tcW w:w="76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2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20" w:type="dxa"/>
            <w:vAlign w:val="bottom"/>
            <w:tcBorders>
              <w:top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top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Provisions for Claims</w:t>
            </w:r>
          </w:p>
        </w:tc>
        <w:tc>
          <w:tcPr>
            <w:tcW w:w="136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24.4</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24.4</w:t>
            </w:r>
          </w:p>
        </w:tc>
        <w:tc>
          <w:tcPr>
            <w:tcW w:w="76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2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20" w:type="dxa"/>
            <w:vAlign w:val="bottom"/>
            <w:tcBorders>
              <w:top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top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Other Current Provisions</w:t>
            </w:r>
          </w:p>
        </w:tc>
        <w:tc>
          <w:tcPr>
            <w:tcW w:w="136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color w:val="231F20"/>
              </w:rPr>
              <w:t>131.3</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131.3</w:t>
            </w:r>
          </w:p>
        </w:tc>
        <w:tc>
          <w:tcPr>
            <w:tcW w:w="76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2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920" w:type="dxa"/>
            <w:vAlign w:val="bottom"/>
            <w:tcBorders>
              <w:top w:val="single" w:sz="8" w:color="2360A6"/>
            </w:tcBorders>
          </w:tcPr>
          <w:p>
            <w:pPr>
              <w:jc w:val="right"/>
              <w:ind w:right="37"/>
              <w:spacing w:after="0"/>
              <w:rPr>
                <w:sz w:val="20"/>
                <w:szCs w:val="20"/>
                <w:color w:val="auto"/>
              </w:rPr>
            </w:pPr>
            <w:r>
              <w:rPr>
                <w:rFonts w:ascii="Arial" w:cs="Arial" w:eastAsia="Arial" w:hAnsi="Arial"/>
                <w:sz w:val="13"/>
                <w:szCs w:val="13"/>
                <w:color w:val="231F20"/>
              </w:rPr>
              <w:t>—</w:t>
            </w:r>
          </w:p>
        </w:tc>
        <w:tc>
          <w:tcPr>
            <w:tcW w:w="20" w:type="dxa"/>
            <w:vAlign w:val="bottom"/>
            <w:tcBorders>
              <w:top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Total Current Provisions</w:t>
            </w:r>
          </w:p>
        </w:tc>
        <w:tc>
          <w:tcPr>
            <w:tcW w:w="1360" w:type="dxa"/>
            <w:vAlign w:val="bottom"/>
            <w:tcBorders>
              <w:top w:val="single" w:sz="8" w:color="2360A6"/>
              <w:bottom w:val="single" w:sz="8" w:color="EDEDEE"/>
            </w:tcBorders>
            <w:shd w:val="clear" w:color="auto" w:fill="EDEDEE"/>
          </w:tcPr>
          <w:p>
            <w:pPr>
              <w:jc w:val="right"/>
              <w:spacing w:after="0"/>
              <w:rPr>
                <w:sz w:val="20"/>
                <w:szCs w:val="20"/>
                <w:color w:val="auto"/>
              </w:rPr>
            </w:pPr>
            <w:r>
              <w:rPr>
                <w:rFonts w:ascii="Arial" w:cs="Arial" w:eastAsia="Arial" w:hAnsi="Arial"/>
                <w:sz w:val="13"/>
                <w:szCs w:val="13"/>
                <w:b w:val="1"/>
                <w:bCs w:val="1"/>
                <w:color w:val="2360A6"/>
              </w:rPr>
              <w:t>658.9</w:t>
            </w:r>
          </w:p>
        </w:tc>
        <w:tc>
          <w:tcPr>
            <w:tcW w:w="120" w:type="dxa"/>
            <w:vAlign w:val="bottom"/>
            <w:tcBorders>
              <w:top w:val="single" w:sz="8" w:color="2360A6"/>
              <w:bottom w:val="single" w:sz="8" w:color="EDEDEE"/>
              <w:right w:val="single" w:sz="8" w:color="2360A6"/>
            </w:tcBorders>
            <w:shd w:val="clear" w:color="auto" w:fill="EDEDEE"/>
          </w:tcPr>
          <w:p>
            <w:pPr>
              <w:spacing w:after="0"/>
              <w:rPr>
                <w:sz w:val="18"/>
                <w:szCs w:val="18"/>
                <w:color w:val="auto"/>
              </w:rPr>
            </w:pPr>
          </w:p>
        </w:tc>
        <w:tc>
          <w:tcPr>
            <w:tcW w:w="8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627.6</w:t>
            </w:r>
          </w:p>
        </w:tc>
        <w:tc>
          <w:tcPr>
            <w:tcW w:w="76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25.0</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3.1</w:t>
            </w: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1.6</w:t>
            </w:r>
          </w:p>
        </w:tc>
        <w:tc>
          <w:tcPr>
            <w:tcW w:w="7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1.6</w:t>
            </w:r>
          </w:p>
        </w:tc>
        <w:tc>
          <w:tcPr>
            <w:tcW w:w="72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w:t>
            </w:r>
          </w:p>
        </w:tc>
        <w:tc>
          <w:tcPr>
            <w:tcW w:w="920" w:type="dxa"/>
            <w:vAlign w:val="bottom"/>
            <w:tcBorders>
              <w:top w:val="single" w:sz="8" w:color="2360A6"/>
            </w:tcBorders>
          </w:tcPr>
          <w:p>
            <w:pPr>
              <w:jc w:val="right"/>
              <w:ind w:right="37"/>
              <w:spacing w:after="0"/>
              <w:rPr>
                <w:sz w:val="20"/>
                <w:szCs w:val="20"/>
                <w:color w:val="auto"/>
              </w:rPr>
            </w:pPr>
            <w:r>
              <w:rPr>
                <w:rFonts w:ascii="Arial" w:cs="Arial" w:eastAsia="Arial" w:hAnsi="Arial"/>
                <w:sz w:val="13"/>
                <w:szCs w:val="13"/>
                <w:b w:val="1"/>
                <w:bCs w:val="1"/>
                <w:color w:val="2360A6"/>
              </w:rPr>
              <w:t>—</w:t>
            </w:r>
          </w:p>
        </w:tc>
        <w:tc>
          <w:tcPr>
            <w:tcW w:w="20" w:type="dxa"/>
            <w:vAlign w:val="bottom"/>
            <w:tcBorders>
              <w:top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40" w:type="dxa"/>
            <w:vAlign w:val="bottom"/>
            <w:tcBorders>
              <w:top w:val="single" w:sz="8" w:color="2360A6"/>
              <w:bottom w:val="single" w:sz="8" w:color="D4DAEB"/>
              <w:right w:val="single" w:sz="8" w:color="2360A6"/>
            </w:tcBorders>
            <w:shd w:val="clear" w:color="auto" w:fill="D4DAEB"/>
          </w:tcPr>
          <w:p>
            <w:pPr>
              <w:ind w:left="40"/>
              <w:spacing w:after="0"/>
              <w:rPr>
                <w:sz w:val="20"/>
                <w:szCs w:val="20"/>
                <w:color w:val="auto"/>
              </w:rPr>
            </w:pPr>
            <w:r>
              <w:rPr>
                <w:rFonts w:ascii="Arial" w:cs="Arial" w:eastAsia="Arial" w:hAnsi="Arial"/>
                <w:sz w:val="13"/>
                <w:szCs w:val="13"/>
                <w:b w:val="1"/>
                <w:bCs w:val="1"/>
                <w:color w:val="2360A6"/>
              </w:rPr>
              <w:t>TOTAL PROVISIONS</w:t>
            </w:r>
          </w:p>
        </w:tc>
        <w:tc>
          <w:tcPr>
            <w:tcW w:w="1480" w:type="dxa"/>
            <w:vAlign w:val="bottom"/>
            <w:tcBorders>
              <w:top w:val="single" w:sz="8" w:color="2360A6"/>
              <w:bottom w:val="single" w:sz="8" w:color="D4DAEB"/>
              <w:right w:val="single" w:sz="8" w:color="2360A6"/>
            </w:tcBorders>
            <w:gridSpan w:val="2"/>
            <w:shd w:val="clear" w:color="auto" w:fill="D4DAEB"/>
          </w:tcPr>
          <w:p>
            <w:pPr>
              <w:jc w:val="right"/>
              <w:ind w:right="120"/>
              <w:spacing w:after="0"/>
              <w:rPr>
                <w:sz w:val="20"/>
                <w:szCs w:val="20"/>
                <w:color w:val="auto"/>
              </w:rPr>
            </w:pPr>
            <w:r>
              <w:rPr>
                <w:rFonts w:ascii="Arial" w:cs="Arial" w:eastAsia="Arial" w:hAnsi="Arial"/>
                <w:sz w:val="13"/>
                <w:szCs w:val="13"/>
                <w:b w:val="1"/>
                <w:bCs w:val="1"/>
                <w:color w:val="2360A6"/>
              </w:rPr>
              <w:t>935.1</w:t>
            </w:r>
          </w:p>
        </w:tc>
        <w:tc>
          <w:tcPr>
            <w:tcW w:w="840" w:type="dxa"/>
            <w:vAlign w:val="bottom"/>
            <w:tcBorders>
              <w:top w:val="single" w:sz="8" w:color="2360A6"/>
              <w:bottom w:val="single" w:sz="8" w:color="D4DAEB"/>
              <w:right w:val="single" w:sz="8" w:color="2360A6"/>
            </w:tcBorders>
            <w:shd w:val="clear" w:color="auto" w:fill="D4DAEB"/>
          </w:tcPr>
          <w:p>
            <w:pPr>
              <w:jc w:val="right"/>
              <w:ind w:right="57"/>
              <w:spacing w:after="0"/>
              <w:rPr>
                <w:sz w:val="20"/>
                <w:szCs w:val="20"/>
                <w:color w:val="auto"/>
              </w:rPr>
            </w:pPr>
            <w:r>
              <w:rPr>
                <w:rFonts w:ascii="Arial" w:cs="Arial" w:eastAsia="Arial" w:hAnsi="Arial"/>
                <w:sz w:val="13"/>
                <w:szCs w:val="13"/>
                <w:b w:val="1"/>
                <w:bCs w:val="1"/>
                <w:color w:val="2360A6"/>
              </w:rPr>
              <w:t>627.6</w:t>
            </w:r>
          </w:p>
        </w:tc>
        <w:tc>
          <w:tcPr>
            <w:tcW w:w="760" w:type="dxa"/>
            <w:vAlign w:val="bottom"/>
            <w:tcBorders>
              <w:top w:val="single" w:sz="8" w:color="2360A6"/>
              <w:bottom w:val="single" w:sz="8" w:color="D4DAEB"/>
              <w:right w:val="single" w:sz="8" w:color="2360A6"/>
            </w:tcBorders>
            <w:shd w:val="clear" w:color="auto" w:fill="D4DAEB"/>
          </w:tcPr>
          <w:p>
            <w:pPr>
              <w:jc w:val="right"/>
              <w:ind w:right="77"/>
              <w:spacing w:after="0"/>
              <w:rPr>
                <w:sz w:val="20"/>
                <w:szCs w:val="20"/>
                <w:color w:val="auto"/>
              </w:rPr>
            </w:pPr>
            <w:r>
              <w:rPr>
                <w:rFonts w:ascii="Arial" w:cs="Arial" w:eastAsia="Arial" w:hAnsi="Arial"/>
                <w:sz w:val="13"/>
                <w:szCs w:val="13"/>
                <w:b w:val="1"/>
                <w:bCs w:val="1"/>
                <w:color w:val="2360A6"/>
              </w:rPr>
              <w:t>130.7</w:t>
            </w:r>
          </w:p>
        </w:tc>
        <w:tc>
          <w:tcPr>
            <w:tcW w:w="740" w:type="dxa"/>
            <w:vAlign w:val="bottom"/>
            <w:tcBorders>
              <w:top w:val="single" w:sz="8" w:color="2360A6"/>
              <w:bottom w:val="single" w:sz="8" w:color="D4DAEB"/>
              <w:right w:val="single" w:sz="8" w:color="2360A6"/>
            </w:tcBorders>
            <w:shd w:val="clear" w:color="auto" w:fill="D4DAEB"/>
          </w:tcPr>
          <w:p>
            <w:pPr>
              <w:jc w:val="right"/>
              <w:ind w:right="77"/>
              <w:spacing w:after="0"/>
              <w:rPr>
                <w:sz w:val="20"/>
                <w:szCs w:val="20"/>
                <w:color w:val="auto"/>
              </w:rPr>
            </w:pPr>
            <w:r>
              <w:rPr>
                <w:rFonts w:ascii="Arial" w:cs="Arial" w:eastAsia="Arial" w:hAnsi="Arial"/>
                <w:sz w:val="13"/>
                <w:szCs w:val="13"/>
                <w:b w:val="1"/>
                <w:bCs w:val="1"/>
                <w:color w:val="2360A6"/>
              </w:rPr>
              <w:t>33.8</w:t>
            </w:r>
          </w:p>
        </w:tc>
        <w:tc>
          <w:tcPr>
            <w:tcW w:w="740" w:type="dxa"/>
            <w:vAlign w:val="bottom"/>
            <w:tcBorders>
              <w:top w:val="single" w:sz="8" w:color="2360A6"/>
              <w:bottom w:val="single" w:sz="8" w:color="D4DAEB"/>
              <w:right w:val="single" w:sz="8" w:color="2360A6"/>
            </w:tcBorders>
            <w:shd w:val="clear" w:color="auto" w:fill="D4DAEB"/>
          </w:tcPr>
          <w:p>
            <w:pPr>
              <w:jc w:val="right"/>
              <w:ind w:right="77"/>
              <w:spacing w:after="0"/>
              <w:rPr>
                <w:sz w:val="20"/>
                <w:szCs w:val="20"/>
                <w:color w:val="auto"/>
              </w:rPr>
            </w:pPr>
            <w:r>
              <w:rPr>
                <w:rFonts w:ascii="Arial" w:cs="Arial" w:eastAsia="Arial" w:hAnsi="Arial"/>
                <w:sz w:val="13"/>
                <w:szCs w:val="13"/>
                <w:b w:val="1"/>
                <w:bCs w:val="1"/>
                <w:color w:val="2360A6"/>
              </w:rPr>
              <w:t>14.6</w:t>
            </w:r>
          </w:p>
        </w:tc>
        <w:tc>
          <w:tcPr>
            <w:tcW w:w="740" w:type="dxa"/>
            <w:vAlign w:val="bottom"/>
            <w:tcBorders>
              <w:top w:val="single" w:sz="8" w:color="2360A6"/>
              <w:bottom w:val="single" w:sz="8" w:color="D4DAEB"/>
              <w:right w:val="single" w:sz="8" w:color="2360A6"/>
            </w:tcBorders>
            <w:shd w:val="clear" w:color="auto" w:fill="D4DAEB"/>
          </w:tcPr>
          <w:p>
            <w:pPr>
              <w:jc w:val="right"/>
              <w:ind w:right="57"/>
              <w:spacing w:after="0"/>
              <w:rPr>
                <w:sz w:val="20"/>
                <w:szCs w:val="20"/>
                <w:color w:val="auto"/>
              </w:rPr>
            </w:pPr>
            <w:r>
              <w:rPr>
                <w:rFonts w:ascii="Arial" w:cs="Arial" w:eastAsia="Arial" w:hAnsi="Arial"/>
                <w:sz w:val="13"/>
                <w:szCs w:val="13"/>
                <w:b w:val="1"/>
                <w:bCs w:val="1"/>
                <w:color w:val="2360A6"/>
              </w:rPr>
              <w:t>10.4</w:t>
            </w:r>
          </w:p>
        </w:tc>
        <w:tc>
          <w:tcPr>
            <w:tcW w:w="720" w:type="dxa"/>
            <w:vAlign w:val="bottom"/>
            <w:tcBorders>
              <w:top w:val="single" w:sz="8" w:color="2360A6"/>
              <w:bottom w:val="single" w:sz="8" w:color="D4DAEB"/>
              <w:right w:val="single" w:sz="8" w:color="2360A6"/>
            </w:tcBorders>
            <w:shd w:val="clear" w:color="auto" w:fill="D4DAEB"/>
          </w:tcPr>
          <w:p>
            <w:pPr>
              <w:jc w:val="right"/>
              <w:ind w:right="37"/>
              <w:spacing w:after="0"/>
              <w:rPr>
                <w:sz w:val="20"/>
                <w:szCs w:val="20"/>
                <w:color w:val="auto"/>
              </w:rPr>
            </w:pPr>
            <w:r>
              <w:rPr>
                <w:rFonts w:ascii="Arial" w:cs="Arial" w:eastAsia="Arial" w:hAnsi="Arial"/>
                <w:sz w:val="13"/>
                <w:szCs w:val="13"/>
                <w:b w:val="1"/>
                <w:bCs w:val="1"/>
                <w:color w:val="2360A6"/>
              </w:rPr>
              <w:t>14.1</w:t>
            </w:r>
          </w:p>
        </w:tc>
        <w:tc>
          <w:tcPr>
            <w:tcW w:w="920" w:type="dxa"/>
            <w:vAlign w:val="bottom"/>
            <w:tcBorders>
              <w:top w:val="single" w:sz="8" w:color="2360A6"/>
              <w:bottom w:val="single" w:sz="8" w:color="D4DAEB"/>
            </w:tcBorders>
            <w:shd w:val="clear" w:color="auto" w:fill="D4DAEB"/>
          </w:tcPr>
          <w:p>
            <w:pPr>
              <w:jc w:val="right"/>
              <w:ind w:right="37"/>
              <w:spacing w:after="0"/>
              <w:rPr>
                <w:sz w:val="20"/>
                <w:szCs w:val="20"/>
                <w:color w:val="auto"/>
              </w:rPr>
            </w:pPr>
            <w:r>
              <w:rPr>
                <w:rFonts w:ascii="Arial" w:cs="Arial" w:eastAsia="Arial" w:hAnsi="Arial"/>
                <w:sz w:val="13"/>
                <w:szCs w:val="13"/>
                <w:b w:val="1"/>
                <w:bCs w:val="1"/>
                <w:color w:val="2360A6"/>
              </w:rPr>
              <w:t>103.9</w:t>
            </w:r>
          </w:p>
        </w:tc>
        <w:tc>
          <w:tcPr>
            <w:tcW w:w="20" w:type="dxa"/>
            <w:vAlign w:val="bottom"/>
            <w:tcBorders>
              <w:top w:val="single" w:sz="8" w:color="2360A6"/>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right w:val="single" w:sz="8" w:color="2360A6"/>
            </w:tcBorders>
            <w:shd w:val="clear" w:color="auto" w:fill="2360A6"/>
          </w:tcPr>
          <w:p>
            <w:pPr>
              <w:spacing w:after="0" w:line="20" w:lineRule="exact"/>
              <w:rPr>
                <w:sz w:val="1"/>
                <w:szCs w:val="1"/>
                <w:color w:val="auto"/>
              </w:rPr>
            </w:pPr>
          </w:p>
        </w:tc>
        <w:tc>
          <w:tcPr>
            <w:tcW w:w="1360" w:type="dxa"/>
            <w:vAlign w:val="bottom"/>
            <w:shd w:val="clear" w:color="auto" w:fill="2360A6"/>
          </w:tcPr>
          <w:p>
            <w:pPr>
              <w:spacing w:after="0" w:line="20" w:lineRule="exact"/>
              <w:rPr>
                <w:sz w:val="1"/>
                <w:szCs w:val="1"/>
                <w:color w:val="auto"/>
              </w:rPr>
            </w:pPr>
          </w:p>
        </w:tc>
        <w:tc>
          <w:tcPr>
            <w:tcW w:w="120" w:type="dxa"/>
            <w:vAlign w:val="bottom"/>
            <w:tcBorders>
              <w:right w:val="single" w:sz="8" w:color="2360A6"/>
            </w:tcBorders>
            <w:shd w:val="clear" w:color="auto" w:fill="2360A6"/>
          </w:tcPr>
          <w:p>
            <w:pPr>
              <w:spacing w:after="0" w:line="20" w:lineRule="exact"/>
              <w:rPr>
                <w:sz w:val="1"/>
                <w:szCs w:val="1"/>
                <w:color w:val="auto"/>
              </w:rPr>
            </w:pPr>
          </w:p>
        </w:tc>
        <w:tc>
          <w:tcPr>
            <w:tcW w:w="840" w:type="dxa"/>
            <w:vAlign w:val="bottom"/>
            <w:tcBorders>
              <w:right w:val="single" w:sz="8" w:color="2360A6"/>
            </w:tcBorders>
            <w:shd w:val="clear" w:color="auto" w:fill="2360A6"/>
          </w:tcPr>
          <w:p>
            <w:pPr>
              <w:spacing w:after="0" w:line="20" w:lineRule="exact"/>
              <w:rPr>
                <w:sz w:val="1"/>
                <w:szCs w:val="1"/>
                <w:color w:val="auto"/>
              </w:rPr>
            </w:pPr>
          </w:p>
        </w:tc>
        <w:tc>
          <w:tcPr>
            <w:tcW w:w="760" w:type="dxa"/>
            <w:vAlign w:val="bottom"/>
            <w:tcBorders>
              <w:right w:val="single" w:sz="8" w:color="2360A6"/>
            </w:tcBorders>
            <w:shd w:val="clear" w:color="auto" w:fill="2360A6"/>
          </w:tcPr>
          <w:p>
            <w:pPr>
              <w:spacing w:after="0" w:line="20" w:lineRule="exact"/>
              <w:rPr>
                <w:sz w:val="1"/>
                <w:szCs w:val="1"/>
                <w:color w:val="auto"/>
              </w:rPr>
            </w:pPr>
          </w:p>
        </w:tc>
        <w:tc>
          <w:tcPr>
            <w:tcW w:w="740" w:type="dxa"/>
            <w:vAlign w:val="bottom"/>
            <w:tcBorders>
              <w:right w:val="single" w:sz="8" w:color="2360A6"/>
            </w:tcBorders>
            <w:shd w:val="clear" w:color="auto" w:fill="2360A6"/>
          </w:tcPr>
          <w:p>
            <w:pPr>
              <w:spacing w:after="0" w:line="20" w:lineRule="exact"/>
              <w:rPr>
                <w:sz w:val="1"/>
                <w:szCs w:val="1"/>
                <w:color w:val="auto"/>
              </w:rPr>
            </w:pPr>
          </w:p>
        </w:tc>
        <w:tc>
          <w:tcPr>
            <w:tcW w:w="740" w:type="dxa"/>
            <w:vAlign w:val="bottom"/>
            <w:tcBorders>
              <w:right w:val="single" w:sz="8" w:color="2360A6"/>
            </w:tcBorders>
            <w:shd w:val="clear" w:color="auto" w:fill="2360A6"/>
          </w:tcPr>
          <w:p>
            <w:pPr>
              <w:spacing w:after="0" w:line="20" w:lineRule="exact"/>
              <w:rPr>
                <w:sz w:val="1"/>
                <w:szCs w:val="1"/>
                <w:color w:val="auto"/>
              </w:rPr>
            </w:pPr>
          </w:p>
        </w:tc>
        <w:tc>
          <w:tcPr>
            <w:tcW w:w="740" w:type="dxa"/>
            <w:vAlign w:val="bottom"/>
            <w:tcBorders>
              <w:right w:val="single" w:sz="8" w:color="2360A6"/>
            </w:tcBorders>
            <w:shd w:val="clear" w:color="auto" w:fill="2360A6"/>
          </w:tcPr>
          <w:p>
            <w:pPr>
              <w:spacing w:after="0" w:line="20" w:lineRule="exact"/>
              <w:rPr>
                <w:sz w:val="1"/>
                <w:szCs w:val="1"/>
                <w:color w:val="auto"/>
              </w:rPr>
            </w:pPr>
          </w:p>
        </w:tc>
        <w:tc>
          <w:tcPr>
            <w:tcW w:w="720" w:type="dxa"/>
            <w:vAlign w:val="bottom"/>
            <w:tcBorders>
              <w:right w:val="single" w:sz="8" w:color="2360A6"/>
            </w:tcBorders>
            <w:shd w:val="clear" w:color="auto" w:fill="2360A6"/>
          </w:tcPr>
          <w:p>
            <w:pPr>
              <w:spacing w:after="0" w:line="20" w:lineRule="exact"/>
              <w:rPr>
                <w:sz w:val="1"/>
                <w:szCs w:val="1"/>
                <w:color w:val="auto"/>
              </w:rPr>
            </w:pPr>
          </w:p>
        </w:tc>
        <w:tc>
          <w:tcPr>
            <w:tcW w:w="920" w:type="dxa"/>
            <w:vAlign w:val="bottom"/>
            <w:shd w:val="clear" w:color="auto" w:fill="2360A6"/>
          </w:tcPr>
          <w:p>
            <w:pPr>
              <w:spacing w:after="0" w:line="20" w:lineRule="exact"/>
              <w:rPr>
                <w:sz w:val="1"/>
                <w:szCs w:val="1"/>
                <w:color w:val="auto"/>
              </w:rPr>
            </w:pPr>
          </w:p>
        </w:tc>
        <w:tc>
          <w:tcPr>
            <w:tcW w:w="20" w:type="dxa"/>
            <w:vAlign w:val="bottom"/>
            <w:shd w:val="clear" w:color="auto" w:fill="2360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ind w:left="380"/>
        <w:spacing w:after="0"/>
        <w:rPr>
          <w:sz w:val="20"/>
          <w:szCs w:val="20"/>
          <w:color w:val="auto"/>
        </w:rPr>
      </w:pPr>
      <w:r>
        <w:rPr>
          <w:rFonts w:ascii="Arial" w:cs="Arial" w:eastAsia="Arial" w:hAnsi="Arial"/>
          <w:sz w:val="13"/>
          <w:szCs w:val="13"/>
          <w:color w:val="231F20"/>
        </w:rPr>
        <w:t>(1) Provisions for contingencies related to contracts which maturity cannot be precisely determined are usually presented in the less than one-year category.</w:t>
      </w:r>
    </w:p>
    <w:p>
      <w:pPr>
        <w:sectPr>
          <w:pgSz w:w="11900" w:h="16838" w:orient="portrait"/>
          <w:cols w:equalWidth="0" w:num="1">
            <w:col w:w="10940"/>
          </w:cols>
          <w:pgMar w:left="320" w:top="930" w:right="639" w:bottom="1440" w:gutter="0" w:footer="0" w:header="0"/>
        </w:sectPr>
      </w:pPr>
    </w:p>
    <w:bookmarkStart w:id="143" w:name="page144"/>
    <w:bookmarkEnd w:id="143"/>
    <w:tbl>
      <w:tblPr>
        <w:tblLayout w:type="fixed"/>
        <w:tblInd w:w="340" w:type="dxa"/>
        <w:tblCellMar>
          <w:top w:w="0" w:type="dxa"/>
          <w:left w:w="0" w:type="dxa"/>
          <w:bottom w:w="0" w:type="dxa"/>
          <w:right w:w="0" w:type="dxa"/>
        </w:tblCellMar>
      </w:tblPr>
      <w:tr>
        <w:trPr>
          <w:trHeight w:val="194"/>
        </w:trPr>
        <w:tc>
          <w:tcPr>
            <w:tcW w:w="20" w:type="dxa"/>
            <w:vAlign w:val="bottom"/>
            <w:tcBorders>
              <w:top w:val="single" w:sz="8" w:color="2360A6"/>
            </w:tcBorders>
            <w:shd w:val="clear" w:color="auto" w:fill="2360A6"/>
          </w:tcPr>
          <w:p>
            <w:pPr>
              <w:spacing w:after="0"/>
              <w:rPr>
                <w:sz w:val="16"/>
                <w:szCs w:val="16"/>
                <w:color w:val="auto"/>
              </w:rPr>
            </w:pPr>
          </w:p>
        </w:tc>
        <w:tc>
          <w:tcPr>
            <w:tcW w:w="3620" w:type="dxa"/>
            <w:vAlign w:val="bottom"/>
            <w:tcBorders>
              <w:top w:val="single" w:sz="8" w:color="2360A6"/>
              <w:right w:val="single" w:sz="8" w:color="2360A6"/>
            </w:tcBorders>
          </w:tcPr>
          <w:p>
            <w:pPr>
              <w:spacing w:after="0"/>
              <w:rPr>
                <w:sz w:val="16"/>
                <w:szCs w:val="16"/>
                <w:color w:val="auto"/>
              </w:rPr>
            </w:pPr>
          </w:p>
        </w:tc>
        <w:tc>
          <w:tcPr>
            <w:tcW w:w="200" w:type="dxa"/>
            <w:vAlign w:val="bottom"/>
            <w:tcBorders>
              <w:top w:val="single" w:sz="8" w:color="2360A6"/>
              <w:right w:val="single" w:sz="8" w:color="EDEDEE"/>
            </w:tcBorders>
            <w:shd w:val="clear" w:color="auto" w:fill="EDEDEE"/>
          </w:tcPr>
          <w:p>
            <w:pPr>
              <w:spacing w:after="0"/>
              <w:rPr>
                <w:sz w:val="16"/>
                <w:szCs w:val="16"/>
                <w:color w:val="auto"/>
              </w:rPr>
            </w:pPr>
          </w:p>
        </w:tc>
        <w:tc>
          <w:tcPr>
            <w:tcW w:w="1280" w:type="dxa"/>
            <w:vAlign w:val="bottom"/>
            <w:tcBorders>
              <w:top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As of 31</w:t>
            </w:r>
          </w:p>
        </w:tc>
        <w:tc>
          <w:tcPr>
            <w:tcW w:w="100" w:type="dxa"/>
            <w:vAlign w:val="bottom"/>
            <w:tcBorders>
              <w:top w:val="single" w:sz="8" w:color="2360A6"/>
            </w:tcBorders>
          </w:tcPr>
          <w:p>
            <w:pPr>
              <w:spacing w:after="0"/>
              <w:rPr>
                <w:sz w:val="16"/>
                <w:szCs w:val="16"/>
                <w:color w:val="auto"/>
              </w:rPr>
            </w:pPr>
          </w:p>
        </w:tc>
        <w:tc>
          <w:tcPr>
            <w:tcW w:w="740" w:type="dxa"/>
            <w:vAlign w:val="bottom"/>
            <w:tcBorders>
              <w:top w:val="single" w:sz="8" w:color="2360A6"/>
              <w:right w:val="single" w:sz="8" w:color="2360A6"/>
            </w:tcBorders>
          </w:tcPr>
          <w:p>
            <w:pPr>
              <w:spacing w:after="0"/>
              <w:rPr>
                <w:sz w:val="16"/>
                <w:szCs w:val="16"/>
                <w:color w:val="auto"/>
              </w:rPr>
            </w:pPr>
          </w:p>
        </w:tc>
        <w:tc>
          <w:tcPr>
            <w:tcW w:w="760" w:type="dxa"/>
            <w:vAlign w:val="bottom"/>
            <w:tcBorders>
              <w:top w:val="single" w:sz="8" w:color="2360A6"/>
              <w:right w:val="single" w:sz="8" w:color="2360A6"/>
            </w:tcBorders>
          </w:tcPr>
          <w:p>
            <w:pPr>
              <w:spacing w:after="0"/>
              <w:rPr>
                <w:sz w:val="16"/>
                <w:szCs w:val="16"/>
                <w:color w:val="auto"/>
              </w:rPr>
            </w:pPr>
          </w:p>
        </w:tc>
        <w:tc>
          <w:tcPr>
            <w:tcW w:w="740" w:type="dxa"/>
            <w:vAlign w:val="bottom"/>
            <w:tcBorders>
              <w:top w:val="single" w:sz="8" w:color="2360A6"/>
              <w:right w:val="single" w:sz="8" w:color="2360A6"/>
            </w:tcBorders>
          </w:tcPr>
          <w:p>
            <w:pPr>
              <w:spacing w:after="0"/>
              <w:rPr>
                <w:sz w:val="16"/>
                <w:szCs w:val="16"/>
                <w:color w:val="auto"/>
              </w:rPr>
            </w:pPr>
          </w:p>
        </w:tc>
        <w:tc>
          <w:tcPr>
            <w:tcW w:w="740" w:type="dxa"/>
            <w:vAlign w:val="bottom"/>
            <w:tcBorders>
              <w:top w:val="single" w:sz="8" w:color="2360A6"/>
              <w:right w:val="single" w:sz="8" w:color="2360A6"/>
            </w:tcBorders>
          </w:tcPr>
          <w:p>
            <w:pPr>
              <w:spacing w:after="0"/>
              <w:rPr>
                <w:sz w:val="16"/>
                <w:szCs w:val="16"/>
                <w:color w:val="auto"/>
              </w:rPr>
            </w:pPr>
          </w:p>
        </w:tc>
        <w:tc>
          <w:tcPr>
            <w:tcW w:w="740" w:type="dxa"/>
            <w:vAlign w:val="bottom"/>
            <w:tcBorders>
              <w:top w:val="single" w:sz="8" w:color="2360A6"/>
              <w:right w:val="single" w:sz="8" w:color="2360A6"/>
            </w:tcBorders>
          </w:tcPr>
          <w:p>
            <w:pPr>
              <w:spacing w:after="0"/>
              <w:rPr>
                <w:sz w:val="16"/>
                <w:szCs w:val="16"/>
                <w:color w:val="auto"/>
              </w:rPr>
            </w:pPr>
          </w:p>
        </w:tc>
        <w:tc>
          <w:tcPr>
            <w:tcW w:w="740" w:type="dxa"/>
            <w:vAlign w:val="bottom"/>
            <w:tcBorders>
              <w:top w:val="single" w:sz="8" w:color="2360A6"/>
              <w:right w:val="single" w:sz="8" w:color="2360A6"/>
            </w:tcBorders>
          </w:tcPr>
          <w:p>
            <w:pPr>
              <w:spacing w:after="0"/>
              <w:rPr>
                <w:sz w:val="16"/>
                <w:szCs w:val="16"/>
                <w:color w:val="auto"/>
              </w:rPr>
            </w:pPr>
          </w:p>
        </w:tc>
        <w:tc>
          <w:tcPr>
            <w:tcW w:w="920" w:type="dxa"/>
            <w:vAlign w:val="bottom"/>
            <w:tcBorders>
              <w:top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b w:val="1"/>
                <w:bCs w:val="1"/>
                <w:color w:val="2360A6"/>
              </w:rPr>
              <w:t>2022 and</w:t>
            </w:r>
          </w:p>
        </w:tc>
      </w:tr>
      <w:tr>
        <w:trPr>
          <w:trHeight w:val="178"/>
        </w:trPr>
        <w:tc>
          <w:tcPr>
            <w:tcW w:w="20" w:type="dxa"/>
            <w:vAlign w:val="bottom"/>
            <w:tcBorders>
              <w:bottom w:val="single" w:sz="8" w:color="2360A6"/>
            </w:tcBorders>
            <w:shd w:val="clear" w:color="auto" w:fill="2360A6"/>
          </w:tcPr>
          <w:p>
            <w:pPr>
              <w:spacing w:after="0"/>
              <w:rPr>
                <w:sz w:val="15"/>
                <w:szCs w:val="15"/>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i w:val="1"/>
                <w:iCs w:val="1"/>
                <w:color w:val="231F20"/>
              </w:rPr>
              <w:t>In millions of Euro</w:t>
            </w:r>
          </w:p>
        </w:tc>
        <w:tc>
          <w:tcPr>
            <w:tcW w:w="200" w:type="dxa"/>
            <w:vAlign w:val="bottom"/>
            <w:tcBorders>
              <w:bottom w:val="single" w:sz="8" w:color="2360A6"/>
              <w:right w:val="single" w:sz="8" w:color="EDEDEE"/>
            </w:tcBorders>
            <w:shd w:val="clear" w:color="auto" w:fill="EDEDEE"/>
          </w:tcPr>
          <w:p>
            <w:pPr>
              <w:spacing w:after="0"/>
              <w:rPr>
                <w:sz w:val="15"/>
                <w:szCs w:val="15"/>
                <w:color w:val="auto"/>
              </w:rPr>
            </w:pPr>
          </w:p>
        </w:tc>
        <w:tc>
          <w:tcPr>
            <w:tcW w:w="1280" w:type="dxa"/>
            <w:vAlign w:val="bottom"/>
            <w:tcBorders>
              <w:bottom w:val="single" w:sz="8" w:color="2360A6"/>
              <w:right w:val="single" w:sz="8" w:color="2360A6"/>
            </w:tcBorders>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December, 2015</w:t>
            </w:r>
          </w:p>
        </w:tc>
        <w:tc>
          <w:tcPr>
            <w:tcW w:w="100" w:type="dxa"/>
            <w:vAlign w:val="bottom"/>
            <w:tcBorders>
              <w:bottom w:val="single" w:sz="8" w:color="2360A6"/>
            </w:tcBorders>
          </w:tcPr>
          <w:p>
            <w:pPr>
              <w:spacing w:after="0"/>
              <w:rPr>
                <w:sz w:val="15"/>
                <w:szCs w:val="15"/>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2016</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2017</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2018</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2019</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2020</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2021</w:t>
            </w:r>
          </w:p>
        </w:tc>
        <w:tc>
          <w:tcPr>
            <w:tcW w:w="9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b w:val="1"/>
                <w:bCs w:val="1"/>
                <w:color w:val="2360A6"/>
              </w:rPr>
              <w:t>beyond</w:t>
            </w: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Restructuring</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color w:val="231F20"/>
              </w:rPr>
              <w:t>22.6</w:t>
            </w:r>
          </w:p>
        </w:tc>
        <w:tc>
          <w:tcPr>
            <w:tcW w:w="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11.7</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5.5</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3.7</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1.7</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156"/>
        </w:trPr>
        <w:tc>
          <w:tcPr>
            <w:tcW w:w="20" w:type="dxa"/>
            <w:vAlign w:val="bottom"/>
            <w:shd w:val="clear" w:color="auto" w:fill="2360A6"/>
          </w:tcPr>
          <w:p>
            <w:pPr>
              <w:spacing w:after="0"/>
              <w:rPr>
                <w:sz w:val="13"/>
                <w:szCs w:val="13"/>
                <w:color w:val="auto"/>
              </w:rPr>
            </w:pPr>
          </w:p>
        </w:tc>
        <w:tc>
          <w:tcPr>
            <w:tcW w:w="3620" w:type="dxa"/>
            <w:vAlign w:val="bottom"/>
            <w:tcBorders>
              <w:right w:val="single" w:sz="8" w:color="2360A6"/>
            </w:tcBorders>
          </w:tcPr>
          <w:p>
            <w:pPr>
              <w:ind w:left="20"/>
              <w:spacing w:after="0"/>
              <w:rPr>
                <w:sz w:val="20"/>
                <w:szCs w:val="20"/>
                <w:color w:val="auto"/>
              </w:rPr>
            </w:pPr>
            <w:r>
              <w:rPr>
                <w:rFonts w:ascii="Arial" w:cs="Arial" w:eastAsia="Arial" w:hAnsi="Arial"/>
                <w:sz w:val="13"/>
                <w:szCs w:val="13"/>
                <w:color w:val="231F20"/>
              </w:rPr>
              <w:t>Pensions and other Long-Term</w:t>
            </w:r>
          </w:p>
        </w:tc>
        <w:tc>
          <w:tcPr>
            <w:tcW w:w="200" w:type="dxa"/>
            <w:vAlign w:val="bottom"/>
            <w:tcBorders>
              <w:right w:val="single" w:sz="8" w:color="EDEDEE"/>
            </w:tcBorders>
            <w:shd w:val="clear" w:color="auto" w:fill="EDEDEE"/>
          </w:tcPr>
          <w:p>
            <w:pPr>
              <w:spacing w:after="0"/>
              <w:rPr>
                <w:sz w:val="13"/>
                <w:szCs w:val="13"/>
                <w:color w:val="auto"/>
              </w:rPr>
            </w:pPr>
          </w:p>
        </w:tc>
        <w:tc>
          <w:tcPr>
            <w:tcW w:w="1280" w:type="dxa"/>
            <w:vAlign w:val="bottom"/>
            <w:tcBorders>
              <w:right w:val="single" w:sz="8" w:color="2360A6"/>
            </w:tcBorders>
            <w:shd w:val="clear" w:color="auto" w:fill="EDEDE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6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Borders>
              <w:right w:val="single" w:sz="8" w:color="2360A6"/>
            </w:tcBorders>
          </w:tcPr>
          <w:p>
            <w:pPr>
              <w:spacing w:after="0"/>
              <w:rPr>
                <w:sz w:val="13"/>
                <w:szCs w:val="13"/>
                <w:color w:val="auto"/>
              </w:rPr>
            </w:pPr>
          </w:p>
        </w:tc>
      </w:tr>
      <w:tr>
        <w:trPr>
          <w:trHeight w:val="162"/>
        </w:trPr>
        <w:tc>
          <w:tcPr>
            <w:tcW w:w="20" w:type="dxa"/>
            <w:vAlign w:val="bottom"/>
            <w:tcBorders>
              <w:bottom w:val="single" w:sz="8" w:color="2360A6"/>
            </w:tcBorders>
            <w:shd w:val="clear" w:color="auto" w:fill="2360A6"/>
          </w:tcPr>
          <w:p>
            <w:pPr>
              <w:spacing w:after="0"/>
              <w:rPr>
                <w:sz w:val="14"/>
                <w:szCs w:val="14"/>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Employee Benefits</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color w:val="231F20"/>
              </w:rPr>
              <w:t>200.5</w:t>
            </w:r>
          </w:p>
        </w:tc>
        <w:tc>
          <w:tcPr>
            <w:tcW w:w="100" w:type="dxa"/>
            <w:vAlign w:val="bottom"/>
            <w:tcBorders>
              <w:bottom w:val="single" w:sz="8" w:color="2360A6"/>
            </w:tcBorders>
          </w:tcPr>
          <w:p>
            <w:pPr>
              <w:spacing w:after="0"/>
              <w:rPr>
                <w:sz w:val="14"/>
                <w:szCs w:val="14"/>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37.9</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14.7</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11.3</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11.3</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12.8</w:t>
            </w:r>
          </w:p>
        </w:tc>
        <w:tc>
          <w:tcPr>
            <w:tcW w:w="88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112.5</w:t>
            </w:r>
          </w:p>
        </w:tc>
        <w:tc>
          <w:tcPr>
            <w:tcW w:w="40" w:type="dxa"/>
            <w:vAlign w:val="bottom"/>
            <w:tcBorders>
              <w:bottom w:val="single" w:sz="8" w:color="2360A6"/>
              <w:right w:val="single" w:sz="8" w:color="2360A6"/>
            </w:tcBorders>
          </w:tcPr>
          <w:p>
            <w:pPr>
              <w:spacing w:after="0"/>
              <w:rPr>
                <w:sz w:val="14"/>
                <w:szCs w:val="14"/>
                <w:color w:val="auto"/>
              </w:rPr>
            </w:pP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Tax</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color w:val="231F20"/>
              </w:rPr>
              <w:t>0.9</w:t>
            </w:r>
          </w:p>
        </w:tc>
        <w:tc>
          <w:tcPr>
            <w:tcW w:w="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0.9</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Litigation</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color w:val="231F20"/>
              </w:rPr>
              <w:t>2.3</w:t>
            </w:r>
          </w:p>
        </w:tc>
        <w:tc>
          <w:tcPr>
            <w:tcW w:w="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2.3</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Provisions for Claims Incurred but not Reported</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color w:val="231F20"/>
              </w:rPr>
              <w:t>11.7</w:t>
            </w:r>
          </w:p>
        </w:tc>
        <w:tc>
          <w:tcPr>
            <w:tcW w:w="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4.6</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3.5</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2.0</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0.4</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0.2</w:t>
            </w:r>
          </w:p>
        </w:tc>
        <w:tc>
          <w:tcPr>
            <w:tcW w:w="88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auto"/>
              </w:rPr>
              <w:t>0.7</w:t>
            </w:r>
          </w:p>
        </w:tc>
        <w:tc>
          <w:tcPr>
            <w:tcW w:w="40" w:type="dxa"/>
            <w:vAlign w:val="bottom"/>
            <w:tcBorders>
              <w:bottom w:val="single" w:sz="8" w:color="2360A6"/>
              <w:right w:val="single" w:sz="8" w:color="2360A6"/>
            </w:tcBorders>
          </w:tcPr>
          <w:p>
            <w:pPr>
              <w:spacing w:after="0"/>
              <w:rPr>
                <w:sz w:val="18"/>
                <w:szCs w:val="18"/>
                <w:color w:val="auto"/>
              </w:rPr>
            </w:pP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Other Non-Current Provisions</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color w:val="231F20"/>
              </w:rPr>
              <w:t>4.0</w:t>
            </w:r>
          </w:p>
        </w:tc>
        <w:tc>
          <w:tcPr>
            <w:tcW w:w="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1.9</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1.8</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0.3</w:t>
            </w:r>
          </w:p>
        </w:tc>
        <w:tc>
          <w:tcPr>
            <w:tcW w:w="40" w:type="dxa"/>
            <w:vAlign w:val="bottom"/>
            <w:tcBorders>
              <w:bottom w:val="single" w:sz="8" w:color="2360A6"/>
              <w:right w:val="single" w:sz="8" w:color="2360A6"/>
            </w:tcBorders>
          </w:tcPr>
          <w:p>
            <w:pPr>
              <w:spacing w:after="0"/>
              <w:rPr>
                <w:sz w:val="18"/>
                <w:szCs w:val="18"/>
                <w:color w:val="auto"/>
              </w:rPr>
            </w:pP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b w:val="1"/>
                <w:bCs w:val="1"/>
                <w:color w:val="2360A6"/>
              </w:rPr>
              <w:t>Total Non-Current Provisions</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242.0</w:t>
            </w:r>
          </w:p>
        </w:tc>
        <w:tc>
          <w:tcPr>
            <w:tcW w:w="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59.6</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23.7</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17.0</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15.2</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13.0</w:t>
            </w:r>
          </w:p>
        </w:tc>
        <w:tc>
          <w:tcPr>
            <w:tcW w:w="88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113.5</w:t>
            </w:r>
          </w:p>
        </w:tc>
        <w:tc>
          <w:tcPr>
            <w:tcW w:w="40" w:type="dxa"/>
            <w:vAlign w:val="bottom"/>
            <w:tcBorders>
              <w:bottom w:val="single" w:sz="8" w:color="2360A6"/>
              <w:right w:val="single" w:sz="8" w:color="2360A6"/>
            </w:tcBorders>
          </w:tcPr>
          <w:p>
            <w:pPr>
              <w:spacing w:after="0"/>
              <w:rPr>
                <w:sz w:val="18"/>
                <w:szCs w:val="18"/>
                <w:color w:val="auto"/>
              </w:rPr>
            </w:pPr>
          </w:p>
        </w:tc>
      </w:tr>
      <w:tr>
        <w:trPr>
          <w:trHeight w:val="156"/>
        </w:trPr>
        <w:tc>
          <w:tcPr>
            <w:tcW w:w="20" w:type="dxa"/>
            <w:vAlign w:val="bottom"/>
            <w:shd w:val="clear" w:color="auto" w:fill="2360A6"/>
          </w:tcPr>
          <w:p>
            <w:pPr>
              <w:spacing w:after="0"/>
              <w:rPr>
                <w:sz w:val="13"/>
                <w:szCs w:val="13"/>
                <w:color w:val="auto"/>
              </w:rPr>
            </w:pPr>
          </w:p>
        </w:tc>
        <w:tc>
          <w:tcPr>
            <w:tcW w:w="3620" w:type="dxa"/>
            <w:vAlign w:val="bottom"/>
            <w:tcBorders>
              <w:right w:val="single" w:sz="8" w:color="2360A6"/>
            </w:tcBorders>
          </w:tcPr>
          <w:p>
            <w:pPr>
              <w:ind w:left="20"/>
              <w:spacing w:after="0"/>
              <w:rPr>
                <w:sz w:val="20"/>
                <w:szCs w:val="20"/>
                <w:color w:val="auto"/>
              </w:rPr>
            </w:pPr>
            <w:r>
              <w:rPr>
                <w:rFonts w:ascii="Arial" w:cs="Arial" w:eastAsia="Arial" w:hAnsi="Arial"/>
                <w:sz w:val="13"/>
                <w:szCs w:val="13"/>
                <w:color w:val="231F20"/>
              </w:rPr>
              <w:t>Pensions and other Long-Term</w:t>
            </w:r>
          </w:p>
        </w:tc>
        <w:tc>
          <w:tcPr>
            <w:tcW w:w="200" w:type="dxa"/>
            <w:vAlign w:val="bottom"/>
            <w:tcBorders>
              <w:right w:val="single" w:sz="8" w:color="EDEDEE"/>
            </w:tcBorders>
            <w:shd w:val="clear" w:color="auto" w:fill="EDEDEE"/>
          </w:tcPr>
          <w:p>
            <w:pPr>
              <w:spacing w:after="0"/>
              <w:rPr>
                <w:sz w:val="13"/>
                <w:szCs w:val="13"/>
                <w:color w:val="auto"/>
              </w:rPr>
            </w:pPr>
          </w:p>
        </w:tc>
        <w:tc>
          <w:tcPr>
            <w:tcW w:w="1280" w:type="dxa"/>
            <w:vAlign w:val="bottom"/>
            <w:tcBorders>
              <w:right w:val="single" w:sz="8" w:color="2360A6"/>
            </w:tcBorders>
            <w:shd w:val="clear" w:color="auto" w:fill="EDEDE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6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Borders>
              <w:right w:val="single" w:sz="8" w:color="2360A6"/>
            </w:tcBorders>
          </w:tcPr>
          <w:p>
            <w:pPr>
              <w:spacing w:after="0"/>
              <w:rPr>
                <w:sz w:val="13"/>
                <w:szCs w:val="13"/>
                <w:color w:val="auto"/>
              </w:rPr>
            </w:pPr>
          </w:p>
        </w:tc>
      </w:tr>
      <w:tr>
        <w:trPr>
          <w:trHeight w:val="162"/>
        </w:trPr>
        <w:tc>
          <w:tcPr>
            <w:tcW w:w="20" w:type="dxa"/>
            <w:vAlign w:val="bottom"/>
            <w:tcBorders>
              <w:bottom w:val="single" w:sz="8" w:color="2360A6"/>
            </w:tcBorders>
            <w:shd w:val="clear" w:color="auto" w:fill="2360A6"/>
          </w:tcPr>
          <w:p>
            <w:pPr>
              <w:spacing w:after="0"/>
              <w:rPr>
                <w:sz w:val="14"/>
                <w:szCs w:val="14"/>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Employee Benefits</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color w:val="231F20"/>
              </w:rPr>
              <w:t>46.7</w:t>
            </w:r>
          </w:p>
        </w:tc>
        <w:tc>
          <w:tcPr>
            <w:tcW w:w="100" w:type="dxa"/>
            <w:vAlign w:val="bottom"/>
            <w:tcBorders>
              <w:bottom w:val="single" w:sz="8" w:color="2360A6"/>
            </w:tcBorders>
          </w:tcPr>
          <w:p>
            <w:pPr>
              <w:spacing w:after="0"/>
              <w:rPr>
                <w:sz w:val="14"/>
                <w:szCs w:val="14"/>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46.6</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 xml:space="preserve">Contingencies related to Contracts </w:t>
            </w:r>
            <w:r>
              <w:rPr>
                <w:rFonts w:ascii="Arial" w:cs="Arial" w:eastAsia="Arial" w:hAnsi="Arial"/>
                <w:sz w:val="8"/>
                <w:szCs w:val="8"/>
                <w:color w:val="231F20"/>
              </w:rPr>
              <w:t>(1)</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color w:val="auto"/>
              </w:rPr>
              <w:t>268.5</w:t>
            </w:r>
          </w:p>
        </w:tc>
        <w:tc>
          <w:tcPr>
            <w:tcW w:w="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251.3</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17.1</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0.1</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Restructuring</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color w:val="231F20"/>
              </w:rPr>
              <w:t>27.6</w:t>
            </w:r>
          </w:p>
        </w:tc>
        <w:tc>
          <w:tcPr>
            <w:tcW w:w="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27.6</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Tax</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color w:val="231F20"/>
              </w:rPr>
              <w:t>21.2</w:t>
            </w:r>
          </w:p>
        </w:tc>
        <w:tc>
          <w:tcPr>
            <w:tcW w:w="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21.2</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Litigation</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color w:val="231F20"/>
              </w:rPr>
              <w:t>9.6</w:t>
            </w:r>
          </w:p>
        </w:tc>
        <w:tc>
          <w:tcPr>
            <w:tcW w:w="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9.6</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Provisions for Claims</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color w:val="231F20"/>
              </w:rPr>
              <w:t>7.9</w:t>
            </w:r>
          </w:p>
        </w:tc>
        <w:tc>
          <w:tcPr>
            <w:tcW w:w="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7.9</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Other Current Provisions</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color w:val="231F20"/>
              </w:rPr>
              <w:t>52.2</w:t>
            </w:r>
          </w:p>
        </w:tc>
        <w:tc>
          <w:tcPr>
            <w:tcW w:w="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52.3</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b w:val="1"/>
                <w:bCs w:val="1"/>
                <w:color w:val="2360A6"/>
              </w:rPr>
              <w:t>Total Current Provisions</w:t>
            </w:r>
          </w:p>
        </w:tc>
        <w:tc>
          <w:tcPr>
            <w:tcW w:w="1480" w:type="dxa"/>
            <w:vAlign w:val="bottom"/>
            <w:tcBorders>
              <w:bottom w:val="single" w:sz="8" w:color="2360A6"/>
              <w:right w:val="single" w:sz="8" w:color="2360A6"/>
            </w:tcBorders>
            <w:gridSpan w:val="2"/>
            <w:shd w:val="clear" w:color="auto" w:fill="EDEDEE"/>
          </w:tcPr>
          <w:p>
            <w:pPr>
              <w:jc w:val="right"/>
              <w:ind w:right="57"/>
              <w:spacing w:after="0"/>
              <w:rPr>
                <w:sz w:val="20"/>
                <w:szCs w:val="20"/>
                <w:color w:val="auto"/>
              </w:rPr>
            </w:pPr>
            <w:r>
              <w:rPr>
                <w:rFonts w:ascii="Arial" w:cs="Arial" w:eastAsia="Arial" w:hAnsi="Arial"/>
                <w:sz w:val="13"/>
                <w:szCs w:val="13"/>
                <w:b w:val="1"/>
                <w:bCs w:val="1"/>
                <w:color w:val="2360A6"/>
              </w:rPr>
              <w:t>433.7</w:t>
            </w:r>
          </w:p>
        </w:tc>
        <w:tc>
          <w:tcPr>
            <w:tcW w:w="100" w:type="dxa"/>
            <w:vAlign w:val="bottom"/>
            <w:tcBorders>
              <w:bottom w:val="single" w:sz="8" w:color="2360A6"/>
            </w:tcBorders>
          </w:tcPr>
          <w:p>
            <w:pPr>
              <w:spacing w:after="0"/>
              <w:rPr>
                <w:sz w:val="18"/>
                <w:szCs w:val="18"/>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416.5</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17.1</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0.1</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w:t>
            </w:r>
          </w:p>
        </w:tc>
        <w:tc>
          <w:tcPr>
            <w:tcW w:w="92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3"/>
                <w:szCs w:val="13"/>
                <w:b w:val="1"/>
                <w:bCs w:val="1"/>
                <w:color w:val="2360A6"/>
              </w:rPr>
              <w:t>—</w:t>
            </w: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3620" w:type="dxa"/>
            <w:vAlign w:val="bottom"/>
            <w:tcBorders>
              <w:bottom w:val="single" w:sz="8" w:color="2360A6"/>
              <w:right w:val="single" w:sz="8" w:color="2360A6"/>
            </w:tcBorders>
            <w:shd w:val="clear" w:color="auto" w:fill="D4DAEB"/>
          </w:tcPr>
          <w:p>
            <w:pPr>
              <w:ind w:left="20"/>
              <w:spacing w:after="0"/>
              <w:rPr>
                <w:sz w:val="20"/>
                <w:szCs w:val="20"/>
                <w:color w:val="auto"/>
              </w:rPr>
            </w:pPr>
            <w:r>
              <w:rPr>
                <w:rFonts w:ascii="Arial" w:cs="Arial" w:eastAsia="Arial" w:hAnsi="Arial"/>
                <w:sz w:val="13"/>
                <w:szCs w:val="13"/>
                <w:b w:val="1"/>
                <w:bCs w:val="1"/>
                <w:color w:val="2360A6"/>
              </w:rPr>
              <w:t>TOTAL PROVISIONS</w:t>
            </w:r>
          </w:p>
        </w:tc>
        <w:tc>
          <w:tcPr>
            <w:tcW w:w="1480" w:type="dxa"/>
            <w:vAlign w:val="bottom"/>
            <w:tcBorders>
              <w:bottom w:val="single" w:sz="8" w:color="2360A6"/>
              <w:right w:val="single" w:sz="8" w:color="2360A6"/>
            </w:tcBorders>
            <w:gridSpan w:val="2"/>
            <w:shd w:val="clear" w:color="auto" w:fill="D4DAEB"/>
          </w:tcPr>
          <w:p>
            <w:pPr>
              <w:jc w:val="right"/>
              <w:ind w:right="57"/>
              <w:spacing w:after="0"/>
              <w:rPr>
                <w:sz w:val="20"/>
                <w:szCs w:val="20"/>
                <w:color w:val="auto"/>
              </w:rPr>
            </w:pPr>
            <w:r>
              <w:rPr>
                <w:rFonts w:ascii="Arial" w:cs="Arial" w:eastAsia="Arial" w:hAnsi="Arial"/>
                <w:sz w:val="13"/>
                <w:szCs w:val="13"/>
                <w:b w:val="1"/>
                <w:bCs w:val="1"/>
                <w:color w:val="2360A6"/>
              </w:rPr>
              <w:t>675.7</w:t>
            </w:r>
          </w:p>
        </w:tc>
        <w:tc>
          <w:tcPr>
            <w:tcW w:w="100" w:type="dxa"/>
            <w:vAlign w:val="bottom"/>
            <w:tcBorders>
              <w:bottom w:val="single" w:sz="8" w:color="2360A6"/>
              <w:right w:val="single" w:sz="8" w:color="D4DAEB"/>
            </w:tcBorders>
            <w:shd w:val="clear" w:color="auto" w:fill="D4DAEB"/>
          </w:tcPr>
          <w:p>
            <w:pPr>
              <w:spacing w:after="0"/>
              <w:rPr>
                <w:sz w:val="18"/>
                <w:szCs w:val="18"/>
                <w:color w:val="auto"/>
              </w:rPr>
            </w:pPr>
          </w:p>
        </w:tc>
        <w:tc>
          <w:tcPr>
            <w:tcW w:w="740" w:type="dxa"/>
            <w:vAlign w:val="bottom"/>
            <w:tcBorders>
              <w:bottom w:val="single" w:sz="8" w:color="2360A6"/>
              <w:right w:val="single" w:sz="8" w:color="2360A6"/>
            </w:tcBorders>
            <w:shd w:val="clear" w:color="auto" w:fill="D4DAEB"/>
          </w:tcPr>
          <w:p>
            <w:pPr>
              <w:jc w:val="right"/>
              <w:ind w:right="57"/>
              <w:spacing w:after="0"/>
              <w:rPr>
                <w:sz w:val="20"/>
                <w:szCs w:val="20"/>
                <w:color w:val="auto"/>
              </w:rPr>
            </w:pPr>
            <w:r>
              <w:rPr>
                <w:rFonts w:ascii="Arial" w:cs="Arial" w:eastAsia="Arial" w:hAnsi="Arial"/>
                <w:sz w:val="13"/>
                <w:szCs w:val="13"/>
                <w:b w:val="1"/>
                <w:bCs w:val="1"/>
                <w:color w:val="2360A6"/>
              </w:rPr>
              <w:t>416.5</w:t>
            </w:r>
          </w:p>
        </w:tc>
        <w:tc>
          <w:tcPr>
            <w:tcW w:w="760" w:type="dxa"/>
            <w:vAlign w:val="bottom"/>
            <w:tcBorders>
              <w:bottom w:val="single" w:sz="8" w:color="2360A6"/>
              <w:right w:val="single" w:sz="8" w:color="2360A6"/>
            </w:tcBorders>
            <w:shd w:val="clear" w:color="auto" w:fill="D4DAEB"/>
          </w:tcPr>
          <w:p>
            <w:pPr>
              <w:jc w:val="right"/>
              <w:ind w:right="77"/>
              <w:spacing w:after="0"/>
              <w:rPr>
                <w:sz w:val="20"/>
                <w:szCs w:val="20"/>
                <w:color w:val="auto"/>
              </w:rPr>
            </w:pPr>
            <w:r>
              <w:rPr>
                <w:rFonts w:ascii="Arial" w:cs="Arial" w:eastAsia="Arial" w:hAnsi="Arial"/>
                <w:sz w:val="13"/>
                <w:szCs w:val="13"/>
                <w:b w:val="1"/>
                <w:bCs w:val="1"/>
                <w:color w:val="2360A6"/>
              </w:rPr>
              <w:t>76.7</w:t>
            </w:r>
          </w:p>
        </w:tc>
        <w:tc>
          <w:tcPr>
            <w:tcW w:w="740" w:type="dxa"/>
            <w:vAlign w:val="bottom"/>
            <w:tcBorders>
              <w:bottom w:val="single" w:sz="8" w:color="2360A6"/>
              <w:right w:val="single" w:sz="8" w:color="2360A6"/>
            </w:tcBorders>
            <w:shd w:val="clear" w:color="auto" w:fill="D4DAEB"/>
          </w:tcPr>
          <w:p>
            <w:pPr>
              <w:jc w:val="right"/>
              <w:ind w:right="77"/>
              <w:spacing w:after="0"/>
              <w:rPr>
                <w:sz w:val="20"/>
                <w:szCs w:val="20"/>
                <w:color w:val="auto"/>
              </w:rPr>
            </w:pPr>
            <w:r>
              <w:rPr>
                <w:rFonts w:ascii="Arial" w:cs="Arial" w:eastAsia="Arial" w:hAnsi="Arial"/>
                <w:sz w:val="13"/>
                <w:szCs w:val="13"/>
                <w:b w:val="1"/>
                <w:bCs w:val="1"/>
                <w:color w:val="2360A6"/>
              </w:rPr>
              <w:t>23.8</w:t>
            </w:r>
          </w:p>
        </w:tc>
        <w:tc>
          <w:tcPr>
            <w:tcW w:w="740" w:type="dxa"/>
            <w:vAlign w:val="bottom"/>
            <w:tcBorders>
              <w:bottom w:val="single" w:sz="8" w:color="2360A6"/>
              <w:right w:val="single" w:sz="8" w:color="2360A6"/>
            </w:tcBorders>
            <w:shd w:val="clear" w:color="auto" w:fill="D4DAEB"/>
          </w:tcPr>
          <w:p>
            <w:pPr>
              <w:jc w:val="right"/>
              <w:ind w:right="77"/>
              <w:spacing w:after="0"/>
              <w:rPr>
                <w:sz w:val="20"/>
                <w:szCs w:val="20"/>
                <w:color w:val="auto"/>
              </w:rPr>
            </w:pPr>
            <w:r>
              <w:rPr>
                <w:rFonts w:ascii="Arial" w:cs="Arial" w:eastAsia="Arial" w:hAnsi="Arial"/>
                <w:sz w:val="13"/>
                <w:szCs w:val="13"/>
                <w:b w:val="1"/>
                <w:bCs w:val="1"/>
                <w:color w:val="2360A6"/>
              </w:rPr>
              <w:t>17.0</w:t>
            </w:r>
          </w:p>
        </w:tc>
        <w:tc>
          <w:tcPr>
            <w:tcW w:w="740" w:type="dxa"/>
            <w:vAlign w:val="bottom"/>
            <w:tcBorders>
              <w:bottom w:val="single" w:sz="8" w:color="2360A6"/>
              <w:right w:val="single" w:sz="8" w:color="2360A6"/>
            </w:tcBorders>
            <w:shd w:val="clear" w:color="auto" w:fill="D4DAEB"/>
          </w:tcPr>
          <w:p>
            <w:pPr>
              <w:jc w:val="right"/>
              <w:ind w:right="57"/>
              <w:spacing w:after="0"/>
              <w:rPr>
                <w:sz w:val="20"/>
                <w:szCs w:val="20"/>
                <w:color w:val="auto"/>
              </w:rPr>
            </w:pPr>
            <w:r>
              <w:rPr>
                <w:rFonts w:ascii="Arial" w:cs="Arial" w:eastAsia="Arial" w:hAnsi="Arial"/>
                <w:sz w:val="13"/>
                <w:szCs w:val="13"/>
                <w:b w:val="1"/>
                <w:bCs w:val="1"/>
                <w:color w:val="2360A6"/>
              </w:rPr>
              <w:t>15.2</w:t>
            </w:r>
          </w:p>
        </w:tc>
        <w:tc>
          <w:tcPr>
            <w:tcW w:w="740" w:type="dxa"/>
            <w:vAlign w:val="bottom"/>
            <w:tcBorders>
              <w:bottom w:val="single" w:sz="8" w:color="2360A6"/>
              <w:right w:val="single" w:sz="8" w:color="2360A6"/>
            </w:tcBorders>
            <w:shd w:val="clear" w:color="auto" w:fill="D4DAEB"/>
          </w:tcPr>
          <w:p>
            <w:pPr>
              <w:jc w:val="right"/>
              <w:ind w:right="57"/>
              <w:spacing w:after="0"/>
              <w:rPr>
                <w:sz w:val="20"/>
                <w:szCs w:val="20"/>
                <w:color w:val="auto"/>
              </w:rPr>
            </w:pPr>
            <w:r>
              <w:rPr>
                <w:rFonts w:ascii="Arial" w:cs="Arial" w:eastAsia="Arial" w:hAnsi="Arial"/>
                <w:sz w:val="13"/>
                <w:szCs w:val="13"/>
                <w:b w:val="1"/>
                <w:bCs w:val="1"/>
                <w:color w:val="2360A6"/>
              </w:rPr>
              <w:t>13.0</w:t>
            </w:r>
          </w:p>
        </w:tc>
        <w:tc>
          <w:tcPr>
            <w:tcW w:w="880" w:type="dxa"/>
            <w:vAlign w:val="bottom"/>
            <w:tcBorders>
              <w:bottom w:val="single" w:sz="8" w:color="2360A6"/>
            </w:tcBorders>
            <w:shd w:val="clear" w:color="auto" w:fill="D4DAEB"/>
          </w:tcPr>
          <w:p>
            <w:pPr>
              <w:jc w:val="right"/>
              <w:ind w:right="17"/>
              <w:spacing w:after="0"/>
              <w:rPr>
                <w:sz w:val="20"/>
                <w:szCs w:val="20"/>
                <w:color w:val="auto"/>
              </w:rPr>
            </w:pPr>
            <w:r>
              <w:rPr>
                <w:rFonts w:ascii="Arial" w:cs="Arial" w:eastAsia="Arial" w:hAnsi="Arial"/>
                <w:sz w:val="13"/>
                <w:szCs w:val="13"/>
                <w:b w:val="1"/>
                <w:bCs w:val="1"/>
                <w:color w:val="2360A6"/>
              </w:rPr>
              <w:t>113.5</w:t>
            </w:r>
          </w:p>
        </w:tc>
        <w:tc>
          <w:tcPr>
            <w:tcW w:w="40" w:type="dxa"/>
            <w:vAlign w:val="bottom"/>
            <w:tcBorders>
              <w:bottom w:val="single" w:sz="8" w:color="2360A6"/>
              <w:right w:val="single" w:sz="8" w:color="2360A6"/>
            </w:tcBorders>
            <w:shd w:val="clear" w:color="auto" w:fill="D4DAEB"/>
          </w:tcPr>
          <w:p>
            <w:pPr>
              <w:spacing w:after="0"/>
              <w:rPr>
                <w:sz w:val="18"/>
                <w:szCs w:val="18"/>
                <w:color w:val="auto"/>
              </w:rPr>
            </w:pPr>
          </w:p>
        </w:tc>
      </w:tr>
      <w:tr>
        <w:trPr>
          <w:trHeight w:val="183"/>
        </w:trPr>
        <w:tc>
          <w:tcPr>
            <w:tcW w:w="20" w:type="dxa"/>
            <w:vAlign w:val="bottom"/>
            <w:tcBorders>
              <w:bottom w:val="single" w:sz="8" w:color="2360A6"/>
            </w:tcBorders>
            <w:shd w:val="clear" w:color="auto" w:fill="2360A6"/>
          </w:tcPr>
          <w:p>
            <w:pPr>
              <w:spacing w:after="0"/>
              <w:rPr>
                <w:sz w:val="15"/>
                <w:szCs w:val="15"/>
                <w:color w:val="auto"/>
              </w:rPr>
            </w:pPr>
          </w:p>
        </w:tc>
        <w:tc>
          <w:tcPr>
            <w:tcW w:w="8920" w:type="dxa"/>
            <w:vAlign w:val="bottom"/>
            <w:tcBorders>
              <w:bottom w:val="single" w:sz="8" w:color="2360A6"/>
            </w:tcBorders>
            <w:gridSpan w:val="9"/>
          </w:tcPr>
          <w:p>
            <w:pPr>
              <w:ind w:left="20"/>
              <w:spacing w:after="0"/>
              <w:rPr>
                <w:sz w:val="20"/>
                <w:szCs w:val="20"/>
                <w:color w:val="auto"/>
              </w:rPr>
            </w:pPr>
            <w:r>
              <w:rPr>
                <w:rFonts w:ascii="Arial" w:cs="Arial" w:eastAsia="Arial" w:hAnsi="Arial"/>
                <w:sz w:val="13"/>
                <w:szCs w:val="13"/>
                <w:color w:val="231F20"/>
                <w:w w:val="98"/>
              </w:rPr>
              <w:t>(1) Provisions for contingencies related to contracts which maturity cannot be precisely determined are usually presented in the less than one-year category.</w:t>
            </w:r>
          </w:p>
        </w:tc>
        <w:tc>
          <w:tcPr>
            <w:tcW w:w="740" w:type="dxa"/>
            <w:vAlign w:val="bottom"/>
            <w:tcBorders>
              <w:bottom w:val="single" w:sz="8" w:color="2360A6"/>
            </w:tcBorders>
          </w:tcPr>
          <w:p>
            <w:pPr>
              <w:spacing w:after="0"/>
              <w:rPr>
                <w:sz w:val="15"/>
                <w:szCs w:val="15"/>
                <w:color w:val="auto"/>
              </w:rPr>
            </w:pPr>
          </w:p>
        </w:tc>
        <w:tc>
          <w:tcPr>
            <w:tcW w:w="880" w:type="dxa"/>
            <w:vAlign w:val="bottom"/>
            <w:tcBorders>
              <w:bottom w:val="single" w:sz="8" w:color="2360A6"/>
            </w:tcBorders>
          </w:tcPr>
          <w:p>
            <w:pPr>
              <w:spacing w:after="0"/>
              <w:rPr>
                <w:sz w:val="15"/>
                <w:szCs w:val="15"/>
                <w:color w:val="auto"/>
              </w:rPr>
            </w:pPr>
          </w:p>
        </w:tc>
        <w:tc>
          <w:tcPr>
            <w:tcW w:w="40" w:type="dxa"/>
            <w:vAlign w:val="bottom"/>
            <w:tcBorders>
              <w:bottom w:val="single" w:sz="8" w:color="2360A6"/>
              <w:right w:val="single" w:sz="8" w:color="2360A6"/>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3620" w:type="dxa"/>
            <w:vAlign w:val="bottom"/>
            <w:tcBorders>
              <w:bottom w:val="single" w:sz="8" w:color="2360A6"/>
            </w:tcBorders>
          </w:tcPr>
          <w:p>
            <w:pPr>
              <w:spacing w:after="0"/>
              <w:rPr>
                <w:sz w:val="11"/>
                <w:szCs w:val="11"/>
                <w:color w:val="auto"/>
              </w:rPr>
            </w:pPr>
          </w:p>
        </w:tc>
        <w:tc>
          <w:tcPr>
            <w:tcW w:w="200" w:type="dxa"/>
            <w:vAlign w:val="bottom"/>
            <w:tcBorders>
              <w:bottom w:val="single" w:sz="8" w:color="2360A6"/>
            </w:tcBorders>
          </w:tcPr>
          <w:p>
            <w:pPr>
              <w:spacing w:after="0"/>
              <w:rPr>
                <w:sz w:val="11"/>
                <w:szCs w:val="11"/>
                <w:color w:val="auto"/>
              </w:rPr>
            </w:pPr>
          </w:p>
        </w:tc>
        <w:tc>
          <w:tcPr>
            <w:tcW w:w="1380" w:type="dxa"/>
            <w:vAlign w:val="bottom"/>
            <w:tcBorders>
              <w:bottom w:val="single" w:sz="8" w:color="2360A6"/>
            </w:tcBorders>
            <w:gridSpan w:val="2"/>
          </w:tcPr>
          <w:p>
            <w:pPr>
              <w:spacing w:after="0"/>
              <w:rPr>
                <w:sz w:val="11"/>
                <w:szCs w:val="11"/>
                <w:color w:val="auto"/>
              </w:rPr>
            </w:pPr>
          </w:p>
        </w:tc>
        <w:tc>
          <w:tcPr>
            <w:tcW w:w="740" w:type="dxa"/>
            <w:vAlign w:val="bottom"/>
            <w:tcBorders>
              <w:bottom w:val="single" w:sz="8" w:color="2360A6"/>
            </w:tcBorders>
          </w:tcPr>
          <w:p>
            <w:pPr>
              <w:spacing w:after="0"/>
              <w:rPr>
                <w:sz w:val="11"/>
                <w:szCs w:val="11"/>
                <w:color w:val="auto"/>
              </w:rPr>
            </w:pPr>
          </w:p>
        </w:tc>
        <w:tc>
          <w:tcPr>
            <w:tcW w:w="760" w:type="dxa"/>
            <w:vAlign w:val="bottom"/>
            <w:tcBorders>
              <w:bottom w:val="single" w:sz="8" w:color="2360A6"/>
            </w:tcBorders>
          </w:tcPr>
          <w:p>
            <w:pPr>
              <w:spacing w:after="0"/>
              <w:rPr>
                <w:sz w:val="11"/>
                <w:szCs w:val="11"/>
                <w:color w:val="auto"/>
              </w:rPr>
            </w:pPr>
          </w:p>
        </w:tc>
        <w:tc>
          <w:tcPr>
            <w:tcW w:w="740" w:type="dxa"/>
            <w:vAlign w:val="bottom"/>
            <w:tcBorders>
              <w:bottom w:val="single" w:sz="8" w:color="2360A6"/>
            </w:tcBorders>
          </w:tcPr>
          <w:p>
            <w:pPr>
              <w:spacing w:after="0"/>
              <w:rPr>
                <w:sz w:val="11"/>
                <w:szCs w:val="11"/>
                <w:color w:val="auto"/>
              </w:rPr>
            </w:pPr>
          </w:p>
        </w:tc>
        <w:tc>
          <w:tcPr>
            <w:tcW w:w="740" w:type="dxa"/>
            <w:vAlign w:val="bottom"/>
            <w:tcBorders>
              <w:bottom w:val="single" w:sz="8" w:color="2360A6"/>
            </w:tcBorders>
          </w:tcPr>
          <w:p>
            <w:pPr>
              <w:spacing w:after="0"/>
              <w:rPr>
                <w:sz w:val="11"/>
                <w:szCs w:val="11"/>
                <w:color w:val="auto"/>
              </w:rPr>
            </w:pPr>
          </w:p>
        </w:tc>
        <w:tc>
          <w:tcPr>
            <w:tcW w:w="740" w:type="dxa"/>
            <w:vAlign w:val="bottom"/>
            <w:tcBorders>
              <w:bottom w:val="single" w:sz="8" w:color="2360A6"/>
            </w:tcBorders>
          </w:tcPr>
          <w:p>
            <w:pPr>
              <w:spacing w:after="0"/>
              <w:rPr>
                <w:sz w:val="11"/>
                <w:szCs w:val="11"/>
                <w:color w:val="auto"/>
              </w:rPr>
            </w:pPr>
          </w:p>
        </w:tc>
        <w:tc>
          <w:tcPr>
            <w:tcW w:w="740" w:type="dxa"/>
            <w:vAlign w:val="bottom"/>
            <w:tcBorders>
              <w:bottom w:val="single" w:sz="8" w:color="2360A6"/>
            </w:tcBorders>
          </w:tcPr>
          <w:p>
            <w:pPr>
              <w:spacing w:after="0"/>
              <w:rPr>
                <w:sz w:val="11"/>
                <w:szCs w:val="11"/>
                <w:color w:val="auto"/>
              </w:rPr>
            </w:pPr>
          </w:p>
        </w:tc>
        <w:tc>
          <w:tcPr>
            <w:tcW w:w="880" w:type="dxa"/>
            <w:vAlign w:val="bottom"/>
            <w:tcBorders>
              <w:bottom w:val="single" w:sz="8" w:color="2360A6"/>
            </w:tcBorders>
          </w:tcPr>
          <w:p>
            <w:pPr>
              <w:spacing w:after="0"/>
              <w:rPr>
                <w:sz w:val="11"/>
                <w:szCs w:val="11"/>
                <w:color w:val="auto"/>
              </w:rPr>
            </w:pPr>
          </w:p>
        </w:tc>
        <w:tc>
          <w:tcPr>
            <w:tcW w:w="40" w:type="dxa"/>
            <w:vAlign w:val="bottom"/>
            <w:tcBorders>
              <w:bottom w:val="single" w:sz="8" w:color="2360A6"/>
            </w:tcBorders>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00" w:type="dxa"/>
            <w:vAlign w:val="bottom"/>
            <w:tcBorders>
              <w:right w:val="single" w:sz="8" w:color="2360A6"/>
            </w:tcBorders>
          </w:tcPr>
          <w:p>
            <w:pPr>
              <w:spacing w:after="0"/>
              <w:rPr>
                <w:sz w:val="11"/>
                <w:szCs w:val="11"/>
                <w:color w:val="auto"/>
              </w:rPr>
            </w:pPr>
          </w:p>
        </w:tc>
        <w:tc>
          <w:tcPr>
            <w:tcW w:w="1380" w:type="dxa"/>
            <w:vAlign w:val="bottom"/>
            <w:tcBorders>
              <w:right w:val="single" w:sz="8" w:color="2360A6"/>
            </w:tcBorders>
            <w:gridSpan w:val="2"/>
            <w:shd w:val="clear" w:color="auto" w:fill="EDEDEE"/>
          </w:tcPr>
          <w:p>
            <w:pPr>
              <w:jc w:val="right"/>
              <w:ind w:right="40"/>
              <w:spacing w:after="0" w:line="134" w:lineRule="exact"/>
              <w:rPr>
                <w:sz w:val="20"/>
                <w:szCs w:val="20"/>
                <w:color w:val="auto"/>
              </w:rPr>
            </w:pPr>
            <w:r>
              <w:rPr>
                <w:rFonts w:ascii="Arial" w:cs="Arial" w:eastAsia="Arial" w:hAnsi="Arial"/>
                <w:sz w:val="13"/>
                <w:szCs w:val="13"/>
                <w:b w:val="1"/>
                <w:bCs w:val="1"/>
                <w:color w:val="2360A6"/>
              </w:rPr>
              <w:t>As of 31</w:t>
            </w:r>
          </w:p>
        </w:tc>
        <w:tc>
          <w:tcPr>
            <w:tcW w:w="740" w:type="dxa"/>
            <w:vAlign w:val="bottom"/>
            <w:tcBorders>
              <w:right w:val="single" w:sz="8" w:color="2360A6"/>
            </w:tcBorders>
          </w:tcPr>
          <w:p>
            <w:pPr>
              <w:spacing w:after="0"/>
              <w:rPr>
                <w:sz w:val="11"/>
                <w:szCs w:val="11"/>
                <w:color w:val="auto"/>
              </w:rPr>
            </w:pPr>
          </w:p>
        </w:tc>
        <w:tc>
          <w:tcPr>
            <w:tcW w:w="760" w:type="dxa"/>
            <w:vAlign w:val="bottom"/>
            <w:tcBorders>
              <w:right w:val="single" w:sz="8" w:color="2360A6"/>
            </w:tcBorders>
          </w:tcPr>
          <w:p>
            <w:pPr>
              <w:spacing w:after="0"/>
              <w:rPr>
                <w:sz w:val="11"/>
                <w:szCs w:val="11"/>
                <w:color w:val="auto"/>
              </w:rPr>
            </w:pPr>
          </w:p>
        </w:tc>
        <w:tc>
          <w:tcPr>
            <w:tcW w:w="740" w:type="dxa"/>
            <w:vAlign w:val="bottom"/>
            <w:tcBorders>
              <w:right w:val="single" w:sz="8" w:color="2360A6"/>
            </w:tcBorders>
          </w:tcPr>
          <w:p>
            <w:pPr>
              <w:spacing w:after="0"/>
              <w:rPr>
                <w:sz w:val="11"/>
                <w:szCs w:val="11"/>
                <w:color w:val="auto"/>
              </w:rPr>
            </w:pPr>
          </w:p>
        </w:tc>
        <w:tc>
          <w:tcPr>
            <w:tcW w:w="740" w:type="dxa"/>
            <w:vAlign w:val="bottom"/>
            <w:tcBorders>
              <w:right w:val="single" w:sz="8" w:color="2360A6"/>
            </w:tcBorders>
          </w:tcPr>
          <w:p>
            <w:pPr>
              <w:spacing w:after="0"/>
              <w:rPr>
                <w:sz w:val="11"/>
                <w:szCs w:val="11"/>
                <w:color w:val="auto"/>
              </w:rPr>
            </w:pPr>
          </w:p>
        </w:tc>
        <w:tc>
          <w:tcPr>
            <w:tcW w:w="740" w:type="dxa"/>
            <w:vAlign w:val="bottom"/>
            <w:tcBorders>
              <w:right w:val="single" w:sz="8" w:color="2360A6"/>
            </w:tcBorders>
          </w:tcPr>
          <w:p>
            <w:pPr>
              <w:spacing w:after="0"/>
              <w:rPr>
                <w:sz w:val="11"/>
                <w:szCs w:val="11"/>
                <w:color w:val="auto"/>
              </w:rPr>
            </w:pPr>
          </w:p>
        </w:tc>
        <w:tc>
          <w:tcPr>
            <w:tcW w:w="740" w:type="dxa"/>
            <w:vAlign w:val="bottom"/>
            <w:tcBorders>
              <w:right w:val="single" w:sz="8" w:color="2360A6"/>
            </w:tcBorders>
          </w:tcPr>
          <w:p>
            <w:pPr>
              <w:spacing w:after="0"/>
              <w:rPr>
                <w:sz w:val="11"/>
                <w:szCs w:val="11"/>
                <w:color w:val="auto"/>
              </w:rPr>
            </w:pPr>
          </w:p>
        </w:tc>
        <w:tc>
          <w:tcPr>
            <w:tcW w:w="920" w:type="dxa"/>
            <w:vAlign w:val="bottom"/>
            <w:gridSpan w:val="2"/>
          </w:tcPr>
          <w:p>
            <w:pPr>
              <w:jc w:val="right"/>
              <w:ind w:right="120"/>
              <w:spacing w:after="0" w:line="134" w:lineRule="exact"/>
              <w:rPr>
                <w:sz w:val="20"/>
                <w:szCs w:val="20"/>
                <w:color w:val="auto"/>
              </w:rPr>
            </w:pPr>
            <w:r>
              <w:rPr>
                <w:rFonts w:ascii="Arial" w:cs="Arial" w:eastAsia="Arial" w:hAnsi="Arial"/>
                <w:sz w:val="13"/>
                <w:szCs w:val="13"/>
                <w:b w:val="1"/>
                <w:bCs w:val="1"/>
                <w:color w:val="2360A6"/>
              </w:rPr>
              <w:t>2021 and</w:t>
            </w:r>
          </w:p>
        </w:tc>
      </w:tr>
      <w:tr>
        <w:trPr>
          <w:trHeight w:val="178"/>
        </w:trPr>
        <w:tc>
          <w:tcPr>
            <w:tcW w:w="20" w:type="dxa"/>
            <w:vAlign w:val="bottom"/>
          </w:tcPr>
          <w:p>
            <w:pPr>
              <w:spacing w:after="0"/>
              <w:rPr>
                <w:sz w:val="15"/>
                <w:szCs w:val="15"/>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i w:val="1"/>
                <w:iCs w:val="1"/>
                <w:color w:val="auto"/>
              </w:rPr>
              <w:t>In millions of Euro</w:t>
            </w:r>
          </w:p>
        </w:tc>
        <w:tc>
          <w:tcPr>
            <w:tcW w:w="200" w:type="dxa"/>
            <w:vAlign w:val="bottom"/>
            <w:tcBorders>
              <w:bottom w:val="single" w:sz="8" w:color="2360A6"/>
              <w:right w:val="single" w:sz="8" w:color="2360A6"/>
            </w:tcBorders>
          </w:tcPr>
          <w:p>
            <w:pPr>
              <w:spacing w:after="0"/>
              <w:rPr>
                <w:sz w:val="15"/>
                <w:szCs w:val="15"/>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b w:val="1"/>
                <w:bCs w:val="1"/>
                <w:color w:val="2360A6"/>
              </w:rPr>
              <w:t>December, 2014</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2015</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2016</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2017</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2018</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2019</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2020</w:t>
            </w:r>
          </w:p>
        </w:tc>
        <w:tc>
          <w:tcPr>
            <w:tcW w:w="920" w:type="dxa"/>
            <w:vAlign w:val="bottom"/>
            <w:tcBorders>
              <w:bottom w:val="single" w:sz="8" w:color="2360A6"/>
            </w:tcBorders>
            <w:gridSpan w:val="2"/>
          </w:tcPr>
          <w:p>
            <w:pPr>
              <w:jc w:val="right"/>
              <w:ind w:right="120"/>
              <w:spacing w:after="0"/>
              <w:rPr>
                <w:sz w:val="20"/>
                <w:szCs w:val="20"/>
                <w:color w:val="auto"/>
              </w:rPr>
            </w:pPr>
            <w:r>
              <w:rPr>
                <w:rFonts w:ascii="Arial" w:cs="Arial" w:eastAsia="Arial" w:hAnsi="Arial"/>
                <w:sz w:val="13"/>
                <w:szCs w:val="13"/>
                <w:b w:val="1"/>
                <w:bCs w:val="1"/>
                <w:color w:val="2360A6"/>
              </w:rPr>
              <w:t>beyond</w:t>
            </w:r>
          </w:p>
        </w:tc>
      </w:tr>
      <w:tr>
        <w:trPr>
          <w:trHeight w:val="156"/>
        </w:trPr>
        <w:tc>
          <w:tcPr>
            <w:tcW w:w="20" w:type="dxa"/>
            <w:vAlign w:val="bottom"/>
          </w:tcPr>
          <w:p>
            <w:pPr>
              <w:spacing w:after="0"/>
              <w:rPr>
                <w:sz w:val="13"/>
                <w:szCs w:val="13"/>
                <w:color w:val="auto"/>
              </w:rPr>
            </w:pPr>
          </w:p>
        </w:tc>
        <w:tc>
          <w:tcPr>
            <w:tcW w:w="3620" w:type="dxa"/>
            <w:vAlign w:val="bottom"/>
          </w:tcPr>
          <w:p>
            <w:pPr>
              <w:ind w:left="40"/>
              <w:spacing w:after="0"/>
              <w:rPr>
                <w:sz w:val="20"/>
                <w:szCs w:val="20"/>
                <w:color w:val="auto"/>
              </w:rPr>
            </w:pPr>
            <w:r>
              <w:rPr>
                <w:rFonts w:ascii="Arial" w:cs="Arial" w:eastAsia="Arial" w:hAnsi="Arial"/>
                <w:sz w:val="13"/>
                <w:szCs w:val="13"/>
                <w:color w:val="231F20"/>
              </w:rPr>
              <w:t>Pensions and other Long-Term</w:t>
            </w:r>
          </w:p>
        </w:tc>
        <w:tc>
          <w:tcPr>
            <w:tcW w:w="200" w:type="dxa"/>
            <w:vAlign w:val="bottom"/>
            <w:tcBorders>
              <w:right w:val="single" w:sz="8" w:color="2360A6"/>
            </w:tcBorders>
          </w:tcPr>
          <w:p>
            <w:pPr>
              <w:spacing w:after="0"/>
              <w:rPr>
                <w:sz w:val="13"/>
                <w:szCs w:val="13"/>
                <w:color w:val="auto"/>
              </w:rPr>
            </w:pPr>
          </w:p>
        </w:tc>
        <w:tc>
          <w:tcPr>
            <w:tcW w:w="1280" w:type="dxa"/>
            <w:vAlign w:val="bottom"/>
            <w:tcBorders>
              <w:right w:val="single" w:sz="8" w:color="EDEDEE"/>
            </w:tcBorders>
            <w:shd w:val="clear" w:color="auto" w:fill="EDEDEE"/>
          </w:tcPr>
          <w:p>
            <w:pPr>
              <w:spacing w:after="0"/>
              <w:rPr>
                <w:sz w:val="13"/>
                <w:szCs w:val="13"/>
                <w:color w:val="auto"/>
              </w:rPr>
            </w:pPr>
          </w:p>
        </w:tc>
        <w:tc>
          <w:tcPr>
            <w:tcW w:w="100" w:type="dxa"/>
            <w:vAlign w:val="bottom"/>
            <w:tcBorders>
              <w:right w:val="single" w:sz="8" w:color="2360A6"/>
            </w:tcBorders>
            <w:shd w:val="clear" w:color="auto" w:fill="EDEDEE"/>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6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color w:val="231F20"/>
              </w:rPr>
              <w:t>Employee Benefits</w:t>
            </w:r>
          </w:p>
        </w:tc>
        <w:tc>
          <w:tcPr>
            <w:tcW w:w="200" w:type="dxa"/>
            <w:vAlign w:val="bottom"/>
            <w:tcBorders>
              <w:bottom w:val="single" w:sz="8" w:color="2360A6"/>
              <w:right w:val="single" w:sz="8" w:color="2360A6"/>
            </w:tcBorders>
          </w:tcPr>
          <w:p>
            <w:pPr>
              <w:spacing w:after="0"/>
              <w:rPr>
                <w:sz w:val="14"/>
                <w:szCs w:val="14"/>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color w:val="231F20"/>
              </w:rPr>
              <w:t>216.5</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53.4</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16.3</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11.5</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11.5</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13.4</w:t>
            </w:r>
          </w:p>
        </w:tc>
        <w:tc>
          <w:tcPr>
            <w:tcW w:w="88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110.4</w:t>
            </w:r>
          </w:p>
        </w:tc>
        <w:tc>
          <w:tcPr>
            <w:tcW w:w="40" w:type="dxa"/>
            <w:vAlign w:val="bottom"/>
            <w:tcBorders>
              <w:bottom w:val="single" w:sz="8" w:color="2360A6"/>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color w:val="231F20"/>
              </w:rPr>
              <w:t>Tax</w:t>
            </w:r>
          </w:p>
        </w:tc>
        <w:tc>
          <w:tcPr>
            <w:tcW w:w="20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color w:val="231F20"/>
              </w:rPr>
              <w:t>0.8</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0.8</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Pr>
          <w:p>
            <w:pPr>
              <w:spacing w:after="0"/>
              <w:rPr>
                <w:sz w:val="18"/>
                <w:szCs w:val="18"/>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color w:val="231F20"/>
              </w:rPr>
              <w:t>Litigation</w:t>
            </w:r>
          </w:p>
        </w:tc>
        <w:tc>
          <w:tcPr>
            <w:tcW w:w="20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color w:val="231F20"/>
              </w:rPr>
              <w:t>2.3</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2.3</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156"/>
        </w:trPr>
        <w:tc>
          <w:tcPr>
            <w:tcW w:w="20" w:type="dxa"/>
            <w:vAlign w:val="bottom"/>
          </w:tcPr>
          <w:p>
            <w:pPr>
              <w:spacing w:after="0"/>
              <w:rPr>
                <w:sz w:val="13"/>
                <w:szCs w:val="13"/>
                <w:color w:val="auto"/>
              </w:rPr>
            </w:pPr>
          </w:p>
        </w:tc>
        <w:tc>
          <w:tcPr>
            <w:tcW w:w="3620" w:type="dxa"/>
            <w:vAlign w:val="bottom"/>
          </w:tcPr>
          <w:p>
            <w:pPr>
              <w:ind w:left="40"/>
              <w:spacing w:after="0"/>
              <w:rPr>
                <w:sz w:val="20"/>
                <w:szCs w:val="20"/>
                <w:color w:val="auto"/>
              </w:rPr>
            </w:pPr>
            <w:r>
              <w:rPr>
                <w:rFonts w:ascii="Arial" w:cs="Arial" w:eastAsia="Arial" w:hAnsi="Arial"/>
                <w:sz w:val="13"/>
                <w:szCs w:val="13"/>
                <w:color w:val="231F20"/>
              </w:rPr>
              <w:t>Provisions for Claims Incurred but not</w:t>
            </w:r>
          </w:p>
        </w:tc>
        <w:tc>
          <w:tcPr>
            <w:tcW w:w="200" w:type="dxa"/>
            <w:vAlign w:val="bottom"/>
            <w:tcBorders>
              <w:right w:val="single" w:sz="8" w:color="2360A6"/>
            </w:tcBorders>
          </w:tcPr>
          <w:p>
            <w:pPr>
              <w:spacing w:after="0"/>
              <w:rPr>
                <w:sz w:val="13"/>
                <w:szCs w:val="13"/>
                <w:color w:val="auto"/>
              </w:rPr>
            </w:pPr>
          </w:p>
        </w:tc>
        <w:tc>
          <w:tcPr>
            <w:tcW w:w="1280" w:type="dxa"/>
            <w:vAlign w:val="bottom"/>
            <w:tcBorders>
              <w:right w:val="single" w:sz="8" w:color="EDEDEE"/>
            </w:tcBorders>
            <w:shd w:val="clear" w:color="auto" w:fill="EDEDEE"/>
          </w:tcPr>
          <w:p>
            <w:pPr>
              <w:spacing w:after="0"/>
              <w:rPr>
                <w:sz w:val="13"/>
                <w:szCs w:val="13"/>
                <w:color w:val="auto"/>
              </w:rPr>
            </w:pPr>
          </w:p>
        </w:tc>
        <w:tc>
          <w:tcPr>
            <w:tcW w:w="100" w:type="dxa"/>
            <w:vAlign w:val="bottom"/>
            <w:tcBorders>
              <w:right w:val="single" w:sz="8" w:color="2360A6"/>
            </w:tcBorders>
            <w:shd w:val="clear" w:color="auto" w:fill="EDEDEE"/>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6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color w:val="231F20"/>
              </w:rPr>
              <w:t>Reported</w:t>
            </w:r>
          </w:p>
        </w:tc>
        <w:tc>
          <w:tcPr>
            <w:tcW w:w="200" w:type="dxa"/>
            <w:vAlign w:val="bottom"/>
            <w:tcBorders>
              <w:bottom w:val="single" w:sz="8" w:color="2360A6"/>
              <w:right w:val="single" w:sz="8" w:color="2360A6"/>
            </w:tcBorders>
          </w:tcPr>
          <w:p>
            <w:pPr>
              <w:spacing w:after="0"/>
              <w:rPr>
                <w:sz w:val="14"/>
                <w:szCs w:val="14"/>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color w:val="231F20"/>
              </w:rPr>
              <w:t>8.0</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8.0</w:t>
            </w:r>
          </w:p>
        </w:tc>
        <w:tc>
          <w:tcPr>
            <w:tcW w:w="40" w:type="dxa"/>
            <w:vAlign w:val="bottom"/>
            <w:tcBorders>
              <w:bottom w:val="single" w:sz="8" w:color="2360A6"/>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color w:val="231F20"/>
              </w:rPr>
              <w:t>Other Non-Current Provisions</w:t>
            </w:r>
          </w:p>
        </w:tc>
        <w:tc>
          <w:tcPr>
            <w:tcW w:w="20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color w:val="231F20"/>
              </w:rPr>
              <w:t>4.0</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1.7</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0.2</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0.1</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1.6</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0.4</w:t>
            </w:r>
          </w:p>
        </w:tc>
        <w:tc>
          <w:tcPr>
            <w:tcW w:w="40" w:type="dxa"/>
            <w:vAlign w:val="bottom"/>
            <w:tcBorders>
              <w:bottom w:val="single" w:sz="8" w:color="2360A6"/>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b w:val="1"/>
                <w:bCs w:val="1"/>
                <w:color w:val="2360A6"/>
              </w:rPr>
              <w:t>Total Non-Current Provisions</w:t>
            </w:r>
          </w:p>
        </w:tc>
        <w:tc>
          <w:tcPr>
            <w:tcW w:w="20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b w:val="1"/>
                <w:bCs w:val="1"/>
                <w:color w:val="2360A6"/>
              </w:rPr>
              <w:t>231.6</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58.2</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16.5</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11.6</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13.1</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13.4</w:t>
            </w:r>
          </w:p>
        </w:tc>
        <w:tc>
          <w:tcPr>
            <w:tcW w:w="88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118.8</w:t>
            </w:r>
          </w:p>
        </w:tc>
        <w:tc>
          <w:tcPr>
            <w:tcW w:w="40" w:type="dxa"/>
            <w:vAlign w:val="bottom"/>
            <w:tcBorders>
              <w:bottom w:val="single" w:sz="8" w:color="2360A6"/>
            </w:tcBorders>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3620" w:type="dxa"/>
            <w:vAlign w:val="bottom"/>
          </w:tcPr>
          <w:p>
            <w:pPr>
              <w:ind w:left="40"/>
              <w:spacing w:after="0"/>
              <w:rPr>
                <w:sz w:val="20"/>
                <w:szCs w:val="20"/>
                <w:color w:val="auto"/>
              </w:rPr>
            </w:pPr>
            <w:r>
              <w:rPr>
                <w:rFonts w:ascii="Arial" w:cs="Arial" w:eastAsia="Arial" w:hAnsi="Arial"/>
                <w:sz w:val="13"/>
                <w:szCs w:val="13"/>
                <w:color w:val="231F20"/>
              </w:rPr>
              <w:t>Pensions and other Long-Term</w:t>
            </w:r>
          </w:p>
        </w:tc>
        <w:tc>
          <w:tcPr>
            <w:tcW w:w="200" w:type="dxa"/>
            <w:vAlign w:val="bottom"/>
            <w:tcBorders>
              <w:right w:val="single" w:sz="8" w:color="2360A6"/>
            </w:tcBorders>
          </w:tcPr>
          <w:p>
            <w:pPr>
              <w:spacing w:after="0"/>
              <w:rPr>
                <w:sz w:val="13"/>
                <w:szCs w:val="13"/>
                <w:color w:val="auto"/>
              </w:rPr>
            </w:pPr>
          </w:p>
        </w:tc>
        <w:tc>
          <w:tcPr>
            <w:tcW w:w="1280" w:type="dxa"/>
            <w:vAlign w:val="bottom"/>
            <w:tcBorders>
              <w:right w:val="single" w:sz="8" w:color="EDEDEE"/>
            </w:tcBorders>
            <w:shd w:val="clear" w:color="auto" w:fill="EDEDEE"/>
          </w:tcPr>
          <w:p>
            <w:pPr>
              <w:spacing w:after="0"/>
              <w:rPr>
                <w:sz w:val="13"/>
                <w:szCs w:val="13"/>
                <w:color w:val="auto"/>
              </w:rPr>
            </w:pPr>
          </w:p>
        </w:tc>
        <w:tc>
          <w:tcPr>
            <w:tcW w:w="100" w:type="dxa"/>
            <w:vAlign w:val="bottom"/>
            <w:tcBorders>
              <w:right w:val="single" w:sz="8" w:color="2360A6"/>
            </w:tcBorders>
            <w:shd w:val="clear" w:color="auto" w:fill="EDEDEE"/>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6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color w:val="231F20"/>
              </w:rPr>
              <w:t>Employee Benefits</w:t>
            </w:r>
          </w:p>
        </w:tc>
        <w:tc>
          <w:tcPr>
            <w:tcW w:w="200" w:type="dxa"/>
            <w:vAlign w:val="bottom"/>
            <w:tcBorders>
              <w:bottom w:val="single" w:sz="8" w:color="2360A6"/>
              <w:right w:val="single" w:sz="8" w:color="2360A6"/>
            </w:tcBorders>
          </w:tcPr>
          <w:p>
            <w:pPr>
              <w:spacing w:after="0"/>
              <w:rPr>
                <w:sz w:val="14"/>
                <w:szCs w:val="14"/>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color w:val="231F20"/>
              </w:rPr>
              <w:t>57.3</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57.3</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Pr>
          <w:p>
            <w:pPr>
              <w:spacing w:after="0"/>
              <w:rPr>
                <w:sz w:val="18"/>
                <w:szCs w:val="18"/>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color w:val="231F20"/>
              </w:rPr>
              <w:t xml:space="preserve">Contingencies related to Contracts </w:t>
            </w:r>
            <w:r>
              <w:rPr>
                <w:rFonts w:ascii="Arial" w:cs="Arial" w:eastAsia="Arial" w:hAnsi="Arial"/>
                <w:sz w:val="8"/>
                <w:szCs w:val="8"/>
                <w:color w:val="231F20"/>
              </w:rPr>
              <w:t>(1)</w:t>
            </w:r>
          </w:p>
        </w:tc>
        <w:tc>
          <w:tcPr>
            <w:tcW w:w="20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color w:val="231F20"/>
              </w:rPr>
              <w:t>196.2</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181.2</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14.7</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color w:val="231F20"/>
              </w:rPr>
              <w:t>0.3</w:t>
            </w:r>
          </w:p>
        </w:tc>
        <w:tc>
          <w:tcPr>
            <w:tcW w:w="40" w:type="dxa"/>
            <w:vAlign w:val="bottom"/>
            <w:tcBorders>
              <w:bottom w:val="single" w:sz="8" w:color="2360A6"/>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color w:val="231F20"/>
              </w:rPr>
              <w:t>Tax</w:t>
            </w:r>
          </w:p>
        </w:tc>
        <w:tc>
          <w:tcPr>
            <w:tcW w:w="20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color w:val="231F20"/>
              </w:rPr>
              <w:t>20.3</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20.3</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Pr>
          <w:p>
            <w:pPr>
              <w:spacing w:after="0"/>
              <w:rPr>
                <w:sz w:val="18"/>
                <w:szCs w:val="18"/>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color w:val="231F20"/>
              </w:rPr>
              <w:t>Litigation</w:t>
            </w:r>
          </w:p>
        </w:tc>
        <w:tc>
          <w:tcPr>
            <w:tcW w:w="20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color w:val="231F20"/>
              </w:rPr>
              <w:t>10.4</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10.4</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Pr>
          <w:p>
            <w:pPr>
              <w:spacing w:after="0"/>
              <w:rPr>
                <w:sz w:val="18"/>
                <w:szCs w:val="18"/>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color w:val="231F20"/>
              </w:rPr>
              <w:t>Provisions for Claims</w:t>
            </w:r>
          </w:p>
        </w:tc>
        <w:tc>
          <w:tcPr>
            <w:tcW w:w="20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color w:val="231F20"/>
              </w:rPr>
              <w:t>3.0</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3.0</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Pr>
          <w:p>
            <w:pPr>
              <w:spacing w:after="0"/>
              <w:rPr>
                <w:sz w:val="18"/>
                <w:szCs w:val="18"/>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color w:val="231F20"/>
              </w:rPr>
              <w:t>Other Current Provisions</w:t>
            </w:r>
          </w:p>
        </w:tc>
        <w:tc>
          <w:tcPr>
            <w:tcW w:w="20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color w:val="231F20"/>
              </w:rPr>
              <w:t>39.1</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39.1</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920" w:type="dxa"/>
            <w:vAlign w:val="bottom"/>
            <w:tcBorders>
              <w:bottom w:val="single" w:sz="8" w:color="2360A6"/>
            </w:tcBorders>
            <w:gridSpan w:val="2"/>
          </w:tcPr>
          <w:p>
            <w:pPr>
              <w:jc w:val="right"/>
              <w:ind w:right="120"/>
              <w:spacing w:after="0"/>
              <w:rPr>
                <w:sz w:val="20"/>
                <w:szCs w:val="20"/>
                <w:color w:val="auto"/>
              </w:rPr>
            </w:pPr>
            <w:r>
              <w:rPr>
                <w:rFonts w:ascii="Arial" w:cs="Arial" w:eastAsia="Arial" w:hAnsi="Arial"/>
                <w:sz w:val="13"/>
                <w:szCs w:val="13"/>
                <w:color w:val="231F20"/>
              </w:rPr>
              <w:t>—</w:t>
            </w:r>
          </w:p>
        </w:tc>
      </w:tr>
      <w:tr>
        <w:trPr>
          <w:trHeight w:val="210"/>
        </w:trPr>
        <w:tc>
          <w:tcPr>
            <w:tcW w:w="20" w:type="dxa"/>
            <w:vAlign w:val="bottom"/>
          </w:tcPr>
          <w:p>
            <w:pPr>
              <w:spacing w:after="0"/>
              <w:rPr>
                <w:sz w:val="18"/>
                <w:szCs w:val="18"/>
                <w:color w:val="auto"/>
              </w:rPr>
            </w:pPr>
          </w:p>
        </w:tc>
        <w:tc>
          <w:tcPr>
            <w:tcW w:w="3620" w:type="dxa"/>
            <w:vAlign w:val="bottom"/>
            <w:tcBorders>
              <w:bottom w:val="single" w:sz="8" w:color="2360A6"/>
            </w:tcBorders>
          </w:tcPr>
          <w:p>
            <w:pPr>
              <w:ind w:left="40"/>
              <w:spacing w:after="0"/>
              <w:rPr>
                <w:sz w:val="20"/>
                <w:szCs w:val="20"/>
                <w:color w:val="auto"/>
              </w:rPr>
            </w:pPr>
            <w:r>
              <w:rPr>
                <w:rFonts w:ascii="Arial" w:cs="Arial" w:eastAsia="Arial" w:hAnsi="Arial"/>
                <w:sz w:val="13"/>
                <w:szCs w:val="13"/>
                <w:b w:val="1"/>
                <w:bCs w:val="1"/>
                <w:color w:val="2360A6"/>
              </w:rPr>
              <w:t>Total Current Provisions</w:t>
            </w:r>
          </w:p>
        </w:tc>
        <w:tc>
          <w:tcPr>
            <w:tcW w:w="200" w:type="dxa"/>
            <w:vAlign w:val="bottom"/>
            <w:tcBorders>
              <w:bottom w:val="single" w:sz="8" w:color="2360A6"/>
              <w:right w:val="single" w:sz="8" w:color="2360A6"/>
            </w:tcBorders>
          </w:tcPr>
          <w:p>
            <w:pPr>
              <w:spacing w:after="0"/>
              <w:rPr>
                <w:sz w:val="18"/>
                <w:szCs w:val="18"/>
                <w:color w:val="auto"/>
              </w:rPr>
            </w:pPr>
          </w:p>
        </w:tc>
        <w:tc>
          <w:tcPr>
            <w:tcW w:w="1380" w:type="dxa"/>
            <w:vAlign w:val="bottom"/>
            <w:tcBorders>
              <w:bottom w:val="single" w:sz="8" w:color="2360A6"/>
              <w:right w:val="single" w:sz="8" w:color="2360A6"/>
            </w:tcBorders>
            <w:gridSpan w:val="2"/>
            <w:shd w:val="clear" w:color="auto" w:fill="EDEDEE"/>
          </w:tcPr>
          <w:p>
            <w:pPr>
              <w:jc w:val="right"/>
              <w:ind w:right="40"/>
              <w:spacing w:after="0"/>
              <w:rPr>
                <w:sz w:val="20"/>
                <w:szCs w:val="20"/>
                <w:color w:val="auto"/>
              </w:rPr>
            </w:pPr>
            <w:r>
              <w:rPr>
                <w:rFonts w:ascii="Arial" w:cs="Arial" w:eastAsia="Arial" w:hAnsi="Arial"/>
                <w:sz w:val="13"/>
                <w:szCs w:val="13"/>
                <w:b w:val="1"/>
                <w:bCs w:val="1"/>
                <w:color w:val="2360A6"/>
              </w:rPr>
              <w:t>326.3</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311.3</w:t>
            </w:r>
          </w:p>
        </w:tc>
        <w:tc>
          <w:tcPr>
            <w:tcW w:w="7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14.7</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w:t>
            </w: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w:t>
            </w:r>
          </w:p>
        </w:tc>
        <w:tc>
          <w:tcPr>
            <w:tcW w:w="880" w:type="dxa"/>
            <w:vAlign w:val="bottom"/>
            <w:tcBorders>
              <w:bottom w:val="single" w:sz="8" w:color="2360A6"/>
            </w:tcBorders>
          </w:tcPr>
          <w:p>
            <w:pPr>
              <w:jc w:val="right"/>
              <w:ind w:right="17"/>
              <w:spacing w:after="0"/>
              <w:rPr>
                <w:sz w:val="20"/>
                <w:szCs w:val="20"/>
                <w:color w:val="auto"/>
              </w:rPr>
            </w:pPr>
            <w:r>
              <w:rPr>
                <w:rFonts w:ascii="Arial" w:cs="Arial" w:eastAsia="Arial" w:hAnsi="Arial"/>
                <w:sz w:val="13"/>
                <w:szCs w:val="13"/>
                <w:b w:val="1"/>
                <w:bCs w:val="1"/>
                <w:color w:val="2360A6"/>
              </w:rPr>
              <w:t>0.3</w:t>
            </w:r>
          </w:p>
        </w:tc>
        <w:tc>
          <w:tcPr>
            <w:tcW w:w="40" w:type="dxa"/>
            <w:vAlign w:val="bottom"/>
            <w:tcBorders>
              <w:bottom w:val="single" w:sz="8" w:color="2360A6"/>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2360A6"/>
              <w:right w:val="single" w:sz="8" w:color="D2DEEC"/>
            </w:tcBorders>
            <w:shd w:val="clear" w:color="auto" w:fill="D2DEEC"/>
          </w:tcPr>
          <w:p>
            <w:pPr>
              <w:ind w:left="40"/>
              <w:spacing w:after="0"/>
              <w:rPr>
                <w:sz w:val="20"/>
                <w:szCs w:val="20"/>
                <w:color w:val="auto"/>
              </w:rPr>
            </w:pPr>
            <w:r>
              <w:rPr>
                <w:rFonts w:ascii="Arial" w:cs="Arial" w:eastAsia="Arial" w:hAnsi="Arial"/>
                <w:sz w:val="13"/>
                <w:szCs w:val="13"/>
                <w:b w:val="1"/>
                <w:bCs w:val="1"/>
                <w:color w:val="2360A6"/>
              </w:rPr>
              <w:t>TOTAL PROVISIONS</w:t>
            </w:r>
          </w:p>
        </w:tc>
        <w:tc>
          <w:tcPr>
            <w:tcW w:w="200" w:type="dxa"/>
            <w:vAlign w:val="bottom"/>
            <w:tcBorders>
              <w:bottom w:val="single" w:sz="8" w:color="2360A6"/>
              <w:right w:val="single" w:sz="8" w:color="2360A6"/>
            </w:tcBorders>
            <w:shd w:val="clear" w:color="auto" w:fill="D2DEEC"/>
          </w:tcPr>
          <w:p>
            <w:pPr>
              <w:spacing w:after="0"/>
              <w:rPr>
                <w:sz w:val="18"/>
                <w:szCs w:val="18"/>
                <w:color w:val="auto"/>
              </w:rPr>
            </w:pPr>
          </w:p>
        </w:tc>
        <w:tc>
          <w:tcPr>
            <w:tcW w:w="1380" w:type="dxa"/>
            <w:vAlign w:val="bottom"/>
            <w:tcBorders>
              <w:bottom w:val="single" w:sz="8" w:color="2360A6"/>
              <w:right w:val="single" w:sz="8" w:color="2360A6"/>
            </w:tcBorders>
            <w:gridSpan w:val="2"/>
            <w:shd w:val="clear" w:color="auto" w:fill="D2DEEC"/>
          </w:tcPr>
          <w:p>
            <w:pPr>
              <w:jc w:val="right"/>
              <w:ind w:right="40"/>
              <w:spacing w:after="0"/>
              <w:rPr>
                <w:sz w:val="20"/>
                <w:szCs w:val="20"/>
                <w:color w:val="auto"/>
              </w:rPr>
            </w:pPr>
            <w:r>
              <w:rPr>
                <w:rFonts w:ascii="Arial" w:cs="Arial" w:eastAsia="Arial" w:hAnsi="Arial"/>
                <w:sz w:val="13"/>
                <w:szCs w:val="13"/>
                <w:b w:val="1"/>
                <w:bCs w:val="1"/>
                <w:color w:val="2360A6"/>
              </w:rPr>
              <w:t>557.9</w:t>
            </w:r>
          </w:p>
        </w:tc>
        <w:tc>
          <w:tcPr>
            <w:tcW w:w="74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311.3</w:t>
            </w:r>
          </w:p>
        </w:tc>
        <w:tc>
          <w:tcPr>
            <w:tcW w:w="76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72.9</w:t>
            </w:r>
          </w:p>
        </w:tc>
        <w:tc>
          <w:tcPr>
            <w:tcW w:w="74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16.5</w:t>
            </w:r>
          </w:p>
        </w:tc>
        <w:tc>
          <w:tcPr>
            <w:tcW w:w="74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11.6</w:t>
            </w:r>
          </w:p>
        </w:tc>
        <w:tc>
          <w:tcPr>
            <w:tcW w:w="740" w:type="dxa"/>
            <w:vAlign w:val="bottom"/>
            <w:tcBorders>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13.1</w:t>
            </w:r>
          </w:p>
        </w:tc>
        <w:tc>
          <w:tcPr>
            <w:tcW w:w="740" w:type="dxa"/>
            <w:vAlign w:val="bottom"/>
            <w:tcBorders>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13.4</w:t>
            </w:r>
          </w:p>
        </w:tc>
        <w:tc>
          <w:tcPr>
            <w:tcW w:w="880" w:type="dxa"/>
            <w:vAlign w:val="bottom"/>
            <w:tcBorders>
              <w:bottom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119.1</w:t>
            </w:r>
          </w:p>
        </w:tc>
        <w:tc>
          <w:tcPr>
            <w:tcW w:w="40" w:type="dxa"/>
            <w:vAlign w:val="bottom"/>
            <w:tcBorders>
              <w:bottom w:val="single" w:sz="8" w:color="2360A6"/>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-2469515</wp:posOffset>
            </wp:positionV>
            <wp:extent cx="6706235" cy="25984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06235" cy="2598420"/>
                    </a:xfrm>
                    <a:prstGeom prst="rect">
                      <a:avLst/>
                    </a:prstGeom>
                    <a:noFill/>
                  </pic:spPr>
                </pic:pic>
              </a:graphicData>
            </a:graphic>
          </wp:anchor>
        </w:drawing>
      </w:r>
    </w:p>
    <w:p>
      <w:pPr>
        <w:spacing w:after="0" w:line="1" w:lineRule="exact"/>
        <w:rPr>
          <w:sz w:val="20"/>
          <w:szCs w:val="20"/>
          <w:color w:val="auto"/>
        </w:rPr>
      </w:pPr>
    </w:p>
    <w:p>
      <w:pPr>
        <w:ind w:left="400"/>
        <w:spacing w:after="0"/>
        <w:rPr>
          <w:sz w:val="20"/>
          <w:szCs w:val="20"/>
          <w:color w:val="auto"/>
        </w:rPr>
      </w:pPr>
      <w:r>
        <w:rPr>
          <w:rFonts w:ascii="Arial" w:cs="Arial" w:eastAsia="Arial" w:hAnsi="Arial"/>
          <w:sz w:val="13"/>
          <w:szCs w:val="13"/>
          <w:color w:val="231F20"/>
        </w:rPr>
        <w:t>(1) Provisions for contingencies related to contracts which maturity cannot be precisely determined are usually presented in the less than one year category.</w:t>
      </w:r>
    </w:p>
    <w:p>
      <w:pPr>
        <w:spacing w:after="0" w:line="29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criteria for classifying an asset/liability as “current” or “non-current” in the statement of financial position are described in Note 1-C Accounting rules and policies.</w:t>
      </w:r>
    </w:p>
    <w:p>
      <w:pPr>
        <w:sectPr>
          <w:pgSz w:w="11900" w:h="16838" w:orient="portrait"/>
          <w:cols w:equalWidth="0" w:num="1">
            <w:col w:w="11320"/>
          </w:cols>
          <w:pgMar w:left="320" w:top="930" w:right="259" w:bottom="1440" w:gutter="0" w:footer="0" w:header="0"/>
        </w:sectPr>
      </w:pPr>
    </w:p>
    <w:bookmarkStart w:id="144" w:name="page145"/>
    <w:bookmarkEnd w:id="144"/>
    <w:p>
      <w:pPr>
        <w:spacing w:after="0"/>
        <w:rPr>
          <w:sz w:val="20"/>
          <w:szCs w:val="20"/>
          <w:color w:val="auto"/>
        </w:rPr>
      </w:pPr>
      <w:r>
        <w:rPr>
          <w:rFonts w:ascii="Arial" w:cs="Arial" w:eastAsia="Arial" w:hAnsi="Arial"/>
          <w:sz w:val="29"/>
          <w:szCs w:val="29"/>
          <w:b w:val="1"/>
          <w:bCs w:val="1"/>
          <w:color w:val="2360A6"/>
        </w:rPr>
        <w:t>Note 23 Pensions and Other Long-Term Employee Benefit Plans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Description of the Group’s Current Benefit Plans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On all the Technip Group, three countries represent quite 90% of the Group obligations: the Netherlands, France, and the United Kingdom.</w:t>
      </w:r>
    </w:p>
    <w:p>
      <w:pPr>
        <w:spacing w:after="0" w:line="308"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Brazil</w:t>
      </w:r>
    </w:p>
    <w:p>
      <w:pPr>
        <w:spacing w:after="0" w:line="92"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 jubilee plan provides a lump sum payment of one month’s salary after 10, 15, 20 and 30 years of service. The plan also pays for a short trip to Brazil and Paris after 20 and 30 years of service.</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France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plans are offered in France:</w:t>
      </w:r>
    </w:p>
    <w:p>
      <w:pPr>
        <w:spacing w:after="0" w:line="6" w:lineRule="exact"/>
        <w:rPr>
          <w:sz w:val="20"/>
          <w:szCs w:val="20"/>
          <w:color w:val="auto"/>
        </w:rPr>
      </w:pPr>
    </w:p>
    <w:p>
      <w:pPr>
        <w:ind w:left="180" w:hanging="171"/>
        <w:spacing w:after="0"/>
        <w:tabs>
          <w:tab w:leader="none" w:pos="180" w:val="left"/>
        </w:tabs>
        <w:numPr>
          <w:ilvl w:val="0"/>
          <w:numId w:val="59"/>
        </w:numPr>
        <w:rPr>
          <w:rFonts w:ascii="Arial" w:cs="Arial" w:eastAsia="Arial" w:hAnsi="Arial"/>
          <w:sz w:val="18"/>
          <w:szCs w:val="18"/>
          <w:color w:val="006EBF"/>
        </w:rPr>
      </w:pPr>
      <w:r>
        <w:rPr>
          <w:rFonts w:ascii="Arial" w:cs="Arial" w:eastAsia="Arial" w:hAnsi="Arial"/>
          <w:sz w:val="16"/>
          <w:szCs w:val="16"/>
          <w:color w:val="231F20"/>
        </w:rPr>
        <w:t>a retirement benefit consisting of a capital payment based on years of service and salary at retirement date;</w:t>
      </w:r>
    </w:p>
    <w:p>
      <w:pPr>
        <w:spacing w:after="0" w:line="9" w:lineRule="exact"/>
        <w:rPr>
          <w:rFonts w:ascii="Arial" w:cs="Arial" w:eastAsia="Arial" w:hAnsi="Arial"/>
          <w:sz w:val="18"/>
          <w:szCs w:val="18"/>
          <w:color w:val="006EBF"/>
        </w:rPr>
      </w:pPr>
    </w:p>
    <w:p>
      <w:pPr>
        <w:ind w:left="180" w:hanging="171"/>
        <w:spacing w:after="0"/>
        <w:tabs>
          <w:tab w:leader="none" w:pos="180" w:val="left"/>
        </w:tabs>
        <w:numPr>
          <w:ilvl w:val="0"/>
          <w:numId w:val="59"/>
        </w:numPr>
        <w:rPr>
          <w:rFonts w:ascii="Arial" w:cs="Arial" w:eastAsia="Arial" w:hAnsi="Arial"/>
          <w:sz w:val="18"/>
          <w:szCs w:val="18"/>
          <w:color w:val="006EBF"/>
        </w:rPr>
      </w:pPr>
      <w:r>
        <w:rPr>
          <w:rFonts w:ascii="Arial" w:cs="Arial" w:eastAsia="Arial" w:hAnsi="Arial"/>
          <w:sz w:val="16"/>
          <w:szCs w:val="16"/>
          <w:color w:val="231F20"/>
        </w:rPr>
        <w:t>a post-retirement medical benefit (this is closed to new entrants to the plan);</w:t>
      </w:r>
    </w:p>
    <w:p>
      <w:pPr>
        <w:spacing w:after="0" w:line="21" w:lineRule="exact"/>
        <w:rPr>
          <w:rFonts w:ascii="Arial" w:cs="Arial" w:eastAsia="Arial" w:hAnsi="Arial"/>
          <w:sz w:val="18"/>
          <w:szCs w:val="18"/>
          <w:color w:val="006EBF"/>
        </w:rPr>
      </w:pPr>
    </w:p>
    <w:p>
      <w:pPr>
        <w:ind w:left="180" w:hanging="171"/>
        <w:spacing w:after="0" w:line="255" w:lineRule="auto"/>
        <w:tabs>
          <w:tab w:leader="none" w:pos="180" w:val="left"/>
        </w:tabs>
        <w:numPr>
          <w:ilvl w:val="0"/>
          <w:numId w:val="59"/>
        </w:numPr>
        <w:rPr>
          <w:rFonts w:ascii="Arial" w:cs="Arial" w:eastAsia="Arial" w:hAnsi="Arial"/>
          <w:sz w:val="18"/>
          <w:szCs w:val="18"/>
          <w:color w:val="006EBF"/>
        </w:rPr>
      </w:pPr>
      <w:r>
        <w:rPr>
          <w:rFonts w:ascii="Arial" w:cs="Arial" w:eastAsia="Arial" w:hAnsi="Arial"/>
          <w:sz w:val="16"/>
          <w:szCs w:val="16"/>
          <w:color w:val="231F20"/>
        </w:rPr>
        <w:t>a jubilee plan that provides a lump sum payment after 20, 30, 35 and 40 years of services at all companies (a minimum number of years spent at Technip is required);</w:t>
      </w:r>
    </w:p>
    <w:p>
      <w:pPr>
        <w:spacing w:after="0" w:line="16" w:lineRule="exact"/>
        <w:rPr>
          <w:rFonts w:ascii="Arial" w:cs="Arial" w:eastAsia="Arial" w:hAnsi="Arial"/>
          <w:sz w:val="18"/>
          <w:szCs w:val="18"/>
          <w:color w:val="006EBF"/>
        </w:rPr>
      </w:pPr>
    </w:p>
    <w:p>
      <w:pPr>
        <w:ind w:left="180" w:hanging="171"/>
        <w:spacing w:after="0" w:line="255" w:lineRule="auto"/>
        <w:tabs>
          <w:tab w:leader="none" w:pos="180" w:val="left"/>
        </w:tabs>
        <w:numPr>
          <w:ilvl w:val="0"/>
          <w:numId w:val="59"/>
        </w:numPr>
        <w:rPr>
          <w:rFonts w:ascii="Arial" w:cs="Arial" w:eastAsia="Arial" w:hAnsi="Arial"/>
          <w:sz w:val="18"/>
          <w:szCs w:val="18"/>
          <w:color w:val="006EBF"/>
        </w:rPr>
      </w:pPr>
      <w:r>
        <w:rPr>
          <w:rFonts w:ascii="Arial" w:cs="Arial" w:eastAsia="Arial" w:hAnsi="Arial"/>
          <w:sz w:val="16"/>
          <w:szCs w:val="16"/>
          <w:color w:val="231F20"/>
        </w:rPr>
        <w:t>an additional defined contribution pension plan was set up on January 1, 2005 dedicated to a predetermined and uniform class of top managers. A contribution of 8.0% of gross annual salary within the legal limits is paid by the Company;</w:t>
      </w:r>
    </w:p>
    <w:p>
      <w:pPr>
        <w:spacing w:after="0" w:line="16" w:lineRule="exact"/>
        <w:rPr>
          <w:rFonts w:ascii="Arial" w:cs="Arial" w:eastAsia="Arial" w:hAnsi="Arial"/>
          <w:sz w:val="18"/>
          <w:szCs w:val="18"/>
          <w:color w:val="006EBF"/>
        </w:rPr>
      </w:pPr>
    </w:p>
    <w:p>
      <w:pPr>
        <w:jc w:val="both"/>
        <w:ind w:left="180" w:hanging="171"/>
        <w:spacing w:after="0" w:line="271" w:lineRule="auto"/>
        <w:tabs>
          <w:tab w:leader="none" w:pos="180" w:val="left"/>
        </w:tabs>
        <w:numPr>
          <w:ilvl w:val="0"/>
          <w:numId w:val="59"/>
        </w:numPr>
        <w:rPr>
          <w:rFonts w:ascii="Arial" w:cs="Arial" w:eastAsia="Arial" w:hAnsi="Arial"/>
          <w:sz w:val="18"/>
          <w:szCs w:val="18"/>
          <w:color w:val="006EBF"/>
        </w:rPr>
      </w:pPr>
      <w:r>
        <w:rPr>
          <w:rFonts w:ascii="Arial" w:cs="Arial" w:eastAsia="Arial" w:hAnsi="Arial"/>
          <w:sz w:val="16"/>
          <w:szCs w:val="16"/>
          <w:color w:val="231F20"/>
        </w:rPr>
        <w:t>a complementary defined benefit pension plan was set up on May 1, 2007 for members of the Group’s Executive Committee and then revoked end of 2016. It consisted of a guaranteed retirement wage of 1.8% of income bracket 4 of annual gross compensation per year of service in the Executive Committee (up to a limit of 15 years of service). This plan was liquidated in December 2016.</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Germany</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231F20"/>
        </w:rPr>
        <w:t>The main following plans were offered in Germany:</w:t>
      </w:r>
    </w:p>
    <w:p>
      <w:pPr>
        <w:spacing w:after="0" w:line="6" w:lineRule="exact"/>
        <w:rPr>
          <w:sz w:val="20"/>
          <w:szCs w:val="20"/>
          <w:color w:val="auto"/>
        </w:rPr>
      </w:pPr>
    </w:p>
    <w:p>
      <w:pPr>
        <w:ind w:left="180" w:hanging="171"/>
        <w:spacing w:after="0"/>
        <w:tabs>
          <w:tab w:leader="none" w:pos="180" w:val="left"/>
        </w:tabs>
        <w:numPr>
          <w:ilvl w:val="0"/>
          <w:numId w:val="60"/>
        </w:numPr>
        <w:rPr>
          <w:rFonts w:ascii="Arial" w:cs="Arial" w:eastAsia="Arial" w:hAnsi="Arial"/>
          <w:sz w:val="18"/>
          <w:szCs w:val="18"/>
          <w:color w:val="006EBF"/>
        </w:rPr>
      </w:pPr>
      <w:r>
        <w:rPr>
          <w:rFonts w:ascii="Arial" w:cs="Arial" w:eastAsia="Arial" w:hAnsi="Arial"/>
          <w:sz w:val="16"/>
          <w:szCs w:val="16"/>
          <w:color w:val="231F20"/>
        </w:rPr>
        <w:t>two pension plans that offer a pension payable from age 65: (i) a deferred compensation plan and (ii) an early retirement plan (OAPT);</w:t>
      </w:r>
    </w:p>
    <w:p>
      <w:pPr>
        <w:spacing w:after="0" w:line="9" w:lineRule="exact"/>
        <w:rPr>
          <w:rFonts w:ascii="Arial" w:cs="Arial" w:eastAsia="Arial" w:hAnsi="Arial"/>
          <w:sz w:val="18"/>
          <w:szCs w:val="18"/>
          <w:color w:val="006EBF"/>
        </w:rPr>
      </w:pPr>
    </w:p>
    <w:p>
      <w:pPr>
        <w:ind w:left="180" w:hanging="171"/>
        <w:spacing w:after="0"/>
        <w:tabs>
          <w:tab w:leader="none" w:pos="180" w:val="left"/>
        </w:tabs>
        <w:numPr>
          <w:ilvl w:val="0"/>
          <w:numId w:val="60"/>
        </w:numPr>
        <w:rPr>
          <w:rFonts w:ascii="Arial" w:cs="Arial" w:eastAsia="Arial" w:hAnsi="Arial"/>
          <w:sz w:val="18"/>
          <w:szCs w:val="18"/>
          <w:color w:val="006EBF"/>
        </w:rPr>
      </w:pPr>
      <w:r>
        <w:rPr>
          <w:rFonts w:ascii="Arial" w:cs="Arial" w:eastAsia="Arial" w:hAnsi="Arial"/>
          <w:sz w:val="16"/>
          <w:szCs w:val="16"/>
          <w:color w:val="231F20"/>
        </w:rPr>
        <w:t>a jubilee plan that provides a lump sum payment ranging from one to three months of salary when employees reach 25, 40 and 45 years of service.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Following the disposal of </w:t>
      </w:r>
      <w:r>
        <w:rPr>
          <w:rFonts w:ascii="Arial" w:cs="Arial" w:eastAsia="Arial" w:hAnsi="Arial"/>
          <w:sz w:val="16"/>
          <w:szCs w:val="16"/>
          <w:color w:val="000000"/>
        </w:rPr>
        <w:t>Technip Germany GmbH</w:t>
      </w:r>
      <w:r>
        <w:rPr>
          <w:rFonts w:ascii="Arial" w:cs="Arial" w:eastAsia="Arial" w:hAnsi="Arial"/>
          <w:sz w:val="16"/>
          <w:szCs w:val="16"/>
          <w:color w:val="231F20"/>
        </w:rPr>
        <w:t xml:space="preserve"> in March 2016, these plans are not anymore accounted for.</w:t>
      </w:r>
    </w:p>
    <w:p>
      <w:pPr>
        <w:spacing w:after="0" w:line="281"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Italy</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 post-retirement benefit that provides a capital payment according to the wages and years of service in the Company is offered to the employees. Following the change of Italian law in 2007, this defined benefit plan has been changed into a defined contribution plan. Consequently, no future right is generated in respect of IAS 19. The amount remaining in the books relates to the rights generated before the change of plan.</w:t>
      </w:r>
    </w:p>
    <w:p>
      <w:pPr>
        <w:spacing w:after="0" w:line="194"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Singapore</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Multi-employer benefit plan providing employees of the mercantile marine (the same as United Kingdom’s one) with pensions on retirement and protection on death (this plan is also closed for newcomers).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The Netherlands</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Company has a defined benefit pension plan, which was closed to new entrants, with no future accruals and frozen rights as of January 1, 2015. The impacts of this termination are identified in special events (curtailments/settlements).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United Arab Emirates</w:t>
      </w:r>
    </w:p>
    <w:p>
      <w:pPr>
        <w:spacing w:after="0" w:line="2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A retirement benefit plan provides a payment according to the years of service in the Company (21 days of salary per year of service up to five years and 30 days of salary beyond five years) with a limit of 26 years.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2360A6"/>
        </w:rPr>
        <w:t>United Kingdom</w:t>
      </w:r>
    </w:p>
    <w:p>
      <w:pPr>
        <w:spacing w:after="0" w:line="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 pension plan offers an annuity payment (this plan is closed for new comers). There is also a multi-employer benefit plan providing employees of the mercantile marine with pensions on retirement and protection on death (this plan is also closed for newcomers).</w:t>
      </w:r>
    </w:p>
    <w:p>
      <w:pPr>
        <w:sectPr>
          <w:pgSz w:w="11900" w:h="16838" w:orient="portrait"/>
          <w:cols w:equalWidth="0" w:num="1">
            <w:col w:w="11340"/>
          </w:cols>
          <w:pgMar w:left="320" w:top="748" w:right="239" w:bottom="1440" w:gutter="0" w:footer="0" w:header="0"/>
        </w:sectPr>
      </w:pPr>
    </w:p>
    <w:bookmarkStart w:id="145" w:name="page146"/>
    <w:bookmarkEnd w:id="145"/>
    <w:p>
      <w:pPr>
        <w:spacing w:after="0"/>
        <w:rPr>
          <w:sz w:val="20"/>
          <w:szCs w:val="20"/>
          <w:color w:val="auto"/>
        </w:rPr>
      </w:pPr>
      <w:r>
        <w:rPr>
          <w:rFonts w:ascii="Arial" w:cs="Arial" w:eastAsia="Arial" w:hAnsi="Arial"/>
          <w:sz w:val="25"/>
          <w:szCs w:val="25"/>
          <w:b w:val="1"/>
          <w:bCs w:val="1"/>
          <w:color w:val="231F20"/>
        </w:rPr>
        <w:t>(B) Net Benefit Expense Recognized in the Statement of Income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The net benefit expense recognized in the statement of income breaks down as follows:</w:t>
      </w:r>
    </w:p>
    <w:p>
      <w:pPr>
        <w:spacing w:after="0" w:line="118" w:lineRule="exact"/>
        <w:rPr>
          <w:sz w:val="20"/>
          <w:szCs w:val="20"/>
          <w:color w:val="auto"/>
        </w:rPr>
      </w:pPr>
    </w:p>
    <w:tbl>
      <w:tblPr>
        <w:tblLayout w:type="fixed"/>
        <w:tblInd w:w="330" w:type="dxa"/>
        <w:tblCellMar>
          <w:top w:w="0" w:type="dxa"/>
          <w:left w:w="0" w:type="dxa"/>
          <w:bottom w:w="0" w:type="dxa"/>
          <w:right w:w="0" w:type="dxa"/>
        </w:tblCellMar>
      </w:tblPr>
      <w:tr>
        <w:trPr>
          <w:trHeight w:val="224"/>
        </w:trPr>
        <w:tc>
          <w:tcPr>
            <w:tcW w:w="7480" w:type="dxa"/>
            <w:vAlign w:val="bottom"/>
            <w:tcBorders>
              <w:top w:val="single" w:sz="8" w:color="2360A6"/>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i w:val="1"/>
                <w:iCs w:val="1"/>
                <w:color w:val="auto"/>
              </w:rPr>
              <w:t>In millions of Euro</w:t>
            </w:r>
          </w:p>
        </w:tc>
        <w:tc>
          <w:tcPr>
            <w:tcW w:w="1060" w:type="dxa"/>
            <w:vAlign w:val="bottom"/>
            <w:tcBorders>
              <w:top w:val="single" w:sz="8" w:color="2360A6"/>
              <w:bottom w:val="single" w:sz="8" w:color="2360A6"/>
              <w:right w:val="single" w:sz="8" w:color="231F20"/>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060" w:type="dxa"/>
            <w:vAlign w:val="bottom"/>
            <w:tcBorders>
              <w:top w:val="single" w:sz="8" w:color="2360A6"/>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top w:val="single" w:sz="8" w:color="2360A6"/>
              <w:bottom w:val="single" w:sz="8" w:color="2360A6"/>
              <w:right w:val="single" w:sz="8" w:color="231F20"/>
            </w:tcBorders>
          </w:tcPr>
          <w:p>
            <w:pPr>
              <w:jc w:val="right"/>
              <w:spacing w:after="0"/>
              <w:rPr>
                <w:sz w:val="20"/>
                <w:szCs w:val="20"/>
                <w:color w:val="auto"/>
              </w:rPr>
            </w:pPr>
            <w:r>
              <w:rPr>
                <w:rFonts w:ascii="Arial" w:cs="Arial" w:eastAsia="Arial" w:hAnsi="Arial"/>
                <w:sz w:val="14"/>
                <w:szCs w:val="14"/>
                <w:b w:val="1"/>
                <w:bCs w:val="1"/>
                <w:color w:val="auto"/>
              </w:rPr>
              <w:t>2014</w:t>
            </w:r>
          </w:p>
        </w:tc>
      </w:tr>
      <w:tr>
        <w:trPr>
          <w:trHeight w:val="210"/>
        </w:trPr>
        <w:tc>
          <w:tcPr>
            <w:tcW w:w="74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Current Service Cost</w:t>
            </w:r>
          </w:p>
        </w:tc>
        <w:tc>
          <w:tcPr>
            <w:tcW w:w="10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9.9</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12.4</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22.1</w:t>
            </w:r>
          </w:p>
        </w:tc>
      </w:tr>
      <w:tr>
        <w:trPr>
          <w:trHeight w:val="210"/>
        </w:trPr>
        <w:tc>
          <w:tcPr>
            <w:tcW w:w="74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Financial Cost</w:t>
            </w:r>
          </w:p>
        </w:tc>
        <w:tc>
          <w:tcPr>
            <w:tcW w:w="10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9.9</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10.2</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14.9</w:t>
            </w:r>
          </w:p>
        </w:tc>
      </w:tr>
      <w:tr>
        <w:trPr>
          <w:trHeight w:val="210"/>
        </w:trPr>
        <w:tc>
          <w:tcPr>
            <w:tcW w:w="74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Expected Return on Plan Assets</w:t>
            </w:r>
          </w:p>
        </w:tc>
        <w:tc>
          <w:tcPr>
            <w:tcW w:w="10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(5.9)</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(6.0)</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(7.6)</w:t>
            </w:r>
          </w:p>
        </w:tc>
      </w:tr>
      <w:tr>
        <w:trPr>
          <w:trHeight w:val="210"/>
        </w:trPr>
        <w:tc>
          <w:tcPr>
            <w:tcW w:w="74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Net Actuarial Gain/(Loss) Recognized on Long-Term Benefits</w:t>
            </w:r>
          </w:p>
        </w:tc>
        <w:tc>
          <w:tcPr>
            <w:tcW w:w="10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(0.6)</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0.1</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74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Cash Incentive Plans</w:t>
            </w:r>
          </w:p>
        </w:tc>
        <w:tc>
          <w:tcPr>
            <w:tcW w:w="10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59.2</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34.4</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37.5</w:t>
            </w:r>
          </w:p>
        </w:tc>
      </w:tr>
      <w:tr>
        <w:trPr>
          <w:trHeight w:val="210"/>
        </w:trPr>
        <w:tc>
          <w:tcPr>
            <w:tcW w:w="74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Special Events (Curtailment/Settlement)</w:t>
            </w:r>
          </w:p>
        </w:tc>
        <w:tc>
          <w:tcPr>
            <w:tcW w:w="10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(7.4)</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(1.5)</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(114.3)</w:t>
            </w:r>
          </w:p>
        </w:tc>
      </w:tr>
      <w:tr>
        <w:trPr>
          <w:trHeight w:val="210"/>
        </w:trPr>
        <w:tc>
          <w:tcPr>
            <w:tcW w:w="7480" w:type="dxa"/>
            <w:vAlign w:val="bottom"/>
            <w:tcBorders>
              <w:left w:val="single" w:sz="8" w:color="231F20"/>
              <w:bottom w:val="single" w:sz="8" w:color="2360A6"/>
              <w:right w:val="single" w:sz="8" w:color="231F20"/>
            </w:tcBorders>
          </w:tcPr>
          <w:p>
            <w:pPr>
              <w:ind w:left="40"/>
              <w:spacing w:after="0"/>
              <w:rPr>
                <w:sz w:val="20"/>
                <w:szCs w:val="20"/>
                <w:color w:val="auto"/>
              </w:rPr>
            </w:pPr>
            <w:r>
              <w:rPr>
                <w:rFonts w:ascii="Arial" w:cs="Arial" w:eastAsia="Arial" w:hAnsi="Arial"/>
                <w:sz w:val="14"/>
                <w:szCs w:val="14"/>
                <w:color w:val="auto"/>
              </w:rPr>
              <w:t>Administration Costs and Taxes</w:t>
            </w:r>
          </w:p>
        </w:tc>
        <w:tc>
          <w:tcPr>
            <w:tcW w:w="1060" w:type="dxa"/>
            <w:vAlign w:val="bottom"/>
            <w:tcBorders>
              <w:bottom w:val="single" w:sz="8" w:color="2360A6"/>
              <w:right w:val="single" w:sz="8" w:color="231F20"/>
            </w:tcBorders>
            <w:shd w:val="clear" w:color="auto" w:fill="EDEDEE"/>
          </w:tcPr>
          <w:p>
            <w:pPr>
              <w:jc w:val="right"/>
              <w:spacing w:after="0"/>
              <w:rPr>
                <w:sz w:val="20"/>
                <w:szCs w:val="20"/>
                <w:color w:val="auto"/>
              </w:rPr>
            </w:pPr>
            <w:r>
              <w:rPr>
                <w:rFonts w:ascii="Arial" w:cs="Arial" w:eastAsia="Arial" w:hAnsi="Arial"/>
                <w:sz w:val="14"/>
                <w:szCs w:val="14"/>
                <w:color w:val="auto"/>
              </w:rPr>
              <w:t>0.5</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0.2</w:t>
            </w:r>
          </w:p>
        </w:tc>
        <w:tc>
          <w:tcPr>
            <w:tcW w:w="1060" w:type="dxa"/>
            <w:vAlign w:val="bottom"/>
            <w:tcBorders>
              <w:bottom w:val="single" w:sz="8" w:color="2360A6"/>
              <w:right w:val="single" w:sz="8" w:color="231F20"/>
            </w:tcBorders>
          </w:tcPr>
          <w:p>
            <w:pPr>
              <w:jc w:val="right"/>
              <w:spacing w:after="0"/>
              <w:rPr>
                <w:sz w:val="20"/>
                <w:szCs w:val="20"/>
                <w:color w:val="auto"/>
              </w:rPr>
            </w:pPr>
            <w:r>
              <w:rPr>
                <w:rFonts w:ascii="Arial" w:cs="Arial" w:eastAsia="Arial" w:hAnsi="Arial"/>
                <w:sz w:val="14"/>
                <w:szCs w:val="14"/>
                <w:color w:val="auto"/>
              </w:rPr>
              <w:t>1.1</w:t>
            </w:r>
          </w:p>
        </w:tc>
      </w:tr>
      <w:tr>
        <w:trPr>
          <w:trHeight w:val="210"/>
        </w:trPr>
        <w:tc>
          <w:tcPr>
            <w:tcW w:w="7480" w:type="dxa"/>
            <w:vAlign w:val="bottom"/>
            <w:tcBorders>
              <w:left w:val="single" w:sz="8" w:color="231F20"/>
              <w:bottom w:val="single" w:sz="8" w:color="2360A6"/>
              <w:right w:val="single" w:sz="8" w:color="231F20"/>
            </w:tcBorders>
            <w:shd w:val="clear" w:color="auto" w:fill="D2DEEC"/>
          </w:tcPr>
          <w:p>
            <w:pPr>
              <w:ind w:left="40"/>
              <w:spacing w:after="0"/>
              <w:rPr>
                <w:sz w:val="20"/>
                <w:szCs w:val="20"/>
                <w:color w:val="auto"/>
              </w:rPr>
            </w:pPr>
            <w:r>
              <w:rPr>
                <w:rFonts w:ascii="Arial" w:cs="Arial" w:eastAsia="Arial" w:hAnsi="Arial"/>
                <w:sz w:val="14"/>
                <w:szCs w:val="14"/>
                <w:b w:val="1"/>
                <w:bCs w:val="1"/>
                <w:color w:val="006EBF"/>
              </w:rPr>
              <w:t>NET BENEFIT EXPENSE AS RECORDED IN THE STATEMENT OF INCOME</w:t>
            </w:r>
          </w:p>
        </w:tc>
        <w:tc>
          <w:tcPr>
            <w:tcW w:w="106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006EBF"/>
              </w:rPr>
              <w:t>65.6</w:t>
            </w:r>
          </w:p>
        </w:tc>
        <w:tc>
          <w:tcPr>
            <w:tcW w:w="106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006EBF"/>
              </w:rPr>
              <w:t>49.8</w:t>
            </w:r>
          </w:p>
        </w:tc>
        <w:tc>
          <w:tcPr>
            <w:tcW w:w="1060" w:type="dxa"/>
            <w:vAlign w:val="bottom"/>
            <w:tcBorders>
              <w:bottom w:val="single" w:sz="8" w:color="2360A6"/>
              <w:right w:val="single" w:sz="8" w:color="231F20"/>
            </w:tcBorders>
            <w:shd w:val="clear" w:color="auto" w:fill="D2DEEC"/>
          </w:tcPr>
          <w:p>
            <w:pPr>
              <w:jc w:val="right"/>
              <w:spacing w:after="0"/>
              <w:rPr>
                <w:sz w:val="20"/>
                <w:szCs w:val="20"/>
                <w:color w:val="auto"/>
              </w:rPr>
            </w:pPr>
            <w:r>
              <w:rPr>
                <w:rFonts w:ascii="Arial" w:cs="Arial" w:eastAsia="Arial" w:hAnsi="Arial"/>
                <w:sz w:val="14"/>
                <w:szCs w:val="14"/>
                <w:b w:val="1"/>
                <w:bCs w:val="1"/>
                <w:color w:val="006EBF"/>
              </w:rPr>
              <w:t>(45.9)</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2016</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231F20"/>
        </w:rPr>
        <w:t>In addition to the defined benefit pension plan expense shown in the above table, defined contribution plan expenses amounted to €59.5 million in 2016.</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231F20"/>
        </w:rPr>
        <w:t>Defined contribution plan expenses expected for 2017 amounted to €1.9 million. Benefits plan cash flows for 2017 amounted to €20.3 million.</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2015</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231F20"/>
        </w:rPr>
        <w:t>In addition to the defined benefit pension plan expense shown in the above table, defined contribution plan expenses amounted to €59.5 million in 2015.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231F20"/>
        </w:rPr>
        <w:t>Defined contribution plan expenses expected for 2016 amounted to €2.7 million. Benefits plan cash flows for 2016 amounted to €24.4 million.</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2014</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231F20"/>
        </w:rPr>
        <w:t>In addition to the defined benefit pension plan expense shown in the above table, defined contribution plan expenses amounted to €55.8 million in 2014.</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231F20"/>
        </w:rPr>
        <w:t>Defined contribution plan expenses expected for 2015 amounted to €3.1 million. Benefits plan cash flows for 2015 amounted to €17.0 million.</w:t>
      </w:r>
    </w:p>
    <w:p>
      <w:pPr>
        <w:sectPr>
          <w:pgSz w:w="11900" w:h="16838" w:orient="portrait"/>
          <w:cols w:equalWidth="0" w:num="1">
            <w:col w:w="10980"/>
          </w:cols>
          <w:pgMar w:left="320" w:top="676" w:right="599" w:bottom="1440" w:gutter="0" w:footer="0" w:header="0"/>
        </w:sectPr>
      </w:pPr>
    </w:p>
    <w:bookmarkStart w:id="146" w:name="page147"/>
    <w:bookmarkEnd w:id="146"/>
    <w:p>
      <w:pPr>
        <w:spacing w:after="0"/>
        <w:rPr>
          <w:sz w:val="20"/>
          <w:szCs w:val="20"/>
          <w:color w:val="auto"/>
        </w:rPr>
      </w:pPr>
      <w:r>
        <w:rPr>
          <w:rFonts w:ascii="Arial" w:cs="Arial" w:eastAsia="Arial" w:hAnsi="Arial"/>
          <w:sz w:val="25"/>
          <w:szCs w:val="25"/>
          <w:b w:val="1"/>
          <w:bCs w:val="1"/>
          <w:color w:val="231F20"/>
        </w:rPr>
        <w:t>(C) Benefit Asset/(Liability) Recognized in the Statement of Financial Position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The liability as recorded in the statement of financial position breaks down as follows:</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356"/>
        </w:trPr>
        <w:tc>
          <w:tcPr>
            <w:tcW w:w="2360" w:type="dxa"/>
            <w:vAlign w:val="bottom"/>
            <w:tcBorders>
              <w:top w:val="single" w:sz="8" w:color="2360A6"/>
              <w:left w:val="single" w:sz="8" w:color="2360A6"/>
              <w:right w:val="single" w:sz="8" w:color="2360A6"/>
            </w:tcBorders>
          </w:tcPr>
          <w:p>
            <w:pPr>
              <w:spacing w:after="0"/>
              <w:rPr>
                <w:sz w:val="24"/>
                <w:szCs w:val="24"/>
                <w:color w:val="auto"/>
              </w:rPr>
            </w:pPr>
          </w:p>
        </w:tc>
        <w:tc>
          <w:tcPr>
            <w:tcW w:w="1700" w:type="dxa"/>
            <w:vAlign w:val="bottom"/>
            <w:tcBorders>
              <w:top w:val="single" w:sz="8" w:color="2360A6"/>
              <w:right w:val="single" w:sz="8" w:color="2360A6"/>
            </w:tcBorders>
            <w:gridSpan w:val="2"/>
          </w:tcPr>
          <w:p>
            <w:pPr>
              <w:jc w:val="right"/>
              <w:spacing w:after="0"/>
              <w:rPr>
                <w:sz w:val="20"/>
                <w:szCs w:val="20"/>
                <w:color w:val="auto"/>
              </w:rPr>
            </w:pPr>
            <w:r>
              <w:rPr>
                <w:rFonts w:ascii="Arial" w:cs="Arial" w:eastAsia="Arial" w:hAnsi="Arial"/>
                <w:sz w:val="13"/>
                <w:szCs w:val="13"/>
                <w:b w:val="1"/>
                <w:bCs w:val="1"/>
                <w:color w:val="auto"/>
              </w:rPr>
              <w:t>Defined Benefit</w:t>
            </w:r>
          </w:p>
        </w:tc>
        <w:tc>
          <w:tcPr>
            <w:tcW w:w="1500" w:type="dxa"/>
            <w:vAlign w:val="bottom"/>
            <w:tcBorders>
              <w:top w:val="single" w:sz="8" w:color="2360A6"/>
              <w:right w:val="single" w:sz="8" w:color="2360A6"/>
            </w:tcBorders>
            <w:gridSpan w:val="2"/>
          </w:tcPr>
          <w:p>
            <w:pPr>
              <w:jc w:val="right"/>
              <w:spacing w:after="0"/>
              <w:rPr>
                <w:sz w:val="20"/>
                <w:szCs w:val="20"/>
                <w:color w:val="auto"/>
              </w:rPr>
            </w:pPr>
            <w:r>
              <w:rPr>
                <w:rFonts w:ascii="Arial" w:cs="Arial" w:eastAsia="Arial" w:hAnsi="Arial"/>
                <w:sz w:val="13"/>
                <w:szCs w:val="13"/>
                <w:b w:val="1"/>
                <w:bCs w:val="1"/>
                <w:color w:val="auto"/>
              </w:rPr>
              <w:t>Fair Value of</w:t>
            </w:r>
          </w:p>
        </w:tc>
        <w:tc>
          <w:tcPr>
            <w:tcW w:w="1780" w:type="dxa"/>
            <w:vAlign w:val="bottom"/>
            <w:tcBorders>
              <w:top w:val="single" w:sz="8" w:color="2360A6"/>
              <w:right w:val="single" w:sz="8" w:color="2360A6"/>
            </w:tcBorders>
            <w:gridSpan w:val="2"/>
            <w:shd w:val="clear" w:color="auto" w:fill="2360A6"/>
          </w:tcPr>
          <w:p>
            <w:pPr>
              <w:jc w:val="right"/>
              <w:spacing w:after="0"/>
              <w:rPr>
                <w:sz w:val="20"/>
                <w:szCs w:val="20"/>
                <w:color w:val="auto"/>
              </w:rPr>
            </w:pPr>
            <w:r>
              <w:rPr>
                <w:rFonts w:ascii="Arial" w:cs="Arial" w:eastAsia="Arial" w:hAnsi="Arial"/>
                <w:sz w:val="13"/>
                <w:szCs w:val="13"/>
                <w:b w:val="1"/>
                <w:bCs w:val="1"/>
                <w:color w:val="FFFFFF"/>
              </w:rPr>
              <w:t>Net Defined Benefit</w:t>
            </w:r>
          </w:p>
        </w:tc>
        <w:tc>
          <w:tcPr>
            <w:tcW w:w="104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Cash Incentive</w:t>
            </w:r>
          </w:p>
        </w:tc>
        <w:tc>
          <w:tcPr>
            <w:tcW w:w="2220" w:type="dxa"/>
            <w:vAlign w:val="bottom"/>
            <w:tcBorders>
              <w:top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3"/>
                <w:szCs w:val="13"/>
                <w:b w:val="1"/>
                <w:bCs w:val="1"/>
                <w:color w:val="FFFFFF"/>
                <w:w w:val="99"/>
              </w:rPr>
              <w:t>Asset/ (Liability) as recorded in the</w:t>
            </w:r>
          </w:p>
        </w:tc>
      </w:tr>
      <w:tr>
        <w:trPr>
          <w:trHeight w:val="178"/>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auto"/>
              </w:rPr>
              <w:t>In millions of Euro</w:t>
            </w:r>
          </w:p>
        </w:tc>
        <w:tc>
          <w:tcPr>
            <w:tcW w:w="860" w:type="dxa"/>
            <w:vAlign w:val="bottom"/>
            <w:tcBorders>
              <w:bottom w:val="single" w:sz="8" w:color="2360A6"/>
            </w:tcBorders>
          </w:tcPr>
          <w:p>
            <w:pPr>
              <w:spacing w:after="0"/>
              <w:rPr>
                <w:sz w:val="15"/>
                <w:szCs w:val="15"/>
                <w:color w:val="auto"/>
              </w:rPr>
            </w:pPr>
          </w:p>
        </w:tc>
        <w:tc>
          <w:tcPr>
            <w:tcW w:w="8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Obligation</w:t>
            </w:r>
          </w:p>
        </w:tc>
        <w:tc>
          <w:tcPr>
            <w:tcW w:w="740" w:type="dxa"/>
            <w:vAlign w:val="bottom"/>
            <w:tcBorders>
              <w:bottom w:val="single" w:sz="8" w:color="2360A6"/>
            </w:tcBorders>
          </w:tcPr>
          <w:p>
            <w:pPr>
              <w:spacing w:after="0"/>
              <w:rPr>
                <w:sz w:val="15"/>
                <w:szCs w:val="15"/>
                <w:color w:val="auto"/>
              </w:rPr>
            </w:pPr>
          </w:p>
        </w:tc>
        <w:tc>
          <w:tcPr>
            <w:tcW w:w="7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w w:val="97"/>
              </w:rPr>
              <w:t>Plan Assets</w:t>
            </w:r>
          </w:p>
        </w:tc>
        <w:tc>
          <w:tcPr>
            <w:tcW w:w="1040" w:type="dxa"/>
            <w:vAlign w:val="bottom"/>
            <w:tcBorders>
              <w:bottom w:val="single" w:sz="8" w:color="2360A6"/>
              <w:right w:val="single" w:sz="8" w:color="2360A6"/>
            </w:tcBorders>
            <w:shd w:val="clear" w:color="auto" w:fill="2360A6"/>
          </w:tcPr>
          <w:p>
            <w:pPr>
              <w:spacing w:after="0"/>
              <w:rPr>
                <w:sz w:val="15"/>
                <w:szCs w:val="15"/>
                <w:color w:val="auto"/>
              </w:rPr>
            </w:pPr>
          </w:p>
        </w:tc>
        <w:tc>
          <w:tcPr>
            <w:tcW w:w="74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3"/>
                <w:szCs w:val="13"/>
                <w:b w:val="1"/>
                <w:bCs w:val="1"/>
                <w:color w:val="FFFFFF"/>
              </w:rPr>
              <w:t>Obligation</w:t>
            </w:r>
          </w:p>
        </w:tc>
        <w:tc>
          <w:tcPr>
            <w:tcW w:w="10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Plans</w:t>
            </w:r>
          </w:p>
        </w:tc>
        <w:tc>
          <w:tcPr>
            <w:tcW w:w="222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3"/>
                <w:szCs w:val="13"/>
                <w:b w:val="1"/>
                <w:bCs w:val="1"/>
                <w:color w:val="FFFFFF"/>
              </w:rPr>
              <w:t>statement of Financial Position</w:t>
            </w:r>
          </w:p>
        </w:tc>
      </w:tr>
      <w:tr>
        <w:trPr>
          <w:trHeight w:val="264"/>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auto"/>
              </w:rPr>
              <w:t>As of January 1, 2014</w:t>
            </w:r>
          </w:p>
        </w:tc>
        <w:tc>
          <w:tcPr>
            <w:tcW w:w="860" w:type="dxa"/>
            <w:vAlign w:val="bottom"/>
            <w:tcBorders>
              <w:bottom w:val="single" w:sz="8" w:color="2360A6"/>
              <w:right w:val="single" w:sz="8" w:color="2360A6"/>
            </w:tcBorders>
          </w:tcPr>
          <w:p>
            <w:pPr>
              <w:spacing w:after="0"/>
              <w:rPr>
                <w:sz w:val="22"/>
                <w:szCs w:val="22"/>
                <w:color w:val="auto"/>
              </w:rPr>
            </w:pPr>
          </w:p>
        </w:tc>
        <w:tc>
          <w:tcPr>
            <w:tcW w:w="8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413.5</w:t>
            </w:r>
          </w:p>
        </w:tc>
        <w:tc>
          <w:tcPr>
            <w:tcW w:w="740" w:type="dxa"/>
            <w:vAlign w:val="bottom"/>
            <w:tcBorders>
              <w:bottom w:val="single" w:sz="8" w:color="2360A6"/>
              <w:right w:val="single" w:sz="8" w:color="2360A6"/>
            </w:tcBorders>
          </w:tcPr>
          <w:p>
            <w:pPr>
              <w:spacing w:after="0"/>
              <w:rPr>
                <w:sz w:val="22"/>
                <w:szCs w:val="22"/>
                <w:color w:val="auto"/>
              </w:rPr>
            </w:pPr>
          </w:p>
        </w:tc>
        <w:tc>
          <w:tcPr>
            <w:tcW w:w="7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195.6</w:t>
            </w:r>
          </w:p>
        </w:tc>
        <w:tc>
          <w:tcPr>
            <w:tcW w:w="1040" w:type="dxa"/>
            <w:vAlign w:val="bottom"/>
            <w:tcBorders>
              <w:bottom w:val="single" w:sz="8" w:color="2360A6"/>
              <w:right w:val="single" w:sz="8" w:color="2360A6"/>
            </w:tcBorders>
            <w:shd w:val="clear" w:color="auto" w:fill="DCDDDE"/>
          </w:tcPr>
          <w:p>
            <w:pPr>
              <w:spacing w:after="0"/>
              <w:rPr>
                <w:sz w:val="22"/>
                <w:szCs w:val="22"/>
                <w:color w:val="auto"/>
              </w:rPr>
            </w:pPr>
          </w:p>
        </w:tc>
        <w:tc>
          <w:tcPr>
            <w:tcW w:w="74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217.9</w:t>
            </w:r>
          </w:p>
        </w:tc>
        <w:tc>
          <w:tcPr>
            <w:tcW w:w="10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color w:val="auto"/>
              </w:rPr>
              <w:t>46.2</w:t>
            </w:r>
          </w:p>
        </w:tc>
        <w:tc>
          <w:tcPr>
            <w:tcW w:w="22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264.1</w:t>
            </w:r>
          </w:p>
        </w:tc>
      </w:tr>
      <w:tr>
        <w:trPr>
          <w:trHeight w:val="140"/>
        </w:trPr>
        <w:tc>
          <w:tcPr>
            <w:tcW w:w="2360" w:type="dxa"/>
            <w:vAlign w:val="bottom"/>
            <w:tcBorders>
              <w:left w:val="single" w:sz="8" w:color="2360A6"/>
              <w:right w:val="single" w:sz="8" w:color="2360A6"/>
            </w:tcBorders>
          </w:tcPr>
          <w:p>
            <w:pPr>
              <w:ind w:left="40"/>
              <w:spacing w:after="0" w:line="140" w:lineRule="exact"/>
              <w:rPr>
                <w:sz w:val="20"/>
                <w:szCs w:val="20"/>
                <w:color w:val="auto"/>
              </w:rPr>
            </w:pPr>
            <w:r>
              <w:rPr>
                <w:rFonts w:ascii="Arial" w:cs="Arial" w:eastAsia="Arial" w:hAnsi="Arial"/>
                <w:sz w:val="13"/>
                <w:szCs w:val="13"/>
                <w:b w:val="1"/>
                <w:bCs w:val="1"/>
                <w:color w:val="auto"/>
                <w:w w:val="97"/>
              </w:rPr>
              <w:t>Expense as recorded in the statement</w:t>
            </w:r>
          </w:p>
        </w:tc>
        <w:tc>
          <w:tcPr>
            <w:tcW w:w="860" w:type="dxa"/>
            <w:vAlign w:val="bottom"/>
            <w:tcBorders>
              <w:right w:val="single" w:sz="8" w:color="2360A6"/>
            </w:tcBorders>
          </w:tcPr>
          <w:p>
            <w:pPr>
              <w:spacing w:after="0"/>
              <w:rPr>
                <w:sz w:val="12"/>
                <w:szCs w:val="12"/>
                <w:color w:val="auto"/>
              </w:rPr>
            </w:pPr>
          </w:p>
        </w:tc>
        <w:tc>
          <w:tcPr>
            <w:tcW w:w="840" w:type="dxa"/>
            <w:vAlign w:val="bottom"/>
            <w:tcBorders>
              <w:right w:val="single" w:sz="8" w:color="2360A6"/>
            </w:tcBorders>
          </w:tcPr>
          <w:p>
            <w:pPr>
              <w:spacing w:after="0"/>
              <w:rPr>
                <w:sz w:val="12"/>
                <w:szCs w:val="12"/>
                <w:color w:val="auto"/>
              </w:rPr>
            </w:pPr>
          </w:p>
        </w:tc>
        <w:tc>
          <w:tcPr>
            <w:tcW w:w="740" w:type="dxa"/>
            <w:vAlign w:val="bottom"/>
            <w:tcBorders>
              <w:right w:val="single" w:sz="8" w:color="2360A6"/>
            </w:tcBorders>
          </w:tcPr>
          <w:p>
            <w:pPr>
              <w:spacing w:after="0"/>
              <w:rPr>
                <w:sz w:val="12"/>
                <w:szCs w:val="12"/>
                <w:color w:val="auto"/>
              </w:rPr>
            </w:pPr>
          </w:p>
        </w:tc>
        <w:tc>
          <w:tcPr>
            <w:tcW w:w="760" w:type="dxa"/>
            <w:vAlign w:val="bottom"/>
            <w:tcBorders>
              <w:right w:val="single" w:sz="8" w:color="2360A6"/>
            </w:tcBorders>
          </w:tcPr>
          <w:p>
            <w:pPr>
              <w:spacing w:after="0"/>
              <w:rPr>
                <w:sz w:val="12"/>
                <w:szCs w:val="12"/>
                <w:color w:val="auto"/>
              </w:rPr>
            </w:pPr>
          </w:p>
        </w:tc>
        <w:tc>
          <w:tcPr>
            <w:tcW w:w="1040" w:type="dxa"/>
            <w:vAlign w:val="bottom"/>
            <w:tcBorders>
              <w:right w:val="single" w:sz="8" w:color="2360A6"/>
            </w:tcBorders>
            <w:shd w:val="clear" w:color="auto" w:fill="DCDDDE"/>
          </w:tcPr>
          <w:p>
            <w:pPr>
              <w:spacing w:after="0"/>
              <w:rPr>
                <w:sz w:val="12"/>
                <w:szCs w:val="12"/>
                <w:color w:val="auto"/>
              </w:rPr>
            </w:pPr>
          </w:p>
        </w:tc>
        <w:tc>
          <w:tcPr>
            <w:tcW w:w="740" w:type="dxa"/>
            <w:vAlign w:val="bottom"/>
            <w:tcBorders>
              <w:right w:val="single" w:sz="8" w:color="2360A6"/>
            </w:tcBorders>
            <w:shd w:val="clear" w:color="auto" w:fill="DCDDDE"/>
          </w:tcPr>
          <w:p>
            <w:pPr>
              <w:spacing w:after="0"/>
              <w:rPr>
                <w:sz w:val="12"/>
                <w:szCs w:val="12"/>
                <w:color w:val="auto"/>
              </w:rPr>
            </w:pPr>
          </w:p>
        </w:tc>
        <w:tc>
          <w:tcPr>
            <w:tcW w:w="1040" w:type="dxa"/>
            <w:vAlign w:val="bottom"/>
            <w:tcBorders>
              <w:right w:val="single" w:sz="8" w:color="2360A6"/>
            </w:tcBorders>
          </w:tcPr>
          <w:p>
            <w:pPr>
              <w:spacing w:after="0"/>
              <w:rPr>
                <w:sz w:val="12"/>
                <w:szCs w:val="12"/>
                <w:color w:val="auto"/>
              </w:rPr>
            </w:pPr>
          </w:p>
        </w:tc>
        <w:tc>
          <w:tcPr>
            <w:tcW w:w="2220" w:type="dxa"/>
            <w:vAlign w:val="bottom"/>
            <w:tcBorders>
              <w:right w:val="single" w:sz="8" w:color="2360A6"/>
            </w:tcBorders>
            <w:shd w:val="clear" w:color="auto" w:fill="DCDDDE"/>
          </w:tcPr>
          <w:p>
            <w:pPr>
              <w:spacing w:after="0"/>
              <w:rPr>
                <w:sz w:val="12"/>
                <w:szCs w:val="12"/>
                <w:color w:val="auto"/>
              </w:rPr>
            </w:pPr>
          </w:p>
        </w:tc>
      </w:tr>
      <w:tr>
        <w:trPr>
          <w:trHeight w:val="178"/>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auto"/>
              </w:rPr>
              <w:t>of income</w:t>
            </w:r>
          </w:p>
        </w:tc>
        <w:tc>
          <w:tcPr>
            <w:tcW w:w="860" w:type="dxa"/>
            <w:vAlign w:val="bottom"/>
            <w:tcBorders>
              <w:bottom w:val="single" w:sz="8" w:color="2360A6"/>
              <w:right w:val="single" w:sz="8" w:color="2360A6"/>
            </w:tcBorders>
          </w:tcPr>
          <w:p>
            <w:pPr>
              <w:spacing w:after="0"/>
              <w:rPr>
                <w:sz w:val="15"/>
                <w:szCs w:val="15"/>
                <w:color w:val="auto"/>
              </w:rPr>
            </w:pPr>
          </w:p>
        </w:tc>
        <w:tc>
          <w:tcPr>
            <w:tcW w:w="8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(103.4)</w:t>
            </w:r>
          </w:p>
        </w:tc>
        <w:tc>
          <w:tcPr>
            <w:tcW w:w="740" w:type="dxa"/>
            <w:vAlign w:val="bottom"/>
            <w:tcBorders>
              <w:bottom w:val="single" w:sz="8" w:color="2360A6"/>
              <w:right w:val="single" w:sz="8" w:color="2360A6"/>
            </w:tcBorders>
          </w:tcPr>
          <w:p>
            <w:pPr>
              <w:spacing w:after="0"/>
              <w:rPr>
                <w:sz w:val="15"/>
                <w:szCs w:val="15"/>
                <w:color w:val="auto"/>
              </w:rPr>
            </w:pPr>
          </w:p>
        </w:tc>
        <w:tc>
          <w:tcPr>
            <w:tcW w:w="7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(20.0)</w:t>
            </w:r>
          </w:p>
        </w:tc>
        <w:tc>
          <w:tcPr>
            <w:tcW w:w="1040" w:type="dxa"/>
            <w:vAlign w:val="bottom"/>
            <w:tcBorders>
              <w:bottom w:val="single" w:sz="8" w:color="2360A6"/>
              <w:right w:val="single" w:sz="8" w:color="2360A6"/>
            </w:tcBorders>
            <w:shd w:val="clear" w:color="auto" w:fill="DCDDDE"/>
          </w:tcPr>
          <w:p>
            <w:pPr>
              <w:spacing w:after="0"/>
              <w:rPr>
                <w:sz w:val="15"/>
                <w:szCs w:val="15"/>
                <w:color w:val="auto"/>
              </w:rPr>
            </w:pPr>
          </w:p>
        </w:tc>
        <w:tc>
          <w:tcPr>
            <w:tcW w:w="74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(83.4)</w:t>
            </w:r>
          </w:p>
        </w:tc>
        <w:tc>
          <w:tcPr>
            <w:tcW w:w="1040" w:type="dxa"/>
            <w:vAlign w:val="bottom"/>
            <w:tcBorders>
              <w:bottom w:val="single" w:sz="8" w:color="2360A6"/>
              <w:right w:val="single" w:sz="8" w:color="2360A6"/>
            </w:tcBorders>
          </w:tcPr>
          <w:p>
            <w:pPr>
              <w:spacing w:after="0"/>
              <w:rPr>
                <w:sz w:val="15"/>
                <w:szCs w:val="15"/>
                <w:color w:val="auto"/>
              </w:rPr>
            </w:pPr>
          </w:p>
        </w:tc>
        <w:tc>
          <w:tcPr>
            <w:tcW w:w="22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(83.4)</w:t>
            </w:r>
          </w:p>
        </w:tc>
      </w:tr>
      <w:tr>
        <w:trPr>
          <w:trHeight w:val="264"/>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Total current service cost</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22.1</w:t>
            </w:r>
          </w:p>
        </w:tc>
        <w:tc>
          <w:tcPr>
            <w:tcW w:w="8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2360A6"/>
              <w:right w:val="single" w:sz="8" w:color="2360A6"/>
            </w:tcBorders>
          </w:tcPr>
          <w:p>
            <w:pPr>
              <w:spacing w:after="0"/>
              <w:rPr>
                <w:sz w:val="22"/>
                <w:szCs w:val="22"/>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color w:val="auto"/>
              </w:rPr>
              <w:t>22.1</w:t>
            </w:r>
          </w:p>
        </w:tc>
        <w:tc>
          <w:tcPr>
            <w:tcW w:w="74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20" w:type="dxa"/>
            <w:vAlign w:val="bottom"/>
            <w:tcBorders>
              <w:bottom w:val="single" w:sz="8" w:color="2360A6"/>
              <w:right w:val="single" w:sz="8" w:color="2360A6"/>
            </w:tcBorders>
            <w:shd w:val="clear" w:color="auto" w:fill="DCDDDE"/>
          </w:tcPr>
          <w:p>
            <w:pPr>
              <w:spacing w:after="0"/>
              <w:rPr>
                <w:sz w:val="22"/>
                <w:szCs w:val="22"/>
                <w:color w:val="auto"/>
              </w:rPr>
            </w:pPr>
          </w:p>
        </w:tc>
      </w:tr>
      <w:tr>
        <w:trPr>
          <w:trHeight w:val="264"/>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Net Financial Costs</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14.9</w:t>
            </w:r>
          </w:p>
        </w:tc>
        <w:tc>
          <w:tcPr>
            <w:tcW w:w="8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7.6</w:t>
            </w:r>
          </w:p>
        </w:tc>
        <w:tc>
          <w:tcPr>
            <w:tcW w:w="760" w:type="dxa"/>
            <w:vAlign w:val="bottom"/>
            <w:tcBorders>
              <w:bottom w:val="single" w:sz="8" w:color="2360A6"/>
              <w:right w:val="single" w:sz="8" w:color="2360A6"/>
            </w:tcBorders>
          </w:tcPr>
          <w:p>
            <w:pPr>
              <w:spacing w:after="0"/>
              <w:rPr>
                <w:sz w:val="22"/>
                <w:szCs w:val="22"/>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color w:val="auto"/>
              </w:rPr>
              <w:t>7.3</w:t>
            </w:r>
          </w:p>
        </w:tc>
        <w:tc>
          <w:tcPr>
            <w:tcW w:w="74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20" w:type="dxa"/>
            <w:vAlign w:val="bottom"/>
            <w:tcBorders>
              <w:bottom w:val="single" w:sz="8" w:color="2360A6"/>
              <w:right w:val="single" w:sz="8" w:color="2360A6"/>
            </w:tcBorders>
            <w:shd w:val="clear" w:color="auto" w:fill="DCDDDE"/>
          </w:tcPr>
          <w:p>
            <w:pPr>
              <w:spacing w:after="0"/>
              <w:rPr>
                <w:sz w:val="22"/>
                <w:szCs w:val="22"/>
                <w:color w:val="auto"/>
              </w:rPr>
            </w:pPr>
          </w:p>
        </w:tc>
      </w:tr>
      <w:tr>
        <w:trPr>
          <w:trHeight w:val="197"/>
        </w:trPr>
        <w:tc>
          <w:tcPr>
            <w:tcW w:w="23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Actuarial Gains/(Losses)</w:t>
            </w:r>
          </w:p>
        </w:tc>
        <w:tc>
          <w:tcPr>
            <w:tcW w:w="860" w:type="dxa"/>
            <w:vAlign w:val="bottom"/>
            <w:tcBorders>
              <w:right w:val="single" w:sz="8" w:color="2360A6"/>
            </w:tcBorders>
          </w:tcPr>
          <w:p>
            <w:pPr>
              <w:spacing w:after="0"/>
              <w:rPr>
                <w:sz w:val="17"/>
                <w:szCs w:val="17"/>
                <w:color w:val="auto"/>
              </w:rPr>
            </w:pPr>
          </w:p>
        </w:tc>
        <w:tc>
          <w:tcPr>
            <w:tcW w:w="840" w:type="dxa"/>
            <w:vAlign w:val="bottom"/>
            <w:tcBorders>
              <w:right w:val="single" w:sz="8" w:color="2360A6"/>
            </w:tcBorders>
          </w:tcPr>
          <w:p>
            <w:pPr>
              <w:spacing w:after="0"/>
              <w:rPr>
                <w:sz w:val="17"/>
                <w:szCs w:val="17"/>
                <w:color w:val="auto"/>
              </w:rPr>
            </w:pPr>
          </w:p>
        </w:tc>
        <w:tc>
          <w:tcPr>
            <w:tcW w:w="740" w:type="dxa"/>
            <w:vAlign w:val="bottom"/>
            <w:tcBorders>
              <w:right w:val="single" w:sz="8" w:color="2360A6"/>
            </w:tcBorders>
          </w:tcPr>
          <w:p>
            <w:pPr>
              <w:spacing w:after="0"/>
              <w:rPr>
                <w:sz w:val="17"/>
                <w:szCs w:val="17"/>
                <w:color w:val="auto"/>
              </w:rPr>
            </w:pPr>
          </w:p>
        </w:tc>
        <w:tc>
          <w:tcPr>
            <w:tcW w:w="760" w:type="dxa"/>
            <w:vAlign w:val="bottom"/>
            <w:tcBorders>
              <w:right w:val="single" w:sz="8" w:color="2360A6"/>
            </w:tcBorders>
          </w:tcPr>
          <w:p>
            <w:pPr>
              <w:spacing w:after="0"/>
              <w:rPr>
                <w:sz w:val="17"/>
                <w:szCs w:val="17"/>
                <w:color w:val="auto"/>
              </w:rPr>
            </w:pPr>
          </w:p>
        </w:tc>
        <w:tc>
          <w:tcPr>
            <w:tcW w:w="1040" w:type="dxa"/>
            <w:vAlign w:val="bottom"/>
            <w:tcBorders>
              <w:right w:val="single" w:sz="8" w:color="2360A6"/>
            </w:tcBorders>
            <w:shd w:val="clear" w:color="auto" w:fill="DCDDDE"/>
          </w:tcPr>
          <w:p>
            <w:pPr>
              <w:spacing w:after="0"/>
              <w:rPr>
                <w:sz w:val="17"/>
                <w:szCs w:val="17"/>
                <w:color w:val="auto"/>
              </w:rPr>
            </w:pPr>
          </w:p>
        </w:tc>
        <w:tc>
          <w:tcPr>
            <w:tcW w:w="740" w:type="dxa"/>
            <w:vAlign w:val="bottom"/>
            <w:tcBorders>
              <w:right w:val="single" w:sz="8" w:color="2360A6"/>
            </w:tcBorders>
            <w:shd w:val="clear" w:color="auto" w:fill="DCDDDE"/>
          </w:tcPr>
          <w:p>
            <w:pPr>
              <w:spacing w:after="0"/>
              <w:rPr>
                <w:sz w:val="17"/>
                <w:szCs w:val="17"/>
                <w:color w:val="auto"/>
              </w:rPr>
            </w:pPr>
          </w:p>
        </w:tc>
        <w:tc>
          <w:tcPr>
            <w:tcW w:w="1040" w:type="dxa"/>
            <w:vAlign w:val="bottom"/>
            <w:tcBorders>
              <w:right w:val="single" w:sz="8" w:color="2360A6"/>
            </w:tcBorders>
          </w:tcPr>
          <w:p>
            <w:pPr>
              <w:spacing w:after="0"/>
              <w:rPr>
                <w:sz w:val="17"/>
                <w:szCs w:val="17"/>
                <w:color w:val="auto"/>
              </w:rPr>
            </w:pPr>
          </w:p>
        </w:tc>
        <w:tc>
          <w:tcPr>
            <w:tcW w:w="2220" w:type="dxa"/>
            <w:vAlign w:val="bottom"/>
            <w:tcBorders>
              <w:right w:val="single" w:sz="8" w:color="2360A6"/>
            </w:tcBorders>
            <w:shd w:val="clear" w:color="auto" w:fill="DCDDDE"/>
          </w:tcPr>
          <w:p>
            <w:pPr>
              <w:spacing w:after="0"/>
              <w:rPr>
                <w:sz w:val="17"/>
                <w:szCs w:val="17"/>
                <w:color w:val="auto"/>
              </w:rPr>
            </w:pPr>
          </w:p>
        </w:tc>
      </w:tr>
      <w:tr>
        <w:trPr>
          <w:trHeight w:val="162"/>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of the Year</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0.4</w:t>
            </w:r>
          </w:p>
        </w:tc>
        <w:tc>
          <w:tcPr>
            <w:tcW w:w="840" w:type="dxa"/>
            <w:vAlign w:val="bottom"/>
            <w:tcBorders>
              <w:bottom w:val="single" w:sz="8" w:color="2360A6"/>
              <w:right w:val="single" w:sz="8" w:color="2360A6"/>
            </w:tcBorders>
          </w:tcPr>
          <w:p>
            <w:pPr>
              <w:spacing w:after="0"/>
              <w:rPr>
                <w:sz w:val="14"/>
                <w:szCs w:val="14"/>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2360A6"/>
              <w:right w:val="single" w:sz="8" w:color="2360A6"/>
            </w:tcBorders>
          </w:tcPr>
          <w:p>
            <w:pPr>
              <w:spacing w:after="0"/>
              <w:rPr>
                <w:sz w:val="14"/>
                <w:szCs w:val="14"/>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color w:val="auto"/>
              </w:rPr>
              <w:t>0.4</w:t>
            </w:r>
          </w:p>
        </w:tc>
        <w:tc>
          <w:tcPr>
            <w:tcW w:w="740" w:type="dxa"/>
            <w:vAlign w:val="bottom"/>
            <w:tcBorders>
              <w:bottom w:val="single" w:sz="8" w:color="2360A6"/>
              <w:right w:val="single" w:sz="8" w:color="2360A6"/>
            </w:tcBorders>
            <w:shd w:val="clear" w:color="auto" w:fill="DCDDDE"/>
          </w:tcPr>
          <w:p>
            <w:pPr>
              <w:spacing w:after="0"/>
              <w:rPr>
                <w:sz w:val="14"/>
                <w:szCs w:val="14"/>
                <w:color w:val="auto"/>
              </w:rPr>
            </w:pPr>
          </w:p>
        </w:tc>
        <w:tc>
          <w:tcPr>
            <w:tcW w:w="1040" w:type="dxa"/>
            <w:vAlign w:val="bottom"/>
            <w:tcBorders>
              <w:bottom w:val="single" w:sz="8" w:color="2360A6"/>
              <w:right w:val="single" w:sz="8" w:color="2360A6"/>
            </w:tcBorders>
          </w:tcPr>
          <w:p>
            <w:pPr>
              <w:spacing w:after="0"/>
              <w:rPr>
                <w:sz w:val="14"/>
                <w:szCs w:val="14"/>
                <w:color w:val="auto"/>
              </w:rPr>
            </w:pPr>
          </w:p>
        </w:tc>
        <w:tc>
          <w:tcPr>
            <w:tcW w:w="2220" w:type="dxa"/>
            <w:vAlign w:val="bottom"/>
            <w:tcBorders>
              <w:bottom w:val="single" w:sz="8" w:color="2360A6"/>
              <w:right w:val="single" w:sz="8" w:color="2360A6"/>
            </w:tcBorders>
            <w:shd w:val="clear" w:color="auto" w:fill="DCDDDE"/>
          </w:tcPr>
          <w:p>
            <w:pPr>
              <w:spacing w:after="0"/>
              <w:rPr>
                <w:sz w:val="14"/>
                <w:szCs w:val="14"/>
                <w:color w:val="auto"/>
              </w:rPr>
            </w:pPr>
          </w:p>
        </w:tc>
      </w:tr>
      <w:tr>
        <w:trPr>
          <w:trHeight w:val="156"/>
        </w:trPr>
        <w:tc>
          <w:tcPr>
            <w:tcW w:w="23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Special Events</w:t>
            </w:r>
          </w:p>
        </w:tc>
        <w:tc>
          <w:tcPr>
            <w:tcW w:w="860" w:type="dxa"/>
            <w:vAlign w:val="bottom"/>
            <w:tcBorders>
              <w:right w:val="single" w:sz="8" w:color="2360A6"/>
            </w:tcBorders>
          </w:tcPr>
          <w:p>
            <w:pPr>
              <w:spacing w:after="0"/>
              <w:rPr>
                <w:sz w:val="13"/>
                <w:szCs w:val="13"/>
                <w:color w:val="auto"/>
              </w:rPr>
            </w:pPr>
          </w:p>
        </w:tc>
        <w:tc>
          <w:tcPr>
            <w:tcW w:w="8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60" w:type="dxa"/>
            <w:vAlign w:val="bottom"/>
            <w:tcBorders>
              <w:right w:val="single" w:sz="8" w:color="2360A6"/>
            </w:tcBorders>
          </w:tcPr>
          <w:p>
            <w:pPr>
              <w:spacing w:after="0"/>
              <w:rPr>
                <w:sz w:val="13"/>
                <w:szCs w:val="13"/>
                <w:color w:val="auto"/>
              </w:rPr>
            </w:pPr>
          </w:p>
        </w:tc>
        <w:tc>
          <w:tcPr>
            <w:tcW w:w="1040" w:type="dxa"/>
            <w:vAlign w:val="bottom"/>
            <w:tcBorders>
              <w:right w:val="single" w:sz="8" w:color="2360A6"/>
            </w:tcBorders>
            <w:shd w:val="clear" w:color="auto" w:fill="DCDDDE"/>
          </w:tcPr>
          <w:p>
            <w:pPr>
              <w:spacing w:after="0"/>
              <w:rPr>
                <w:sz w:val="13"/>
                <w:szCs w:val="13"/>
                <w:color w:val="auto"/>
              </w:rPr>
            </w:pPr>
          </w:p>
        </w:tc>
        <w:tc>
          <w:tcPr>
            <w:tcW w:w="740" w:type="dxa"/>
            <w:vAlign w:val="bottom"/>
            <w:tcBorders>
              <w:right w:val="single" w:sz="8" w:color="2360A6"/>
            </w:tcBorders>
            <w:shd w:val="clear" w:color="auto" w:fill="DCDDDE"/>
          </w:tcPr>
          <w:p>
            <w:pPr>
              <w:spacing w:after="0"/>
              <w:rPr>
                <w:sz w:val="13"/>
                <w:szCs w:val="13"/>
                <w:color w:val="auto"/>
              </w:rPr>
            </w:pPr>
          </w:p>
        </w:tc>
        <w:tc>
          <w:tcPr>
            <w:tcW w:w="1040" w:type="dxa"/>
            <w:vAlign w:val="bottom"/>
            <w:tcBorders>
              <w:right w:val="single" w:sz="8" w:color="2360A6"/>
            </w:tcBorders>
          </w:tcPr>
          <w:p>
            <w:pPr>
              <w:spacing w:after="0"/>
              <w:rPr>
                <w:sz w:val="13"/>
                <w:szCs w:val="13"/>
                <w:color w:val="auto"/>
              </w:rPr>
            </w:pPr>
          </w:p>
        </w:tc>
        <w:tc>
          <w:tcPr>
            <w:tcW w:w="2220" w:type="dxa"/>
            <w:vAlign w:val="bottom"/>
            <w:tcBorders>
              <w:right w:val="single" w:sz="8" w:color="2360A6"/>
            </w:tcBorders>
            <w:shd w:val="clear" w:color="auto" w:fill="DCDDDE"/>
          </w:tcPr>
          <w:p>
            <w:pPr>
              <w:spacing w:after="0"/>
              <w:rPr>
                <w:sz w:val="13"/>
                <w:szCs w:val="13"/>
                <w:color w:val="auto"/>
              </w:rPr>
            </w:pPr>
          </w:p>
        </w:tc>
      </w:tr>
      <w:tr>
        <w:trPr>
          <w:trHeight w:val="162"/>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(curtailment/settlement)</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(141.9)</w:t>
            </w:r>
          </w:p>
        </w:tc>
        <w:tc>
          <w:tcPr>
            <w:tcW w:w="840" w:type="dxa"/>
            <w:vAlign w:val="bottom"/>
            <w:tcBorders>
              <w:bottom w:val="single" w:sz="8" w:color="2360A6"/>
              <w:right w:val="single" w:sz="8" w:color="2360A6"/>
            </w:tcBorders>
          </w:tcPr>
          <w:p>
            <w:pPr>
              <w:spacing w:after="0"/>
              <w:rPr>
                <w:sz w:val="14"/>
                <w:szCs w:val="14"/>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(27.6)</w:t>
            </w:r>
          </w:p>
        </w:tc>
        <w:tc>
          <w:tcPr>
            <w:tcW w:w="760" w:type="dxa"/>
            <w:vAlign w:val="bottom"/>
            <w:tcBorders>
              <w:bottom w:val="single" w:sz="8" w:color="2360A6"/>
              <w:right w:val="single" w:sz="8" w:color="2360A6"/>
            </w:tcBorders>
          </w:tcPr>
          <w:p>
            <w:pPr>
              <w:spacing w:after="0"/>
              <w:rPr>
                <w:sz w:val="14"/>
                <w:szCs w:val="14"/>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color w:val="auto"/>
              </w:rPr>
              <w:t>(114.3)</w:t>
            </w:r>
          </w:p>
        </w:tc>
        <w:tc>
          <w:tcPr>
            <w:tcW w:w="740" w:type="dxa"/>
            <w:vAlign w:val="bottom"/>
            <w:tcBorders>
              <w:bottom w:val="single" w:sz="8" w:color="2360A6"/>
              <w:right w:val="single" w:sz="8" w:color="2360A6"/>
            </w:tcBorders>
            <w:shd w:val="clear" w:color="auto" w:fill="DCDDDE"/>
          </w:tcPr>
          <w:p>
            <w:pPr>
              <w:spacing w:after="0"/>
              <w:rPr>
                <w:sz w:val="14"/>
                <w:szCs w:val="14"/>
                <w:color w:val="auto"/>
              </w:rPr>
            </w:pPr>
          </w:p>
        </w:tc>
        <w:tc>
          <w:tcPr>
            <w:tcW w:w="1040" w:type="dxa"/>
            <w:vAlign w:val="bottom"/>
            <w:tcBorders>
              <w:bottom w:val="single" w:sz="8" w:color="2360A6"/>
              <w:right w:val="single" w:sz="8" w:color="2360A6"/>
            </w:tcBorders>
          </w:tcPr>
          <w:p>
            <w:pPr>
              <w:spacing w:after="0"/>
              <w:rPr>
                <w:sz w:val="14"/>
                <w:szCs w:val="14"/>
                <w:color w:val="auto"/>
              </w:rPr>
            </w:pPr>
          </w:p>
        </w:tc>
        <w:tc>
          <w:tcPr>
            <w:tcW w:w="2220" w:type="dxa"/>
            <w:vAlign w:val="bottom"/>
            <w:tcBorders>
              <w:bottom w:val="single" w:sz="8" w:color="2360A6"/>
              <w:right w:val="single" w:sz="8" w:color="2360A6"/>
            </w:tcBorders>
            <w:shd w:val="clear" w:color="auto" w:fill="DCDDDE"/>
          </w:tcPr>
          <w:p>
            <w:pPr>
              <w:spacing w:after="0"/>
              <w:rPr>
                <w:sz w:val="14"/>
                <w:szCs w:val="14"/>
                <w:color w:val="auto"/>
              </w:rPr>
            </w:pPr>
          </w:p>
        </w:tc>
      </w:tr>
      <w:tr>
        <w:trPr>
          <w:trHeight w:val="264"/>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Administrative costs and taxes</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1.1</w:t>
            </w:r>
          </w:p>
        </w:tc>
        <w:tc>
          <w:tcPr>
            <w:tcW w:w="8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2360A6"/>
              <w:right w:val="single" w:sz="8" w:color="2360A6"/>
            </w:tcBorders>
          </w:tcPr>
          <w:p>
            <w:pPr>
              <w:spacing w:after="0"/>
              <w:rPr>
                <w:sz w:val="22"/>
                <w:szCs w:val="22"/>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color w:val="auto"/>
              </w:rPr>
              <w:t>1.1</w:t>
            </w:r>
          </w:p>
        </w:tc>
        <w:tc>
          <w:tcPr>
            <w:tcW w:w="74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20" w:type="dxa"/>
            <w:vAlign w:val="bottom"/>
            <w:tcBorders>
              <w:bottom w:val="single" w:sz="8" w:color="2360A6"/>
              <w:right w:val="single" w:sz="8" w:color="2360A6"/>
            </w:tcBorders>
            <w:shd w:val="clear" w:color="auto" w:fill="DCDDDE"/>
          </w:tcPr>
          <w:p>
            <w:pPr>
              <w:spacing w:after="0"/>
              <w:rPr>
                <w:sz w:val="22"/>
                <w:szCs w:val="22"/>
                <w:color w:val="auto"/>
              </w:rPr>
            </w:pPr>
          </w:p>
        </w:tc>
      </w:tr>
      <w:tr>
        <w:trPr>
          <w:trHeight w:val="264"/>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auto"/>
              </w:rPr>
              <w:t>OCI amounts</w:t>
            </w:r>
          </w:p>
        </w:tc>
        <w:tc>
          <w:tcPr>
            <w:tcW w:w="860" w:type="dxa"/>
            <w:vAlign w:val="bottom"/>
            <w:tcBorders>
              <w:bottom w:val="single" w:sz="8" w:color="2360A6"/>
              <w:right w:val="single" w:sz="8" w:color="2360A6"/>
            </w:tcBorders>
          </w:tcPr>
          <w:p>
            <w:pPr>
              <w:spacing w:after="0"/>
              <w:rPr>
                <w:sz w:val="22"/>
                <w:szCs w:val="22"/>
                <w:color w:val="auto"/>
              </w:rPr>
            </w:pPr>
          </w:p>
        </w:tc>
        <w:tc>
          <w:tcPr>
            <w:tcW w:w="8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115.5</w:t>
            </w:r>
          </w:p>
        </w:tc>
        <w:tc>
          <w:tcPr>
            <w:tcW w:w="740" w:type="dxa"/>
            <w:vAlign w:val="bottom"/>
            <w:tcBorders>
              <w:bottom w:val="single" w:sz="8" w:color="2360A6"/>
              <w:right w:val="single" w:sz="8" w:color="2360A6"/>
            </w:tcBorders>
          </w:tcPr>
          <w:p>
            <w:pPr>
              <w:spacing w:after="0"/>
              <w:rPr>
                <w:sz w:val="22"/>
                <w:szCs w:val="22"/>
                <w:color w:val="auto"/>
              </w:rPr>
            </w:pPr>
          </w:p>
        </w:tc>
        <w:tc>
          <w:tcPr>
            <w:tcW w:w="7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26.5</w:t>
            </w:r>
          </w:p>
        </w:tc>
        <w:tc>
          <w:tcPr>
            <w:tcW w:w="1040" w:type="dxa"/>
            <w:vAlign w:val="bottom"/>
            <w:tcBorders>
              <w:bottom w:val="single" w:sz="8" w:color="2360A6"/>
              <w:right w:val="single" w:sz="8" w:color="2360A6"/>
            </w:tcBorders>
            <w:shd w:val="clear" w:color="auto" w:fill="DCDDDE"/>
          </w:tcPr>
          <w:p>
            <w:pPr>
              <w:spacing w:after="0"/>
              <w:rPr>
                <w:sz w:val="22"/>
                <w:szCs w:val="22"/>
                <w:color w:val="auto"/>
              </w:rPr>
            </w:pPr>
          </w:p>
        </w:tc>
        <w:tc>
          <w:tcPr>
            <w:tcW w:w="74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89.0</w:t>
            </w:r>
          </w:p>
        </w:tc>
        <w:tc>
          <w:tcPr>
            <w:tcW w:w="1040" w:type="dxa"/>
            <w:vAlign w:val="bottom"/>
            <w:tcBorders>
              <w:bottom w:val="single" w:sz="8" w:color="2360A6"/>
              <w:right w:val="single" w:sz="8" w:color="2360A6"/>
            </w:tcBorders>
          </w:tcPr>
          <w:p>
            <w:pPr>
              <w:spacing w:after="0"/>
              <w:rPr>
                <w:sz w:val="22"/>
                <w:szCs w:val="22"/>
                <w:color w:val="auto"/>
              </w:rPr>
            </w:pPr>
          </w:p>
        </w:tc>
        <w:tc>
          <w:tcPr>
            <w:tcW w:w="22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89.0</w:t>
            </w:r>
          </w:p>
        </w:tc>
      </w:tr>
      <w:tr>
        <w:trPr>
          <w:trHeight w:val="156"/>
        </w:trPr>
        <w:tc>
          <w:tcPr>
            <w:tcW w:w="23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Actuarial (Gain) / Loss on</w:t>
            </w:r>
          </w:p>
        </w:tc>
        <w:tc>
          <w:tcPr>
            <w:tcW w:w="860" w:type="dxa"/>
            <w:vAlign w:val="bottom"/>
            <w:tcBorders>
              <w:right w:val="single" w:sz="8" w:color="2360A6"/>
            </w:tcBorders>
          </w:tcPr>
          <w:p>
            <w:pPr>
              <w:spacing w:after="0"/>
              <w:rPr>
                <w:sz w:val="13"/>
                <w:szCs w:val="13"/>
                <w:color w:val="auto"/>
              </w:rPr>
            </w:pPr>
          </w:p>
        </w:tc>
        <w:tc>
          <w:tcPr>
            <w:tcW w:w="8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60" w:type="dxa"/>
            <w:vAlign w:val="bottom"/>
            <w:tcBorders>
              <w:right w:val="single" w:sz="8" w:color="2360A6"/>
            </w:tcBorders>
          </w:tcPr>
          <w:p>
            <w:pPr>
              <w:spacing w:after="0"/>
              <w:rPr>
                <w:sz w:val="13"/>
                <w:szCs w:val="13"/>
                <w:color w:val="auto"/>
              </w:rPr>
            </w:pPr>
          </w:p>
        </w:tc>
        <w:tc>
          <w:tcPr>
            <w:tcW w:w="1040" w:type="dxa"/>
            <w:vAlign w:val="bottom"/>
            <w:tcBorders>
              <w:right w:val="single" w:sz="8" w:color="2360A6"/>
            </w:tcBorders>
            <w:shd w:val="clear" w:color="auto" w:fill="DCDDDE"/>
          </w:tcPr>
          <w:p>
            <w:pPr>
              <w:spacing w:after="0"/>
              <w:rPr>
                <w:sz w:val="13"/>
                <w:szCs w:val="13"/>
                <w:color w:val="auto"/>
              </w:rPr>
            </w:pPr>
          </w:p>
        </w:tc>
        <w:tc>
          <w:tcPr>
            <w:tcW w:w="740" w:type="dxa"/>
            <w:vAlign w:val="bottom"/>
            <w:tcBorders>
              <w:right w:val="single" w:sz="8" w:color="2360A6"/>
            </w:tcBorders>
            <w:shd w:val="clear" w:color="auto" w:fill="DCDDDE"/>
          </w:tcPr>
          <w:p>
            <w:pPr>
              <w:spacing w:after="0"/>
              <w:rPr>
                <w:sz w:val="13"/>
                <w:szCs w:val="13"/>
                <w:color w:val="auto"/>
              </w:rPr>
            </w:pPr>
          </w:p>
        </w:tc>
        <w:tc>
          <w:tcPr>
            <w:tcW w:w="1040" w:type="dxa"/>
            <w:vAlign w:val="bottom"/>
            <w:tcBorders>
              <w:right w:val="single" w:sz="8" w:color="2360A6"/>
            </w:tcBorders>
          </w:tcPr>
          <w:p>
            <w:pPr>
              <w:spacing w:after="0"/>
              <w:rPr>
                <w:sz w:val="13"/>
                <w:szCs w:val="13"/>
                <w:color w:val="auto"/>
              </w:rPr>
            </w:pPr>
          </w:p>
        </w:tc>
        <w:tc>
          <w:tcPr>
            <w:tcW w:w="2220" w:type="dxa"/>
            <w:vAlign w:val="bottom"/>
            <w:tcBorders>
              <w:right w:val="single" w:sz="8" w:color="2360A6"/>
            </w:tcBorders>
            <w:shd w:val="clear" w:color="auto" w:fill="DCDDDE"/>
          </w:tcPr>
          <w:p>
            <w:pPr>
              <w:spacing w:after="0"/>
              <w:rPr>
                <w:sz w:val="13"/>
                <w:szCs w:val="13"/>
                <w:color w:val="auto"/>
              </w:rPr>
            </w:pPr>
          </w:p>
        </w:tc>
      </w:tr>
      <w:tr>
        <w:trPr>
          <w:trHeight w:val="162"/>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Defined Benefit Obligation</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115.5</w:t>
            </w:r>
          </w:p>
        </w:tc>
        <w:tc>
          <w:tcPr>
            <w:tcW w:w="840" w:type="dxa"/>
            <w:vAlign w:val="bottom"/>
            <w:tcBorders>
              <w:bottom w:val="single" w:sz="8" w:color="2360A6"/>
              <w:right w:val="single" w:sz="8" w:color="2360A6"/>
            </w:tcBorders>
          </w:tcPr>
          <w:p>
            <w:pPr>
              <w:spacing w:after="0"/>
              <w:rPr>
                <w:sz w:val="14"/>
                <w:szCs w:val="14"/>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2360A6"/>
              <w:right w:val="single" w:sz="8" w:color="2360A6"/>
            </w:tcBorders>
          </w:tcPr>
          <w:p>
            <w:pPr>
              <w:spacing w:after="0"/>
              <w:rPr>
                <w:sz w:val="14"/>
                <w:szCs w:val="14"/>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color w:val="auto"/>
              </w:rPr>
              <w:t>115.5</w:t>
            </w:r>
          </w:p>
        </w:tc>
        <w:tc>
          <w:tcPr>
            <w:tcW w:w="740" w:type="dxa"/>
            <w:vAlign w:val="bottom"/>
            <w:tcBorders>
              <w:bottom w:val="single" w:sz="8" w:color="2360A6"/>
              <w:right w:val="single" w:sz="8" w:color="2360A6"/>
            </w:tcBorders>
            <w:shd w:val="clear" w:color="auto" w:fill="DCDDDE"/>
          </w:tcPr>
          <w:p>
            <w:pPr>
              <w:spacing w:after="0"/>
              <w:rPr>
                <w:sz w:val="14"/>
                <w:szCs w:val="14"/>
                <w:color w:val="auto"/>
              </w:rPr>
            </w:pPr>
          </w:p>
        </w:tc>
        <w:tc>
          <w:tcPr>
            <w:tcW w:w="1040" w:type="dxa"/>
            <w:vAlign w:val="bottom"/>
            <w:tcBorders>
              <w:bottom w:val="single" w:sz="8" w:color="2360A6"/>
              <w:right w:val="single" w:sz="8" w:color="2360A6"/>
            </w:tcBorders>
          </w:tcPr>
          <w:p>
            <w:pPr>
              <w:spacing w:after="0"/>
              <w:rPr>
                <w:sz w:val="14"/>
                <w:szCs w:val="14"/>
                <w:color w:val="auto"/>
              </w:rPr>
            </w:pPr>
          </w:p>
        </w:tc>
        <w:tc>
          <w:tcPr>
            <w:tcW w:w="2220" w:type="dxa"/>
            <w:vAlign w:val="bottom"/>
            <w:tcBorders>
              <w:bottom w:val="single" w:sz="8" w:color="2360A6"/>
              <w:right w:val="single" w:sz="8" w:color="2360A6"/>
            </w:tcBorders>
            <w:shd w:val="clear" w:color="auto" w:fill="DCDDDE"/>
          </w:tcPr>
          <w:p>
            <w:pPr>
              <w:spacing w:after="0"/>
              <w:rPr>
                <w:sz w:val="14"/>
                <w:szCs w:val="14"/>
                <w:color w:val="auto"/>
              </w:rPr>
            </w:pPr>
          </w:p>
        </w:tc>
      </w:tr>
      <w:tr>
        <w:trPr>
          <w:trHeight w:val="264"/>
        </w:trPr>
        <w:tc>
          <w:tcPr>
            <w:tcW w:w="2360" w:type="dxa"/>
            <w:vAlign w:val="bottom"/>
            <w:tcBorders>
              <w:left w:val="single" w:sz="8" w:color="2360A6"/>
              <w:bottom w:val="single" w:sz="8" w:color="2360A6"/>
              <w:right w:val="single" w:sz="8" w:color="2360A6"/>
            </w:tcBorders>
          </w:tcPr>
          <w:p>
            <w:pPr>
              <w:ind w:left="80"/>
              <w:spacing w:after="0"/>
              <w:rPr>
                <w:sz w:val="20"/>
                <w:szCs w:val="20"/>
                <w:color w:val="auto"/>
              </w:rPr>
            </w:pPr>
            <w:r>
              <w:rPr>
                <w:rFonts w:ascii="Arial" w:cs="Arial" w:eastAsia="Arial" w:hAnsi="Arial"/>
                <w:sz w:val="13"/>
                <w:szCs w:val="13"/>
                <w:i w:val="1"/>
                <w:iCs w:val="1"/>
                <w:color w:val="231F20"/>
              </w:rPr>
              <w:t>- Experience</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i w:val="1"/>
                <w:iCs w:val="1"/>
                <w:color w:val="auto"/>
              </w:rPr>
              <w:t>6.1</w:t>
            </w:r>
          </w:p>
        </w:tc>
        <w:tc>
          <w:tcPr>
            <w:tcW w:w="8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i w:val="1"/>
                <w:iCs w:val="1"/>
                <w:color w:val="auto"/>
              </w:rPr>
              <w:t>—</w:t>
            </w:r>
          </w:p>
        </w:tc>
        <w:tc>
          <w:tcPr>
            <w:tcW w:w="760" w:type="dxa"/>
            <w:vAlign w:val="bottom"/>
            <w:tcBorders>
              <w:bottom w:val="single" w:sz="8" w:color="2360A6"/>
              <w:right w:val="single" w:sz="8" w:color="2360A6"/>
            </w:tcBorders>
          </w:tcPr>
          <w:p>
            <w:pPr>
              <w:spacing w:after="0"/>
              <w:rPr>
                <w:sz w:val="22"/>
                <w:szCs w:val="22"/>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i w:val="1"/>
                <w:iCs w:val="1"/>
                <w:color w:val="auto"/>
              </w:rPr>
              <w:t>6.1</w:t>
            </w:r>
          </w:p>
        </w:tc>
        <w:tc>
          <w:tcPr>
            <w:tcW w:w="74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20" w:type="dxa"/>
            <w:vAlign w:val="bottom"/>
            <w:tcBorders>
              <w:bottom w:val="single" w:sz="8" w:color="2360A6"/>
              <w:right w:val="single" w:sz="8" w:color="2360A6"/>
            </w:tcBorders>
            <w:shd w:val="clear" w:color="auto" w:fill="DCDDDE"/>
          </w:tcPr>
          <w:p>
            <w:pPr>
              <w:spacing w:after="0"/>
              <w:rPr>
                <w:sz w:val="22"/>
                <w:szCs w:val="22"/>
                <w:color w:val="auto"/>
              </w:rPr>
            </w:pPr>
          </w:p>
        </w:tc>
      </w:tr>
      <w:tr>
        <w:trPr>
          <w:trHeight w:val="264"/>
        </w:trPr>
        <w:tc>
          <w:tcPr>
            <w:tcW w:w="2360" w:type="dxa"/>
            <w:vAlign w:val="bottom"/>
            <w:tcBorders>
              <w:left w:val="single" w:sz="8" w:color="2360A6"/>
              <w:bottom w:val="single" w:sz="8" w:color="2360A6"/>
              <w:right w:val="single" w:sz="8" w:color="2360A6"/>
            </w:tcBorders>
          </w:tcPr>
          <w:p>
            <w:pPr>
              <w:ind w:left="80"/>
              <w:spacing w:after="0"/>
              <w:rPr>
                <w:sz w:val="20"/>
                <w:szCs w:val="20"/>
                <w:color w:val="auto"/>
              </w:rPr>
            </w:pPr>
            <w:r>
              <w:rPr>
                <w:rFonts w:ascii="Arial" w:cs="Arial" w:eastAsia="Arial" w:hAnsi="Arial"/>
                <w:sz w:val="13"/>
                <w:szCs w:val="13"/>
                <w:i w:val="1"/>
                <w:iCs w:val="1"/>
                <w:color w:val="231F20"/>
              </w:rPr>
              <w:t>- Financial assumptions</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i w:val="1"/>
                <w:iCs w:val="1"/>
                <w:color w:val="auto"/>
              </w:rPr>
              <w:t>110.1</w:t>
            </w:r>
          </w:p>
        </w:tc>
        <w:tc>
          <w:tcPr>
            <w:tcW w:w="8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i w:val="1"/>
                <w:iCs w:val="1"/>
                <w:color w:val="auto"/>
              </w:rPr>
              <w:t>—</w:t>
            </w:r>
          </w:p>
        </w:tc>
        <w:tc>
          <w:tcPr>
            <w:tcW w:w="760" w:type="dxa"/>
            <w:vAlign w:val="bottom"/>
            <w:tcBorders>
              <w:bottom w:val="single" w:sz="8" w:color="2360A6"/>
              <w:right w:val="single" w:sz="8" w:color="2360A6"/>
            </w:tcBorders>
          </w:tcPr>
          <w:p>
            <w:pPr>
              <w:spacing w:after="0"/>
              <w:rPr>
                <w:sz w:val="22"/>
                <w:szCs w:val="22"/>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i w:val="1"/>
                <w:iCs w:val="1"/>
                <w:color w:val="auto"/>
              </w:rPr>
              <w:t>110.1</w:t>
            </w:r>
          </w:p>
        </w:tc>
        <w:tc>
          <w:tcPr>
            <w:tcW w:w="74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20" w:type="dxa"/>
            <w:vAlign w:val="bottom"/>
            <w:tcBorders>
              <w:bottom w:val="single" w:sz="8" w:color="2360A6"/>
              <w:right w:val="single" w:sz="8" w:color="2360A6"/>
            </w:tcBorders>
            <w:shd w:val="clear" w:color="auto" w:fill="DCDDDE"/>
          </w:tcPr>
          <w:p>
            <w:pPr>
              <w:spacing w:after="0"/>
              <w:rPr>
                <w:sz w:val="22"/>
                <w:szCs w:val="22"/>
                <w:color w:val="auto"/>
              </w:rPr>
            </w:pPr>
          </w:p>
        </w:tc>
      </w:tr>
      <w:tr>
        <w:trPr>
          <w:trHeight w:val="264"/>
        </w:trPr>
        <w:tc>
          <w:tcPr>
            <w:tcW w:w="2360" w:type="dxa"/>
            <w:vAlign w:val="bottom"/>
            <w:tcBorders>
              <w:left w:val="single" w:sz="8" w:color="2360A6"/>
              <w:bottom w:val="single" w:sz="8" w:color="2360A6"/>
              <w:right w:val="single" w:sz="8" w:color="2360A6"/>
            </w:tcBorders>
          </w:tcPr>
          <w:p>
            <w:pPr>
              <w:ind w:left="80"/>
              <w:spacing w:after="0"/>
              <w:rPr>
                <w:sz w:val="20"/>
                <w:szCs w:val="20"/>
                <w:color w:val="auto"/>
              </w:rPr>
            </w:pPr>
            <w:r>
              <w:rPr>
                <w:rFonts w:ascii="Arial" w:cs="Arial" w:eastAsia="Arial" w:hAnsi="Arial"/>
                <w:sz w:val="13"/>
                <w:szCs w:val="13"/>
                <w:i w:val="1"/>
                <w:iCs w:val="1"/>
                <w:color w:val="231F20"/>
              </w:rPr>
              <w:t>- Demographic assumptions</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i w:val="1"/>
                <w:iCs w:val="1"/>
                <w:color w:val="auto"/>
              </w:rPr>
              <w:t>(0.7)</w:t>
            </w:r>
          </w:p>
        </w:tc>
        <w:tc>
          <w:tcPr>
            <w:tcW w:w="8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i w:val="1"/>
                <w:iCs w:val="1"/>
                <w:color w:val="auto"/>
              </w:rPr>
              <w:t>—</w:t>
            </w:r>
          </w:p>
        </w:tc>
        <w:tc>
          <w:tcPr>
            <w:tcW w:w="760" w:type="dxa"/>
            <w:vAlign w:val="bottom"/>
            <w:tcBorders>
              <w:bottom w:val="single" w:sz="8" w:color="2360A6"/>
              <w:right w:val="single" w:sz="8" w:color="2360A6"/>
            </w:tcBorders>
          </w:tcPr>
          <w:p>
            <w:pPr>
              <w:spacing w:after="0"/>
              <w:rPr>
                <w:sz w:val="22"/>
                <w:szCs w:val="22"/>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i w:val="1"/>
                <w:iCs w:val="1"/>
                <w:color w:val="auto"/>
              </w:rPr>
              <w:t>(0.7)</w:t>
            </w:r>
          </w:p>
        </w:tc>
        <w:tc>
          <w:tcPr>
            <w:tcW w:w="74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20" w:type="dxa"/>
            <w:vAlign w:val="bottom"/>
            <w:tcBorders>
              <w:bottom w:val="single" w:sz="8" w:color="2360A6"/>
              <w:right w:val="single" w:sz="8" w:color="2360A6"/>
            </w:tcBorders>
            <w:shd w:val="clear" w:color="auto" w:fill="DCDDDE"/>
          </w:tcPr>
          <w:p>
            <w:pPr>
              <w:spacing w:after="0"/>
              <w:rPr>
                <w:sz w:val="22"/>
                <w:szCs w:val="22"/>
                <w:color w:val="auto"/>
              </w:rPr>
            </w:pPr>
          </w:p>
        </w:tc>
      </w:tr>
      <w:tr>
        <w:trPr>
          <w:trHeight w:val="156"/>
        </w:trPr>
        <w:tc>
          <w:tcPr>
            <w:tcW w:w="23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Actuarial Gain / (Loss) on</w:t>
            </w:r>
          </w:p>
        </w:tc>
        <w:tc>
          <w:tcPr>
            <w:tcW w:w="860" w:type="dxa"/>
            <w:vAlign w:val="bottom"/>
            <w:tcBorders>
              <w:right w:val="single" w:sz="8" w:color="2360A6"/>
            </w:tcBorders>
          </w:tcPr>
          <w:p>
            <w:pPr>
              <w:spacing w:after="0"/>
              <w:rPr>
                <w:sz w:val="13"/>
                <w:szCs w:val="13"/>
                <w:color w:val="auto"/>
              </w:rPr>
            </w:pPr>
          </w:p>
        </w:tc>
        <w:tc>
          <w:tcPr>
            <w:tcW w:w="8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60" w:type="dxa"/>
            <w:vAlign w:val="bottom"/>
            <w:tcBorders>
              <w:right w:val="single" w:sz="8" w:color="2360A6"/>
            </w:tcBorders>
          </w:tcPr>
          <w:p>
            <w:pPr>
              <w:spacing w:after="0"/>
              <w:rPr>
                <w:sz w:val="13"/>
                <w:szCs w:val="13"/>
                <w:color w:val="auto"/>
              </w:rPr>
            </w:pPr>
          </w:p>
        </w:tc>
        <w:tc>
          <w:tcPr>
            <w:tcW w:w="1040" w:type="dxa"/>
            <w:vAlign w:val="bottom"/>
            <w:tcBorders>
              <w:right w:val="single" w:sz="8" w:color="2360A6"/>
            </w:tcBorders>
            <w:shd w:val="clear" w:color="auto" w:fill="DCDDDE"/>
          </w:tcPr>
          <w:p>
            <w:pPr>
              <w:spacing w:after="0"/>
              <w:rPr>
                <w:sz w:val="13"/>
                <w:szCs w:val="13"/>
                <w:color w:val="auto"/>
              </w:rPr>
            </w:pPr>
          </w:p>
        </w:tc>
        <w:tc>
          <w:tcPr>
            <w:tcW w:w="740" w:type="dxa"/>
            <w:vAlign w:val="bottom"/>
            <w:tcBorders>
              <w:right w:val="single" w:sz="8" w:color="2360A6"/>
            </w:tcBorders>
            <w:shd w:val="clear" w:color="auto" w:fill="DCDDDE"/>
          </w:tcPr>
          <w:p>
            <w:pPr>
              <w:spacing w:after="0"/>
              <w:rPr>
                <w:sz w:val="13"/>
                <w:szCs w:val="13"/>
                <w:color w:val="auto"/>
              </w:rPr>
            </w:pPr>
          </w:p>
        </w:tc>
        <w:tc>
          <w:tcPr>
            <w:tcW w:w="1040" w:type="dxa"/>
            <w:vAlign w:val="bottom"/>
            <w:tcBorders>
              <w:right w:val="single" w:sz="8" w:color="2360A6"/>
            </w:tcBorders>
          </w:tcPr>
          <w:p>
            <w:pPr>
              <w:spacing w:after="0"/>
              <w:rPr>
                <w:sz w:val="13"/>
                <w:szCs w:val="13"/>
                <w:color w:val="auto"/>
              </w:rPr>
            </w:pPr>
          </w:p>
        </w:tc>
        <w:tc>
          <w:tcPr>
            <w:tcW w:w="2220" w:type="dxa"/>
            <w:vAlign w:val="bottom"/>
            <w:tcBorders>
              <w:right w:val="single" w:sz="8" w:color="2360A6"/>
            </w:tcBorders>
            <w:shd w:val="clear" w:color="auto" w:fill="DCDDDE"/>
          </w:tcPr>
          <w:p>
            <w:pPr>
              <w:spacing w:after="0"/>
              <w:rPr>
                <w:sz w:val="13"/>
                <w:szCs w:val="13"/>
                <w:color w:val="auto"/>
              </w:rPr>
            </w:pPr>
          </w:p>
        </w:tc>
      </w:tr>
      <w:tr>
        <w:trPr>
          <w:trHeight w:val="162"/>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Plan Assets</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2360A6"/>
              <w:right w:val="single" w:sz="8" w:color="2360A6"/>
            </w:tcBorders>
          </w:tcPr>
          <w:p>
            <w:pPr>
              <w:spacing w:after="0"/>
              <w:rPr>
                <w:sz w:val="14"/>
                <w:szCs w:val="14"/>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26.5</w:t>
            </w:r>
          </w:p>
        </w:tc>
        <w:tc>
          <w:tcPr>
            <w:tcW w:w="760" w:type="dxa"/>
            <w:vAlign w:val="bottom"/>
            <w:tcBorders>
              <w:bottom w:val="single" w:sz="8" w:color="2360A6"/>
              <w:right w:val="single" w:sz="8" w:color="2360A6"/>
            </w:tcBorders>
          </w:tcPr>
          <w:p>
            <w:pPr>
              <w:spacing w:after="0"/>
              <w:rPr>
                <w:sz w:val="14"/>
                <w:szCs w:val="14"/>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color w:val="auto"/>
              </w:rPr>
              <w:t>(26.5)</w:t>
            </w:r>
          </w:p>
        </w:tc>
        <w:tc>
          <w:tcPr>
            <w:tcW w:w="740" w:type="dxa"/>
            <w:vAlign w:val="bottom"/>
            <w:tcBorders>
              <w:bottom w:val="single" w:sz="8" w:color="2360A6"/>
              <w:right w:val="single" w:sz="8" w:color="2360A6"/>
            </w:tcBorders>
            <w:shd w:val="clear" w:color="auto" w:fill="DCDDDE"/>
          </w:tcPr>
          <w:p>
            <w:pPr>
              <w:spacing w:after="0"/>
              <w:rPr>
                <w:sz w:val="14"/>
                <w:szCs w:val="14"/>
                <w:color w:val="auto"/>
              </w:rPr>
            </w:pPr>
          </w:p>
        </w:tc>
        <w:tc>
          <w:tcPr>
            <w:tcW w:w="1040" w:type="dxa"/>
            <w:vAlign w:val="bottom"/>
            <w:tcBorders>
              <w:bottom w:val="single" w:sz="8" w:color="2360A6"/>
              <w:right w:val="single" w:sz="8" w:color="2360A6"/>
            </w:tcBorders>
          </w:tcPr>
          <w:p>
            <w:pPr>
              <w:spacing w:after="0"/>
              <w:rPr>
                <w:sz w:val="14"/>
                <w:szCs w:val="14"/>
                <w:color w:val="auto"/>
              </w:rPr>
            </w:pPr>
          </w:p>
        </w:tc>
        <w:tc>
          <w:tcPr>
            <w:tcW w:w="2220" w:type="dxa"/>
            <w:vAlign w:val="bottom"/>
            <w:tcBorders>
              <w:bottom w:val="single" w:sz="8" w:color="2360A6"/>
              <w:right w:val="single" w:sz="8" w:color="2360A6"/>
            </w:tcBorders>
            <w:shd w:val="clear" w:color="auto" w:fill="DCDDDE"/>
          </w:tcPr>
          <w:p>
            <w:pPr>
              <w:spacing w:after="0"/>
              <w:rPr>
                <w:sz w:val="14"/>
                <w:szCs w:val="14"/>
                <w:color w:val="auto"/>
              </w:rPr>
            </w:pPr>
          </w:p>
        </w:tc>
      </w:tr>
      <w:tr>
        <w:trPr>
          <w:trHeight w:val="167"/>
        </w:trPr>
        <w:tc>
          <w:tcPr>
            <w:tcW w:w="23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auto"/>
              </w:rPr>
              <w:t>Contributions and</w:t>
            </w:r>
          </w:p>
        </w:tc>
        <w:tc>
          <w:tcPr>
            <w:tcW w:w="860" w:type="dxa"/>
            <w:vAlign w:val="bottom"/>
            <w:tcBorders>
              <w:right w:val="single" w:sz="8" w:color="2360A6"/>
            </w:tcBorders>
          </w:tcPr>
          <w:p>
            <w:pPr>
              <w:spacing w:after="0"/>
              <w:rPr>
                <w:sz w:val="14"/>
                <w:szCs w:val="14"/>
                <w:color w:val="auto"/>
              </w:rPr>
            </w:pPr>
          </w:p>
        </w:tc>
        <w:tc>
          <w:tcPr>
            <w:tcW w:w="840" w:type="dxa"/>
            <w:vAlign w:val="bottom"/>
            <w:tcBorders>
              <w:right w:val="single" w:sz="8" w:color="2360A6"/>
            </w:tcBorders>
          </w:tcPr>
          <w:p>
            <w:pPr>
              <w:spacing w:after="0"/>
              <w:rPr>
                <w:sz w:val="14"/>
                <w:szCs w:val="14"/>
                <w:color w:val="auto"/>
              </w:rPr>
            </w:pPr>
          </w:p>
        </w:tc>
        <w:tc>
          <w:tcPr>
            <w:tcW w:w="740" w:type="dxa"/>
            <w:vAlign w:val="bottom"/>
            <w:tcBorders>
              <w:right w:val="single" w:sz="8" w:color="2360A6"/>
            </w:tcBorders>
          </w:tcPr>
          <w:p>
            <w:pPr>
              <w:spacing w:after="0"/>
              <w:rPr>
                <w:sz w:val="14"/>
                <w:szCs w:val="14"/>
                <w:color w:val="auto"/>
              </w:rPr>
            </w:pPr>
          </w:p>
        </w:tc>
        <w:tc>
          <w:tcPr>
            <w:tcW w:w="760" w:type="dxa"/>
            <w:vAlign w:val="bottom"/>
            <w:tcBorders>
              <w:right w:val="single" w:sz="8" w:color="2360A6"/>
            </w:tcBorders>
          </w:tcPr>
          <w:p>
            <w:pPr>
              <w:spacing w:after="0"/>
              <w:rPr>
                <w:sz w:val="14"/>
                <w:szCs w:val="14"/>
                <w:color w:val="auto"/>
              </w:rPr>
            </w:pPr>
          </w:p>
        </w:tc>
        <w:tc>
          <w:tcPr>
            <w:tcW w:w="1040" w:type="dxa"/>
            <w:vAlign w:val="bottom"/>
            <w:tcBorders>
              <w:right w:val="single" w:sz="8" w:color="2360A6"/>
            </w:tcBorders>
            <w:shd w:val="clear" w:color="auto" w:fill="DCDDDE"/>
          </w:tcPr>
          <w:p>
            <w:pPr>
              <w:spacing w:after="0"/>
              <w:rPr>
                <w:sz w:val="14"/>
                <w:szCs w:val="14"/>
                <w:color w:val="auto"/>
              </w:rPr>
            </w:pPr>
          </w:p>
        </w:tc>
        <w:tc>
          <w:tcPr>
            <w:tcW w:w="740" w:type="dxa"/>
            <w:vAlign w:val="bottom"/>
            <w:tcBorders>
              <w:right w:val="single" w:sz="8" w:color="2360A6"/>
            </w:tcBorders>
            <w:shd w:val="clear" w:color="auto" w:fill="DCDDDE"/>
          </w:tcPr>
          <w:p>
            <w:pPr>
              <w:spacing w:after="0"/>
              <w:rPr>
                <w:sz w:val="14"/>
                <w:szCs w:val="14"/>
                <w:color w:val="auto"/>
              </w:rPr>
            </w:pPr>
          </w:p>
        </w:tc>
        <w:tc>
          <w:tcPr>
            <w:tcW w:w="1040" w:type="dxa"/>
            <w:vAlign w:val="bottom"/>
            <w:tcBorders>
              <w:right w:val="single" w:sz="8" w:color="2360A6"/>
            </w:tcBorders>
          </w:tcPr>
          <w:p>
            <w:pPr>
              <w:spacing w:after="0"/>
              <w:rPr>
                <w:sz w:val="14"/>
                <w:szCs w:val="14"/>
                <w:color w:val="auto"/>
              </w:rPr>
            </w:pPr>
          </w:p>
        </w:tc>
        <w:tc>
          <w:tcPr>
            <w:tcW w:w="2220" w:type="dxa"/>
            <w:vAlign w:val="bottom"/>
            <w:tcBorders>
              <w:right w:val="single" w:sz="8" w:color="2360A6"/>
            </w:tcBorders>
            <w:shd w:val="clear" w:color="auto" w:fill="DCDDDE"/>
          </w:tcPr>
          <w:p>
            <w:pPr>
              <w:spacing w:after="0"/>
              <w:rPr>
                <w:sz w:val="14"/>
                <w:szCs w:val="14"/>
                <w:color w:val="auto"/>
              </w:rPr>
            </w:pPr>
          </w:p>
        </w:tc>
      </w:tr>
      <w:tr>
        <w:trPr>
          <w:trHeight w:val="178"/>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auto"/>
              </w:rPr>
              <w:t>Benefits Paid</w:t>
            </w:r>
          </w:p>
        </w:tc>
        <w:tc>
          <w:tcPr>
            <w:tcW w:w="860" w:type="dxa"/>
            <w:vAlign w:val="bottom"/>
            <w:tcBorders>
              <w:bottom w:val="single" w:sz="8" w:color="2360A6"/>
              <w:right w:val="single" w:sz="8" w:color="2360A6"/>
            </w:tcBorders>
          </w:tcPr>
          <w:p>
            <w:pPr>
              <w:spacing w:after="0"/>
              <w:rPr>
                <w:sz w:val="15"/>
                <w:szCs w:val="15"/>
                <w:color w:val="auto"/>
              </w:rPr>
            </w:pPr>
          </w:p>
        </w:tc>
        <w:tc>
          <w:tcPr>
            <w:tcW w:w="8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(18.0)</w:t>
            </w:r>
          </w:p>
        </w:tc>
        <w:tc>
          <w:tcPr>
            <w:tcW w:w="740" w:type="dxa"/>
            <w:vAlign w:val="bottom"/>
            <w:tcBorders>
              <w:bottom w:val="single" w:sz="8" w:color="2360A6"/>
              <w:right w:val="single" w:sz="8" w:color="2360A6"/>
            </w:tcBorders>
          </w:tcPr>
          <w:p>
            <w:pPr>
              <w:spacing w:after="0"/>
              <w:rPr>
                <w:sz w:val="15"/>
                <w:szCs w:val="15"/>
                <w:color w:val="auto"/>
              </w:rPr>
            </w:pPr>
          </w:p>
        </w:tc>
        <w:tc>
          <w:tcPr>
            <w:tcW w:w="7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3.4</w:t>
            </w:r>
          </w:p>
        </w:tc>
        <w:tc>
          <w:tcPr>
            <w:tcW w:w="1040" w:type="dxa"/>
            <w:vAlign w:val="bottom"/>
            <w:tcBorders>
              <w:bottom w:val="single" w:sz="8" w:color="2360A6"/>
              <w:right w:val="single" w:sz="8" w:color="2360A6"/>
            </w:tcBorders>
            <w:shd w:val="clear" w:color="auto" w:fill="DCDDDE"/>
          </w:tcPr>
          <w:p>
            <w:pPr>
              <w:spacing w:after="0"/>
              <w:rPr>
                <w:sz w:val="15"/>
                <w:szCs w:val="15"/>
                <w:color w:val="auto"/>
              </w:rPr>
            </w:pPr>
          </w:p>
        </w:tc>
        <w:tc>
          <w:tcPr>
            <w:tcW w:w="74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(21.4)</w:t>
            </w:r>
          </w:p>
        </w:tc>
        <w:tc>
          <w:tcPr>
            <w:tcW w:w="1040" w:type="dxa"/>
            <w:vAlign w:val="bottom"/>
            <w:tcBorders>
              <w:bottom w:val="single" w:sz="8" w:color="2360A6"/>
              <w:right w:val="single" w:sz="8" w:color="2360A6"/>
            </w:tcBorders>
          </w:tcPr>
          <w:p>
            <w:pPr>
              <w:spacing w:after="0"/>
              <w:rPr>
                <w:sz w:val="15"/>
                <w:szCs w:val="15"/>
                <w:color w:val="auto"/>
              </w:rPr>
            </w:pPr>
          </w:p>
        </w:tc>
        <w:tc>
          <w:tcPr>
            <w:tcW w:w="22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(21.4)</w:t>
            </w:r>
          </w:p>
        </w:tc>
      </w:tr>
      <w:tr>
        <w:trPr>
          <w:trHeight w:val="264"/>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Contributions by Employer</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12.0</w:t>
            </w:r>
          </w:p>
        </w:tc>
        <w:tc>
          <w:tcPr>
            <w:tcW w:w="760" w:type="dxa"/>
            <w:vAlign w:val="bottom"/>
            <w:tcBorders>
              <w:bottom w:val="single" w:sz="8" w:color="2360A6"/>
              <w:right w:val="single" w:sz="8" w:color="2360A6"/>
            </w:tcBorders>
          </w:tcPr>
          <w:p>
            <w:pPr>
              <w:spacing w:after="0"/>
              <w:rPr>
                <w:sz w:val="22"/>
                <w:szCs w:val="22"/>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color w:val="auto"/>
              </w:rPr>
              <w:t>(12.0)</w:t>
            </w:r>
          </w:p>
        </w:tc>
        <w:tc>
          <w:tcPr>
            <w:tcW w:w="74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20" w:type="dxa"/>
            <w:vAlign w:val="bottom"/>
            <w:tcBorders>
              <w:bottom w:val="single" w:sz="8" w:color="2360A6"/>
              <w:right w:val="single" w:sz="8" w:color="2360A6"/>
            </w:tcBorders>
            <w:shd w:val="clear" w:color="auto" w:fill="DCDDDE"/>
          </w:tcPr>
          <w:p>
            <w:pPr>
              <w:spacing w:after="0"/>
              <w:rPr>
                <w:sz w:val="22"/>
                <w:szCs w:val="22"/>
                <w:color w:val="auto"/>
              </w:rPr>
            </w:pPr>
          </w:p>
        </w:tc>
      </w:tr>
      <w:tr>
        <w:trPr>
          <w:trHeight w:val="264"/>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Contributions by Employee</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0.4</w:t>
            </w:r>
          </w:p>
        </w:tc>
        <w:tc>
          <w:tcPr>
            <w:tcW w:w="8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0.4</w:t>
            </w:r>
          </w:p>
        </w:tc>
        <w:tc>
          <w:tcPr>
            <w:tcW w:w="760" w:type="dxa"/>
            <w:vAlign w:val="bottom"/>
            <w:tcBorders>
              <w:bottom w:val="single" w:sz="8" w:color="2360A6"/>
              <w:right w:val="single" w:sz="8" w:color="2360A6"/>
            </w:tcBorders>
          </w:tcPr>
          <w:p>
            <w:pPr>
              <w:spacing w:after="0"/>
              <w:rPr>
                <w:sz w:val="22"/>
                <w:szCs w:val="22"/>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20" w:type="dxa"/>
            <w:vAlign w:val="bottom"/>
            <w:tcBorders>
              <w:bottom w:val="single" w:sz="8" w:color="2360A6"/>
              <w:right w:val="single" w:sz="8" w:color="2360A6"/>
            </w:tcBorders>
            <w:shd w:val="clear" w:color="auto" w:fill="DCDDDE"/>
          </w:tcPr>
          <w:p>
            <w:pPr>
              <w:spacing w:after="0"/>
              <w:rPr>
                <w:sz w:val="22"/>
                <w:szCs w:val="22"/>
                <w:color w:val="auto"/>
              </w:rPr>
            </w:pPr>
          </w:p>
        </w:tc>
      </w:tr>
      <w:tr>
        <w:trPr>
          <w:trHeight w:val="264"/>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Benefits Paid by Employer</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(9.4)</w:t>
            </w:r>
          </w:p>
        </w:tc>
        <w:tc>
          <w:tcPr>
            <w:tcW w:w="8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2360A6"/>
              <w:right w:val="single" w:sz="8" w:color="2360A6"/>
            </w:tcBorders>
          </w:tcPr>
          <w:p>
            <w:pPr>
              <w:spacing w:after="0"/>
              <w:rPr>
                <w:sz w:val="22"/>
                <w:szCs w:val="22"/>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color w:val="auto"/>
              </w:rPr>
              <w:t>(9.4)</w:t>
            </w:r>
          </w:p>
        </w:tc>
        <w:tc>
          <w:tcPr>
            <w:tcW w:w="74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20" w:type="dxa"/>
            <w:vAlign w:val="bottom"/>
            <w:tcBorders>
              <w:bottom w:val="single" w:sz="8" w:color="2360A6"/>
              <w:right w:val="single" w:sz="8" w:color="2360A6"/>
            </w:tcBorders>
            <w:shd w:val="clear" w:color="auto" w:fill="DCDDDE"/>
          </w:tcPr>
          <w:p>
            <w:pPr>
              <w:spacing w:after="0"/>
              <w:rPr>
                <w:sz w:val="22"/>
                <w:szCs w:val="22"/>
                <w:color w:val="auto"/>
              </w:rPr>
            </w:pPr>
          </w:p>
        </w:tc>
      </w:tr>
      <w:tr>
        <w:trPr>
          <w:trHeight w:val="156"/>
        </w:trPr>
        <w:tc>
          <w:tcPr>
            <w:tcW w:w="236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Benefits paid from Plan</w:t>
            </w:r>
          </w:p>
        </w:tc>
        <w:tc>
          <w:tcPr>
            <w:tcW w:w="860" w:type="dxa"/>
            <w:vAlign w:val="bottom"/>
            <w:tcBorders>
              <w:right w:val="single" w:sz="8" w:color="2360A6"/>
            </w:tcBorders>
          </w:tcPr>
          <w:p>
            <w:pPr>
              <w:spacing w:after="0"/>
              <w:rPr>
                <w:sz w:val="13"/>
                <w:szCs w:val="13"/>
                <w:color w:val="auto"/>
              </w:rPr>
            </w:pPr>
          </w:p>
        </w:tc>
        <w:tc>
          <w:tcPr>
            <w:tcW w:w="8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60" w:type="dxa"/>
            <w:vAlign w:val="bottom"/>
            <w:tcBorders>
              <w:right w:val="single" w:sz="8" w:color="2360A6"/>
            </w:tcBorders>
          </w:tcPr>
          <w:p>
            <w:pPr>
              <w:spacing w:after="0"/>
              <w:rPr>
                <w:sz w:val="13"/>
                <w:szCs w:val="13"/>
                <w:color w:val="auto"/>
              </w:rPr>
            </w:pPr>
          </w:p>
        </w:tc>
        <w:tc>
          <w:tcPr>
            <w:tcW w:w="1040" w:type="dxa"/>
            <w:vAlign w:val="bottom"/>
            <w:tcBorders>
              <w:right w:val="single" w:sz="8" w:color="2360A6"/>
            </w:tcBorders>
            <w:shd w:val="clear" w:color="auto" w:fill="DCDDDE"/>
          </w:tcPr>
          <w:p>
            <w:pPr>
              <w:spacing w:after="0"/>
              <w:rPr>
                <w:sz w:val="13"/>
                <w:szCs w:val="13"/>
                <w:color w:val="auto"/>
              </w:rPr>
            </w:pPr>
          </w:p>
        </w:tc>
        <w:tc>
          <w:tcPr>
            <w:tcW w:w="740" w:type="dxa"/>
            <w:vAlign w:val="bottom"/>
            <w:tcBorders>
              <w:right w:val="single" w:sz="8" w:color="2360A6"/>
            </w:tcBorders>
            <w:shd w:val="clear" w:color="auto" w:fill="DCDDDE"/>
          </w:tcPr>
          <w:p>
            <w:pPr>
              <w:spacing w:after="0"/>
              <w:rPr>
                <w:sz w:val="13"/>
                <w:szCs w:val="13"/>
                <w:color w:val="auto"/>
              </w:rPr>
            </w:pPr>
          </w:p>
        </w:tc>
        <w:tc>
          <w:tcPr>
            <w:tcW w:w="1040" w:type="dxa"/>
            <w:vAlign w:val="bottom"/>
            <w:tcBorders>
              <w:right w:val="single" w:sz="8" w:color="2360A6"/>
            </w:tcBorders>
          </w:tcPr>
          <w:p>
            <w:pPr>
              <w:spacing w:after="0"/>
              <w:rPr>
                <w:sz w:val="13"/>
                <w:szCs w:val="13"/>
                <w:color w:val="auto"/>
              </w:rPr>
            </w:pPr>
          </w:p>
        </w:tc>
        <w:tc>
          <w:tcPr>
            <w:tcW w:w="2220" w:type="dxa"/>
            <w:vAlign w:val="bottom"/>
            <w:tcBorders>
              <w:right w:val="single" w:sz="8" w:color="2360A6"/>
            </w:tcBorders>
            <w:shd w:val="clear" w:color="auto" w:fill="DCDDDE"/>
          </w:tcPr>
          <w:p>
            <w:pPr>
              <w:spacing w:after="0"/>
              <w:rPr>
                <w:sz w:val="13"/>
                <w:szCs w:val="13"/>
                <w:color w:val="auto"/>
              </w:rPr>
            </w:pPr>
          </w:p>
        </w:tc>
      </w:tr>
      <w:tr>
        <w:trPr>
          <w:trHeight w:val="162"/>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auto"/>
              </w:rPr>
              <w:t>Assets</w:t>
            </w: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auto"/>
              </w:rPr>
              <w:t>(9.0)</w:t>
            </w:r>
          </w:p>
        </w:tc>
        <w:tc>
          <w:tcPr>
            <w:tcW w:w="840" w:type="dxa"/>
            <w:vAlign w:val="bottom"/>
            <w:tcBorders>
              <w:bottom w:val="single" w:sz="8" w:color="2360A6"/>
              <w:right w:val="single" w:sz="8" w:color="2360A6"/>
            </w:tcBorders>
          </w:tcPr>
          <w:p>
            <w:pPr>
              <w:spacing w:after="0"/>
              <w:rPr>
                <w:sz w:val="14"/>
                <w:szCs w:val="14"/>
                <w:color w:val="auto"/>
              </w:rPr>
            </w:pPr>
          </w:p>
        </w:tc>
        <w:tc>
          <w:tcPr>
            <w:tcW w:w="7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auto"/>
              </w:rPr>
              <w:t>(9.0)</w:t>
            </w:r>
          </w:p>
        </w:tc>
        <w:tc>
          <w:tcPr>
            <w:tcW w:w="760" w:type="dxa"/>
            <w:vAlign w:val="bottom"/>
            <w:tcBorders>
              <w:bottom w:val="single" w:sz="8" w:color="2360A6"/>
              <w:right w:val="single" w:sz="8" w:color="2360A6"/>
            </w:tcBorders>
          </w:tcPr>
          <w:p>
            <w:pPr>
              <w:spacing w:after="0"/>
              <w:rPr>
                <w:sz w:val="14"/>
                <w:szCs w:val="14"/>
                <w:color w:val="auto"/>
              </w:rPr>
            </w:pPr>
          </w:p>
        </w:tc>
        <w:tc>
          <w:tcPr>
            <w:tcW w:w="104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2360A6"/>
              <w:right w:val="single" w:sz="8" w:color="2360A6"/>
            </w:tcBorders>
            <w:shd w:val="clear" w:color="auto" w:fill="DCDDDE"/>
          </w:tcPr>
          <w:p>
            <w:pPr>
              <w:spacing w:after="0"/>
              <w:rPr>
                <w:sz w:val="14"/>
                <w:szCs w:val="14"/>
                <w:color w:val="auto"/>
              </w:rPr>
            </w:pPr>
          </w:p>
        </w:tc>
        <w:tc>
          <w:tcPr>
            <w:tcW w:w="1040" w:type="dxa"/>
            <w:vAlign w:val="bottom"/>
            <w:tcBorders>
              <w:bottom w:val="single" w:sz="8" w:color="2360A6"/>
              <w:right w:val="single" w:sz="8" w:color="2360A6"/>
            </w:tcBorders>
          </w:tcPr>
          <w:p>
            <w:pPr>
              <w:spacing w:after="0"/>
              <w:rPr>
                <w:sz w:val="14"/>
                <w:szCs w:val="14"/>
                <w:color w:val="auto"/>
              </w:rPr>
            </w:pPr>
          </w:p>
        </w:tc>
        <w:tc>
          <w:tcPr>
            <w:tcW w:w="2220" w:type="dxa"/>
            <w:vAlign w:val="bottom"/>
            <w:tcBorders>
              <w:bottom w:val="single" w:sz="8" w:color="2360A6"/>
              <w:right w:val="single" w:sz="8" w:color="2360A6"/>
            </w:tcBorders>
            <w:shd w:val="clear" w:color="auto" w:fill="DCDDDE"/>
          </w:tcPr>
          <w:p>
            <w:pPr>
              <w:spacing w:after="0"/>
              <w:rPr>
                <w:sz w:val="14"/>
                <w:szCs w:val="14"/>
                <w:color w:val="auto"/>
              </w:rPr>
            </w:pPr>
          </w:p>
        </w:tc>
      </w:tr>
      <w:tr>
        <w:trPr>
          <w:trHeight w:val="264"/>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auto"/>
              </w:rPr>
              <w:t>Exchange Difference and other</w:t>
            </w:r>
          </w:p>
        </w:tc>
        <w:tc>
          <w:tcPr>
            <w:tcW w:w="860" w:type="dxa"/>
            <w:vAlign w:val="bottom"/>
            <w:tcBorders>
              <w:bottom w:val="single" w:sz="8" w:color="2360A6"/>
              <w:right w:val="single" w:sz="8" w:color="2360A6"/>
            </w:tcBorders>
          </w:tcPr>
          <w:p>
            <w:pPr>
              <w:spacing w:after="0"/>
              <w:rPr>
                <w:sz w:val="22"/>
                <w:szCs w:val="22"/>
                <w:color w:val="auto"/>
              </w:rPr>
            </w:pPr>
          </w:p>
        </w:tc>
        <w:tc>
          <w:tcPr>
            <w:tcW w:w="8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9.2</w:t>
            </w:r>
          </w:p>
        </w:tc>
        <w:tc>
          <w:tcPr>
            <w:tcW w:w="740" w:type="dxa"/>
            <w:vAlign w:val="bottom"/>
            <w:tcBorders>
              <w:bottom w:val="single" w:sz="8" w:color="2360A6"/>
              <w:right w:val="single" w:sz="8" w:color="2360A6"/>
            </w:tcBorders>
          </w:tcPr>
          <w:p>
            <w:pPr>
              <w:spacing w:after="0"/>
              <w:rPr>
                <w:sz w:val="22"/>
                <w:szCs w:val="22"/>
                <w:color w:val="auto"/>
              </w:rPr>
            </w:pPr>
          </w:p>
        </w:tc>
        <w:tc>
          <w:tcPr>
            <w:tcW w:w="7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6.2</w:t>
            </w:r>
          </w:p>
        </w:tc>
        <w:tc>
          <w:tcPr>
            <w:tcW w:w="1040" w:type="dxa"/>
            <w:vAlign w:val="bottom"/>
            <w:tcBorders>
              <w:bottom w:val="single" w:sz="8" w:color="2360A6"/>
              <w:right w:val="single" w:sz="8" w:color="2360A6"/>
            </w:tcBorders>
            <w:shd w:val="clear" w:color="auto" w:fill="DCDDDE"/>
          </w:tcPr>
          <w:p>
            <w:pPr>
              <w:spacing w:after="0"/>
              <w:rPr>
                <w:sz w:val="22"/>
                <w:szCs w:val="22"/>
                <w:color w:val="auto"/>
              </w:rPr>
            </w:pPr>
          </w:p>
        </w:tc>
        <w:tc>
          <w:tcPr>
            <w:tcW w:w="74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3.0</w:t>
            </w:r>
          </w:p>
        </w:tc>
        <w:tc>
          <w:tcPr>
            <w:tcW w:w="1040" w:type="dxa"/>
            <w:vAlign w:val="bottom"/>
            <w:tcBorders>
              <w:bottom w:val="single" w:sz="8" w:color="2360A6"/>
              <w:right w:val="single" w:sz="8" w:color="2360A6"/>
            </w:tcBorders>
          </w:tcPr>
          <w:p>
            <w:pPr>
              <w:spacing w:after="0"/>
              <w:rPr>
                <w:sz w:val="22"/>
                <w:szCs w:val="22"/>
                <w:color w:val="auto"/>
              </w:rPr>
            </w:pPr>
          </w:p>
        </w:tc>
        <w:tc>
          <w:tcPr>
            <w:tcW w:w="22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3.0</w:t>
            </w:r>
          </w:p>
        </w:tc>
      </w:tr>
      <w:tr>
        <w:trPr>
          <w:trHeight w:val="264"/>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auto"/>
              </w:rPr>
              <w:t>Cash Incentive Plans</w:t>
            </w:r>
          </w:p>
        </w:tc>
        <w:tc>
          <w:tcPr>
            <w:tcW w:w="860" w:type="dxa"/>
            <w:vAlign w:val="bottom"/>
            <w:tcBorders>
              <w:bottom w:val="single" w:sz="8" w:color="2360A6"/>
              <w:right w:val="single" w:sz="8" w:color="2360A6"/>
            </w:tcBorders>
          </w:tcPr>
          <w:p>
            <w:pPr>
              <w:spacing w:after="0"/>
              <w:rPr>
                <w:sz w:val="22"/>
                <w:szCs w:val="22"/>
                <w:color w:val="auto"/>
              </w:rPr>
            </w:pPr>
          </w:p>
        </w:tc>
        <w:tc>
          <w:tcPr>
            <w:tcW w:w="8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spacing w:after="0"/>
              <w:rPr>
                <w:sz w:val="22"/>
                <w:szCs w:val="22"/>
                <w:color w:val="auto"/>
              </w:rPr>
            </w:pPr>
          </w:p>
        </w:tc>
        <w:tc>
          <w:tcPr>
            <w:tcW w:w="760" w:type="dxa"/>
            <w:vAlign w:val="bottom"/>
            <w:tcBorders>
              <w:bottom w:val="single" w:sz="8" w:color="2360A6"/>
              <w:right w:val="single" w:sz="8" w:color="2360A6"/>
            </w:tcBorders>
          </w:tcPr>
          <w:p>
            <w:pPr>
              <w:spacing w:after="0"/>
              <w:rPr>
                <w:sz w:val="22"/>
                <w:szCs w:val="22"/>
                <w:color w:val="auto"/>
              </w:rPr>
            </w:pPr>
          </w:p>
        </w:tc>
        <w:tc>
          <w:tcPr>
            <w:tcW w:w="1040" w:type="dxa"/>
            <w:vAlign w:val="bottom"/>
            <w:tcBorders>
              <w:bottom w:val="single" w:sz="8" w:color="2360A6"/>
              <w:right w:val="single" w:sz="8" w:color="2360A6"/>
            </w:tcBorders>
            <w:shd w:val="clear" w:color="auto" w:fill="DCDDDE"/>
          </w:tcPr>
          <w:p>
            <w:pPr>
              <w:spacing w:after="0"/>
              <w:rPr>
                <w:sz w:val="22"/>
                <w:szCs w:val="22"/>
                <w:color w:val="auto"/>
              </w:rPr>
            </w:pPr>
          </w:p>
        </w:tc>
        <w:tc>
          <w:tcPr>
            <w:tcW w:w="74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11.0</w:t>
            </w:r>
          </w:p>
        </w:tc>
        <w:tc>
          <w:tcPr>
            <w:tcW w:w="22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11.0</w:t>
            </w:r>
          </w:p>
        </w:tc>
      </w:tr>
      <w:tr>
        <w:trPr>
          <w:trHeight w:val="264"/>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auto"/>
              </w:rPr>
              <w:t>Other</w:t>
            </w:r>
          </w:p>
        </w:tc>
        <w:tc>
          <w:tcPr>
            <w:tcW w:w="860" w:type="dxa"/>
            <w:vAlign w:val="bottom"/>
            <w:tcBorders>
              <w:bottom w:val="single" w:sz="8" w:color="2360A6"/>
              <w:right w:val="single" w:sz="8" w:color="2360A6"/>
            </w:tcBorders>
          </w:tcPr>
          <w:p>
            <w:pPr>
              <w:spacing w:after="0"/>
              <w:rPr>
                <w:sz w:val="22"/>
                <w:szCs w:val="22"/>
                <w:color w:val="auto"/>
              </w:rPr>
            </w:pPr>
          </w:p>
        </w:tc>
        <w:tc>
          <w:tcPr>
            <w:tcW w:w="8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7.6</w:t>
            </w:r>
          </w:p>
        </w:tc>
        <w:tc>
          <w:tcPr>
            <w:tcW w:w="740" w:type="dxa"/>
            <w:vAlign w:val="bottom"/>
            <w:tcBorders>
              <w:bottom w:val="single" w:sz="8" w:color="2360A6"/>
              <w:right w:val="single" w:sz="8" w:color="2360A6"/>
            </w:tcBorders>
          </w:tcPr>
          <w:p>
            <w:pPr>
              <w:spacing w:after="0"/>
              <w:rPr>
                <w:sz w:val="22"/>
                <w:szCs w:val="22"/>
                <w:color w:val="auto"/>
              </w:rPr>
            </w:pPr>
          </w:p>
        </w:tc>
        <w:tc>
          <w:tcPr>
            <w:tcW w:w="7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(3.9)</w:t>
            </w:r>
          </w:p>
        </w:tc>
        <w:tc>
          <w:tcPr>
            <w:tcW w:w="1040" w:type="dxa"/>
            <w:vAlign w:val="bottom"/>
            <w:tcBorders>
              <w:bottom w:val="single" w:sz="8" w:color="2360A6"/>
              <w:right w:val="single" w:sz="8" w:color="2360A6"/>
            </w:tcBorders>
            <w:shd w:val="clear" w:color="auto" w:fill="DCDDDE"/>
          </w:tcPr>
          <w:p>
            <w:pPr>
              <w:spacing w:after="0"/>
              <w:rPr>
                <w:sz w:val="22"/>
                <w:szCs w:val="22"/>
                <w:color w:val="auto"/>
              </w:rPr>
            </w:pPr>
          </w:p>
        </w:tc>
        <w:tc>
          <w:tcPr>
            <w:tcW w:w="74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11.5</w:t>
            </w:r>
          </w:p>
        </w:tc>
        <w:tc>
          <w:tcPr>
            <w:tcW w:w="1040" w:type="dxa"/>
            <w:vAlign w:val="bottom"/>
            <w:tcBorders>
              <w:bottom w:val="single" w:sz="8" w:color="2360A6"/>
              <w:right w:val="single" w:sz="8" w:color="2360A6"/>
            </w:tcBorders>
          </w:tcPr>
          <w:p>
            <w:pPr>
              <w:spacing w:after="0"/>
              <w:rPr>
                <w:sz w:val="22"/>
                <w:szCs w:val="22"/>
                <w:color w:val="auto"/>
              </w:rPr>
            </w:pPr>
          </w:p>
        </w:tc>
        <w:tc>
          <w:tcPr>
            <w:tcW w:w="22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11.5</w:t>
            </w:r>
          </w:p>
        </w:tc>
      </w:tr>
      <w:tr>
        <w:trPr>
          <w:trHeight w:val="264"/>
        </w:trPr>
        <w:tc>
          <w:tcPr>
            <w:tcW w:w="236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auto"/>
              </w:rPr>
              <w:t>As of December 31, 2014</w:t>
            </w:r>
          </w:p>
        </w:tc>
        <w:tc>
          <w:tcPr>
            <w:tcW w:w="860" w:type="dxa"/>
            <w:vAlign w:val="bottom"/>
            <w:tcBorders>
              <w:bottom w:val="single" w:sz="8" w:color="2360A6"/>
              <w:right w:val="single" w:sz="8" w:color="2360A6"/>
            </w:tcBorders>
          </w:tcPr>
          <w:p>
            <w:pPr>
              <w:spacing w:after="0"/>
              <w:rPr>
                <w:sz w:val="22"/>
                <w:szCs w:val="22"/>
                <w:color w:val="auto"/>
              </w:rPr>
            </w:pPr>
          </w:p>
        </w:tc>
        <w:tc>
          <w:tcPr>
            <w:tcW w:w="8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424.4</w:t>
            </w:r>
          </w:p>
        </w:tc>
        <w:tc>
          <w:tcPr>
            <w:tcW w:w="740" w:type="dxa"/>
            <w:vAlign w:val="bottom"/>
            <w:tcBorders>
              <w:bottom w:val="single" w:sz="8" w:color="2360A6"/>
              <w:right w:val="single" w:sz="8" w:color="2360A6"/>
            </w:tcBorders>
          </w:tcPr>
          <w:p>
            <w:pPr>
              <w:spacing w:after="0"/>
              <w:rPr>
                <w:sz w:val="22"/>
                <w:szCs w:val="22"/>
                <w:color w:val="auto"/>
              </w:rPr>
            </w:pPr>
          </w:p>
        </w:tc>
        <w:tc>
          <w:tcPr>
            <w:tcW w:w="7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207.8</w:t>
            </w:r>
          </w:p>
        </w:tc>
        <w:tc>
          <w:tcPr>
            <w:tcW w:w="1040" w:type="dxa"/>
            <w:vAlign w:val="bottom"/>
            <w:tcBorders>
              <w:bottom w:val="single" w:sz="8" w:color="2360A6"/>
              <w:right w:val="single" w:sz="8" w:color="2360A6"/>
            </w:tcBorders>
            <w:shd w:val="clear" w:color="auto" w:fill="DCDDDE"/>
          </w:tcPr>
          <w:p>
            <w:pPr>
              <w:spacing w:after="0"/>
              <w:rPr>
                <w:sz w:val="22"/>
                <w:szCs w:val="22"/>
                <w:color w:val="auto"/>
              </w:rPr>
            </w:pPr>
          </w:p>
        </w:tc>
        <w:tc>
          <w:tcPr>
            <w:tcW w:w="74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216.6</w:t>
            </w:r>
          </w:p>
        </w:tc>
        <w:tc>
          <w:tcPr>
            <w:tcW w:w="10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auto"/>
              </w:rPr>
              <w:t>57.2</w:t>
            </w:r>
          </w:p>
        </w:tc>
        <w:tc>
          <w:tcPr>
            <w:tcW w:w="22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273.8</w:t>
            </w:r>
          </w:p>
        </w:tc>
      </w:tr>
    </w:tbl>
    <w:p>
      <w:pPr>
        <w:sectPr>
          <w:pgSz w:w="11900" w:h="16838" w:orient="portrait"/>
          <w:cols w:equalWidth="0" w:num="1">
            <w:col w:w="10940"/>
          </w:cols>
          <w:pgMar w:left="320" w:top="676" w:right="639" w:bottom="1440" w:gutter="0" w:footer="0" w:header="0"/>
        </w:sectPr>
      </w:pPr>
    </w:p>
    <w:bookmarkStart w:id="147" w:name="page148"/>
    <w:bookmarkEnd w:id="1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431800</wp:posOffset>
            </wp:positionH>
            <wp:positionV relativeFrom="page">
              <wp:posOffset>603250</wp:posOffset>
            </wp:positionV>
            <wp:extent cx="6706235" cy="84556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06235" cy="845566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356"/>
        </w:trPr>
        <w:tc>
          <w:tcPr>
            <w:tcW w:w="2240" w:type="dxa"/>
            <w:vAlign w:val="bottom"/>
            <w:tcBorders>
              <w:top w:val="single" w:sz="8" w:color="2360A6"/>
              <w:right w:val="single" w:sz="8" w:color="2360A6"/>
            </w:tcBorders>
          </w:tcPr>
          <w:p>
            <w:pPr>
              <w:spacing w:after="0"/>
              <w:rPr>
                <w:sz w:val="24"/>
                <w:szCs w:val="24"/>
                <w:color w:val="auto"/>
              </w:rPr>
            </w:pPr>
          </w:p>
        </w:tc>
        <w:tc>
          <w:tcPr>
            <w:tcW w:w="1720" w:type="dxa"/>
            <w:vAlign w:val="bottom"/>
            <w:tcBorders>
              <w:top w:val="single" w:sz="8" w:color="2360A6"/>
              <w:right w:val="single" w:sz="8" w:color="2360A6"/>
            </w:tcBorders>
            <w:gridSpan w:val="2"/>
          </w:tcPr>
          <w:p>
            <w:pPr>
              <w:jc w:val="right"/>
              <w:ind w:right="77"/>
              <w:spacing w:after="0"/>
              <w:rPr>
                <w:sz w:val="20"/>
                <w:szCs w:val="20"/>
                <w:color w:val="auto"/>
              </w:rPr>
            </w:pPr>
            <w:r>
              <w:rPr>
                <w:rFonts w:ascii="Arial" w:cs="Arial" w:eastAsia="Arial" w:hAnsi="Arial"/>
                <w:sz w:val="13"/>
                <w:szCs w:val="13"/>
                <w:b w:val="1"/>
                <w:bCs w:val="1"/>
                <w:color w:val="2360A6"/>
              </w:rPr>
              <w:t>Defined Benefit</w:t>
            </w:r>
          </w:p>
        </w:tc>
        <w:tc>
          <w:tcPr>
            <w:tcW w:w="1480" w:type="dxa"/>
            <w:vAlign w:val="bottom"/>
            <w:tcBorders>
              <w:top w:val="single" w:sz="8" w:color="2360A6"/>
              <w:right w:val="single" w:sz="8" w:color="2360A6"/>
            </w:tcBorders>
            <w:gridSpan w:val="2"/>
          </w:tcPr>
          <w:p>
            <w:pPr>
              <w:jc w:val="right"/>
              <w:ind w:right="77"/>
              <w:spacing w:after="0"/>
              <w:rPr>
                <w:sz w:val="20"/>
                <w:szCs w:val="20"/>
                <w:color w:val="auto"/>
              </w:rPr>
            </w:pPr>
            <w:r>
              <w:rPr>
                <w:rFonts w:ascii="Arial" w:cs="Arial" w:eastAsia="Arial" w:hAnsi="Arial"/>
                <w:sz w:val="13"/>
                <w:szCs w:val="13"/>
                <w:b w:val="1"/>
                <w:bCs w:val="1"/>
                <w:color w:val="2360A6"/>
              </w:rPr>
              <w:t>Fair Value of</w:t>
            </w:r>
          </w:p>
        </w:tc>
        <w:tc>
          <w:tcPr>
            <w:tcW w:w="1780" w:type="dxa"/>
            <w:vAlign w:val="bottom"/>
            <w:tcBorders>
              <w:top w:val="single" w:sz="8" w:color="2360A6"/>
              <w:right w:val="single" w:sz="8" w:color="2360A6"/>
            </w:tcBorders>
            <w:gridSpan w:val="3"/>
            <w:shd w:val="clear" w:color="auto" w:fill="2360A6"/>
          </w:tcPr>
          <w:p>
            <w:pPr>
              <w:jc w:val="right"/>
              <w:ind w:right="57"/>
              <w:spacing w:after="0"/>
              <w:rPr>
                <w:sz w:val="20"/>
                <w:szCs w:val="20"/>
                <w:color w:val="auto"/>
              </w:rPr>
            </w:pPr>
            <w:r>
              <w:rPr>
                <w:rFonts w:ascii="Arial" w:cs="Arial" w:eastAsia="Arial" w:hAnsi="Arial"/>
                <w:sz w:val="13"/>
                <w:szCs w:val="13"/>
                <w:b w:val="1"/>
                <w:bCs w:val="1"/>
                <w:color w:val="FFFFFF"/>
              </w:rPr>
              <w:t>Net Defined Benefit</w:t>
            </w:r>
          </w:p>
        </w:tc>
        <w:tc>
          <w:tcPr>
            <w:tcW w:w="10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w w:val="98"/>
              </w:rPr>
              <w:t>Cash Incentive</w:t>
            </w:r>
          </w:p>
        </w:tc>
        <w:tc>
          <w:tcPr>
            <w:tcW w:w="2280" w:type="dxa"/>
            <w:vAlign w:val="bottom"/>
            <w:tcBorders>
              <w:top w:val="single" w:sz="8" w:color="2360A6"/>
            </w:tcBorders>
            <w:shd w:val="clear" w:color="auto" w:fill="2360A6"/>
          </w:tcPr>
          <w:p>
            <w:pPr>
              <w:jc w:val="right"/>
              <w:ind w:right="17"/>
              <w:spacing w:after="0"/>
              <w:rPr>
                <w:sz w:val="20"/>
                <w:szCs w:val="20"/>
                <w:color w:val="auto"/>
              </w:rPr>
            </w:pPr>
            <w:r>
              <w:rPr>
                <w:rFonts w:ascii="Arial" w:cs="Arial" w:eastAsia="Arial" w:hAnsi="Arial"/>
                <w:sz w:val="13"/>
                <w:szCs w:val="13"/>
                <w:b w:val="1"/>
                <w:bCs w:val="1"/>
                <w:color w:val="FFFFFF"/>
              </w:rPr>
              <w:t>Asset/ (Liability) as recorded in the</w:t>
            </w:r>
          </w:p>
        </w:tc>
        <w:tc>
          <w:tcPr>
            <w:tcW w:w="20" w:type="dxa"/>
            <w:vAlign w:val="bottom"/>
            <w:tcBorders>
              <w:top w:val="single" w:sz="8" w:color="2360A6"/>
            </w:tcBorders>
          </w:tcPr>
          <w:p>
            <w:pPr>
              <w:spacing w:after="0"/>
              <w:rPr>
                <w:sz w:val="24"/>
                <w:szCs w:val="24"/>
                <w:color w:val="auto"/>
              </w:rPr>
            </w:pPr>
          </w:p>
        </w:tc>
      </w:tr>
      <w:tr>
        <w:trPr>
          <w:trHeight w:val="178"/>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In millions of Euro</w:t>
            </w:r>
          </w:p>
        </w:tc>
        <w:tc>
          <w:tcPr>
            <w:tcW w:w="860" w:type="dxa"/>
            <w:vAlign w:val="bottom"/>
            <w:tcBorders>
              <w:bottom w:val="single" w:sz="8" w:color="2360A6"/>
            </w:tcBorders>
          </w:tcPr>
          <w:p>
            <w:pPr>
              <w:spacing w:after="0"/>
              <w:rPr>
                <w:sz w:val="15"/>
                <w:szCs w:val="15"/>
                <w:color w:val="auto"/>
              </w:rPr>
            </w:pP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Obligation</w:t>
            </w:r>
          </w:p>
        </w:tc>
        <w:tc>
          <w:tcPr>
            <w:tcW w:w="1480" w:type="dxa"/>
            <w:vAlign w:val="bottom"/>
            <w:tcBorders>
              <w:bottom w:val="single" w:sz="8" w:color="2360A6"/>
              <w:right w:val="single" w:sz="8" w:color="2360A6"/>
            </w:tcBorders>
            <w:gridSpan w:val="2"/>
          </w:tcPr>
          <w:p>
            <w:pPr>
              <w:jc w:val="right"/>
              <w:ind w:right="77"/>
              <w:spacing w:after="0"/>
              <w:rPr>
                <w:sz w:val="20"/>
                <w:szCs w:val="20"/>
                <w:color w:val="auto"/>
              </w:rPr>
            </w:pPr>
            <w:r>
              <w:rPr>
                <w:rFonts w:ascii="Arial" w:cs="Arial" w:eastAsia="Arial" w:hAnsi="Arial"/>
                <w:sz w:val="13"/>
                <w:szCs w:val="13"/>
                <w:b w:val="1"/>
                <w:bCs w:val="1"/>
                <w:color w:val="2360A6"/>
              </w:rPr>
              <w:t>Plan Assets</w:t>
            </w:r>
          </w:p>
        </w:tc>
        <w:tc>
          <w:tcPr>
            <w:tcW w:w="940" w:type="dxa"/>
            <w:vAlign w:val="bottom"/>
            <w:tcBorders>
              <w:bottom w:val="single" w:sz="8" w:color="2360A6"/>
            </w:tcBorders>
            <w:shd w:val="clear" w:color="auto" w:fill="2360A6"/>
          </w:tcPr>
          <w:p>
            <w:pPr>
              <w:spacing w:after="0"/>
              <w:rPr>
                <w:sz w:val="15"/>
                <w:szCs w:val="15"/>
                <w:color w:val="auto"/>
              </w:rPr>
            </w:pPr>
          </w:p>
        </w:tc>
        <w:tc>
          <w:tcPr>
            <w:tcW w:w="840" w:type="dxa"/>
            <w:vAlign w:val="bottom"/>
            <w:tcBorders>
              <w:bottom w:val="single" w:sz="8" w:color="2360A6"/>
              <w:right w:val="single" w:sz="8" w:color="2360A6"/>
            </w:tcBorders>
            <w:gridSpan w:val="2"/>
            <w:shd w:val="clear" w:color="auto" w:fill="2360A6"/>
          </w:tcPr>
          <w:p>
            <w:pPr>
              <w:jc w:val="right"/>
              <w:ind w:right="57"/>
              <w:spacing w:after="0"/>
              <w:rPr>
                <w:sz w:val="20"/>
                <w:szCs w:val="20"/>
                <w:color w:val="auto"/>
              </w:rPr>
            </w:pPr>
            <w:r>
              <w:rPr>
                <w:rFonts w:ascii="Arial" w:cs="Arial" w:eastAsia="Arial" w:hAnsi="Arial"/>
                <w:sz w:val="13"/>
                <w:szCs w:val="13"/>
                <w:b w:val="1"/>
                <w:bCs w:val="1"/>
                <w:color w:val="FFFFFF"/>
              </w:rPr>
              <w:t>Obligation</w:t>
            </w:r>
          </w:p>
        </w:tc>
        <w:tc>
          <w:tcPr>
            <w:tcW w:w="10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Plans</w:t>
            </w:r>
          </w:p>
        </w:tc>
        <w:tc>
          <w:tcPr>
            <w:tcW w:w="2280" w:type="dxa"/>
            <w:vAlign w:val="bottom"/>
            <w:tcBorders>
              <w:bottom w:val="single" w:sz="8" w:color="2360A6"/>
            </w:tcBorders>
            <w:shd w:val="clear" w:color="auto" w:fill="2360A6"/>
          </w:tcPr>
          <w:p>
            <w:pPr>
              <w:jc w:val="right"/>
              <w:ind w:right="17"/>
              <w:spacing w:after="0"/>
              <w:rPr>
                <w:sz w:val="20"/>
                <w:szCs w:val="20"/>
                <w:color w:val="auto"/>
              </w:rPr>
            </w:pPr>
            <w:r>
              <w:rPr>
                <w:rFonts w:ascii="Arial" w:cs="Arial" w:eastAsia="Arial" w:hAnsi="Arial"/>
                <w:sz w:val="13"/>
                <w:szCs w:val="13"/>
                <w:b w:val="1"/>
                <w:bCs w:val="1"/>
                <w:color w:val="FFFFFF"/>
              </w:rPr>
              <w:t>statement of Financial Position</w:t>
            </w:r>
          </w:p>
        </w:tc>
        <w:tc>
          <w:tcPr>
            <w:tcW w:w="20" w:type="dxa"/>
            <w:vAlign w:val="bottom"/>
            <w:tcBorders>
              <w:bottom w:val="single" w:sz="8" w:color="2360A6"/>
            </w:tcBorders>
          </w:tcPr>
          <w:p>
            <w:pPr>
              <w:spacing w:after="0"/>
              <w:rPr>
                <w:sz w:val="15"/>
                <w:szCs w:val="15"/>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Acquisition/Divestiture</w:t>
            </w:r>
          </w:p>
        </w:tc>
        <w:tc>
          <w:tcPr>
            <w:tcW w:w="860" w:type="dxa"/>
            <w:vAlign w:val="bottom"/>
            <w:tcBorders>
              <w:bottom w:val="single" w:sz="8" w:color="2360A6"/>
              <w:right w:val="single" w:sz="8" w:color="2360A6"/>
            </w:tcBorders>
          </w:tcPr>
          <w:p>
            <w:pPr>
              <w:spacing w:after="0"/>
              <w:rPr>
                <w:sz w:val="22"/>
                <w:szCs w:val="22"/>
                <w:color w:val="auto"/>
              </w:rPr>
            </w:pP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1F20"/>
              </w:rPr>
              <w:t>4.3</w:t>
            </w:r>
          </w:p>
        </w:tc>
        <w:tc>
          <w:tcPr>
            <w:tcW w:w="7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1F20"/>
              </w:rPr>
              <w:t>—</w:t>
            </w:r>
          </w:p>
        </w:tc>
        <w:tc>
          <w:tcPr>
            <w:tcW w:w="940" w:type="dxa"/>
            <w:vAlign w:val="bottom"/>
            <w:tcBorders>
              <w:bottom w:val="single" w:sz="8" w:color="2360A6"/>
            </w:tcBorders>
            <w:shd w:val="clear" w:color="auto" w:fill="DCDDDE"/>
          </w:tcPr>
          <w:p>
            <w:pPr>
              <w:spacing w:after="0"/>
              <w:rPr>
                <w:sz w:val="22"/>
                <w:szCs w:val="22"/>
                <w:color w:val="auto"/>
              </w:rPr>
            </w:pP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b w:val="1"/>
                <w:bCs w:val="1"/>
                <w:color w:val="231F20"/>
              </w:rPr>
              <w:t>4.3</w:t>
            </w: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4.3</w:t>
            </w:r>
          </w:p>
        </w:tc>
        <w:tc>
          <w:tcPr>
            <w:tcW w:w="20" w:type="dxa"/>
            <w:vAlign w:val="bottom"/>
            <w:tcBorders>
              <w:bottom w:val="single" w:sz="8" w:color="2360A6"/>
            </w:tcBorders>
          </w:tcPr>
          <w:p>
            <w:pPr>
              <w:spacing w:after="0"/>
              <w:rPr>
                <w:sz w:val="22"/>
                <w:szCs w:val="22"/>
                <w:color w:val="auto"/>
              </w:rPr>
            </w:pPr>
          </w:p>
        </w:tc>
      </w:tr>
      <w:tr>
        <w:trPr>
          <w:trHeight w:val="140"/>
        </w:trPr>
        <w:tc>
          <w:tcPr>
            <w:tcW w:w="2240" w:type="dxa"/>
            <w:vAlign w:val="bottom"/>
            <w:tcBorders>
              <w:right w:val="single" w:sz="8" w:color="2360A6"/>
            </w:tcBorders>
          </w:tcPr>
          <w:p>
            <w:pPr>
              <w:ind w:left="40"/>
              <w:spacing w:after="0" w:line="140" w:lineRule="exact"/>
              <w:rPr>
                <w:sz w:val="20"/>
                <w:szCs w:val="20"/>
                <w:color w:val="auto"/>
              </w:rPr>
            </w:pPr>
            <w:r>
              <w:rPr>
                <w:rFonts w:ascii="Arial" w:cs="Arial" w:eastAsia="Arial" w:hAnsi="Arial"/>
                <w:sz w:val="13"/>
                <w:szCs w:val="13"/>
                <w:b w:val="1"/>
                <w:bCs w:val="1"/>
                <w:color w:val="231F20"/>
              </w:rPr>
              <w:t>Expense as recorded in the</w:t>
            </w:r>
          </w:p>
        </w:tc>
        <w:tc>
          <w:tcPr>
            <w:tcW w:w="860" w:type="dxa"/>
            <w:vAlign w:val="bottom"/>
            <w:tcBorders>
              <w:right w:val="single" w:sz="8" w:color="2360A6"/>
            </w:tcBorders>
          </w:tcPr>
          <w:p>
            <w:pPr>
              <w:spacing w:after="0"/>
              <w:rPr>
                <w:sz w:val="12"/>
                <w:szCs w:val="12"/>
                <w:color w:val="auto"/>
              </w:rPr>
            </w:pPr>
          </w:p>
        </w:tc>
        <w:tc>
          <w:tcPr>
            <w:tcW w:w="860" w:type="dxa"/>
            <w:vAlign w:val="bottom"/>
            <w:tcBorders>
              <w:right w:val="single" w:sz="8" w:color="2360A6"/>
            </w:tcBorders>
          </w:tcPr>
          <w:p>
            <w:pPr>
              <w:spacing w:after="0"/>
              <w:rPr>
                <w:sz w:val="12"/>
                <w:szCs w:val="12"/>
                <w:color w:val="auto"/>
              </w:rPr>
            </w:pPr>
          </w:p>
        </w:tc>
        <w:tc>
          <w:tcPr>
            <w:tcW w:w="740" w:type="dxa"/>
            <w:vAlign w:val="bottom"/>
            <w:tcBorders>
              <w:right w:val="single" w:sz="8" w:color="2360A6"/>
            </w:tcBorders>
          </w:tcPr>
          <w:p>
            <w:pPr>
              <w:spacing w:after="0"/>
              <w:rPr>
                <w:sz w:val="12"/>
                <w:szCs w:val="12"/>
                <w:color w:val="auto"/>
              </w:rPr>
            </w:pPr>
          </w:p>
        </w:tc>
        <w:tc>
          <w:tcPr>
            <w:tcW w:w="740" w:type="dxa"/>
            <w:vAlign w:val="bottom"/>
            <w:tcBorders>
              <w:right w:val="single" w:sz="8" w:color="2360A6"/>
            </w:tcBorders>
          </w:tcPr>
          <w:p>
            <w:pPr>
              <w:spacing w:after="0"/>
              <w:rPr>
                <w:sz w:val="12"/>
                <w:szCs w:val="12"/>
                <w:color w:val="auto"/>
              </w:rPr>
            </w:pPr>
          </w:p>
        </w:tc>
        <w:tc>
          <w:tcPr>
            <w:tcW w:w="940" w:type="dxa"/>
            <w:vAlign w:val="bottom"/>
            <w:shd w:val="clear" w:color="auto" w:fill="DCDDDE"/>
          </w:tcPr>
          <w:p>
            <w:pPr>
              <w:spacing w:after="0"/>
              <w:rPr>
                <w:sz w:val="12"/>
                <w:szCs w:val="12"/>
                <w:color w:val="auto"/>
              </w:rPr>
            </w:pPr>
          </w:p>
        </w:tc>
        <w:tc>
          <w:tcPr>
            <w:tcW w:w="120" w:type="dxa"/>
            <w:vAlign w:val="bottom"/>
            <w:tcBorders>
              <w:right w:val="single" w:sz="8" w:color="2360A6"/>
            </w:tcBorders>
            <w:shd w:val="clear" w:color="auto" w:fill="DCDDDE"/>
          </w:tcPr>
          <w:p>
            <w:pPr>
              <w:spacing w:after="0"/>
              <w:rPr>
                <w:sz w:val="12"/>
                <w:szCs w:val="12"/>
                <w:color w:val="auto"/>
              </w:rPr>
            </w:pPr>
          </w:p>
        </w:tc>
        <w:tc>
          <w:tcPr>
            <w:tcW w:w="720" w:type="dxa"/>
            <w:vAlign w:val="bottom"/>
            <w:tcBorders>
              <w:right w:val="single" w:sz="8" w:color="2360A6"/>
            </w:tcBorders>
            <w:shd w:val="clear" w:color="auto" w:fill="DCDDDE"/>
          </w:tcPr>
          <w:p>
            <w:pPr>
              <w:spacing w:after="0"/>
              <w:rPr>
                <w:sz w:val="12"/>
                <w:szCs w:val="12"/>
                <w:color w:val="auto"/>
              </w:rPr>
            </w:pPr>
          </w:p>
        </w:tc>
        <w:tc>
          <w:tcPr>
            <w:tcW w:w="1040" w:type="dxa"/>
            <w:vAlign w:val="bottom"/>
            <w:tcBorders>
              <w:right w:val="single" w:sz="8" w:color="2360A6"/>
            </w:tcBorders>
          </w:tcPr>
          <w:p>
            <w:pPr>
              <w:spacing w:after="0"/>
              <w:rPr>
                <w:sz w:val="12"/>
                <w:szCs w:val="12"/>
                <w:color w:val="auto"/>
              </w:rPr>
            </w:pPr>
          </w:p>
        </w:tc>
        <w:tc>
          <w:tcPr>
            <w:tcW w:w="2280" w:type="dxa"/>
            <w:vAlign w:val="bottom"/>
            <w:shd w:val="clear" w:color="auto" w:fill="DCDDDE"/>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statement of income</w:t>
            </w:r>
          </w:p>
        </w:tc>
        <w:tc>
          <w:tcPr>
            <w:tcW w:w="860" w:type="dxa"/>
            <w:vAlign w:val="bottom"/>
            <w:tcBorders>
              <w:bottom w:val="single" w:sz="8" w:color="2360A6"/>
              <w:right w:val="single" w:sz="8" w:color="2360A6"/>
            </w:tcBorders>
          </w:tcPr>
          <w:p>
            <w:pPr>
              <w:spacing w:after="0"/>
              <w:rPr>
                <w:sz w:val="15"/>
                <w:szCs w:val="15"/>
                <w:color w:val="auto"/>
              </w:rPr>
            </w:pP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1F20"/>
              </w:rPr>
              <w:t>21.4</w:t>
            </w:r>
          </w:p>
        </w:tc>
        <w:tc>
          <w:tcPr>
            <w:tcW w:w="740" w:type="dxa"/>
            <w:vAlign w:val="bottom"/>
            <w:tcBorders>
              <w:bottom w:val="single" w:sz="8" w:color="2360A6"/>
              <w:right w:val="single" w:sz="8" w:color="2360A6"/>
            </w:tcBorders>
          </w:tcPr>
          <w:p>
            <w:pPr>
              <w:spacing w:after="0"/>
              <w:rPr>
                <w:sz w:val="15"/>
                <w:szCs w:val="15"/>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1F20"/>
              </w:rPr>
              <w:t>6.0</w:t>
            </w:r>
          </w:p>
        </w:tc>
        <w:tc>
          <w:tcPr>
            <w:tcW w:w="940" w:type="dxa"/>
            <w:vAlign w:val="bottom"/>
            <w:tcBorders>
              <w:bottom w:val="single" w:sz="8" w:color="2360A6"/>
            </w:tcBorders>
            <w:shd w:val="clear" w:color="auto" w:fill="DCDDDE"/>
          </w:tcPr>
          <w:p>
            <w:pPr>
              <w:spacing w:after="0"/>
              <w:rPr>
                <w:sz w:val="15"/>
                <w:szCs w:val="15"/>
                <w:color w:val="auto"/>
              </w:rPr>
            </w:pPr>
          </w:p>
        </w:tc>
        <w:tc>
          <w:tcPr>
            <w:tcW w:w="120" w:type="dxa"/>
            <w:vAlign w:val="bottom"/>
            <w:tcBorders>
              <w:bottom w:val="single" w:sz="8" w:color="2360A6"/>
              <w:right w:val="single" w:sz="8" w:color="2360A6"/>
            </w:tcBorders>
            <w:shd w:val="clear" w:color="auto" w:fill="DCDDDE"/>
          </w:tcPr>
          <w:p>
            <w:pPr>
              <w:spacing w:after="0"/>
              <w:rPr>
                <w:sz w:val="15"/>
                <w:szCs w:val="15"/>
                <w:color w:val="auto"/>
              </w:rPr>
            </w:pPr>
          </w:p>
        </w:tc>
        <w:tc>
          <w:tcPr>
            <w:tcW w:w="72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b w:val="1"/>
                <w:bCs w:val="1"/>
                <w:color w:val="231F20"/>
              </w:rPr>
              <w:t>15.4</w:t>
            </w:r>
          </w:p>
        </w:tc>
        <w:tc>
          <w:tcPr>
            <w:tcW w:w="1040" w:type="dxa"/>
            <w:vAlign w:val="bottom"/>
            <w:tcBorders>
              <w:bottom w:val="single" w:sz="8" w:color="2360A6"/>
              <w:right w:val="single" w:sz="8" w:color="2360A6"/>
            </w:tcBorders>
          </w:tcPr>
          <w:p>
            <w:pPr>
              <w:spacing w:after="0"/>
              <w:rPr>
                <w:sz w:val="15"/>
                <w:szCs w:val="15"/>
                <w:color w:val="auto"/>
              </w:rPr>
            </w:pPr>
          </w:p>
        </w:tc>
        <w:tc>
          <w:tcPr>
            <w:tcW w:w="2280" w:type="dxa"/>
            <w:vAlign w:val="bottom"/>
            <w:tcBorders>
              <w:bottom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15.4</w:t>
            </w:r>
          </w:p>
        </w:tc>
        <w:tc>
          <w:tcPr>
            <w:tcW w:w="20" w:type="dxa"/>
            <w:vAlign w:val="bottom"/>
            <w:tcBorders>
              <w:bottom w:val="single" w:sz="8" w:color="2360A6"/>
            </w:tcBorders>
          </w:tcPr>
          <w:p>
            <w:pPr>
              <w:spacing w:after="0"/>
              <w:rPr>
                <w:sz w:val="15"/>
                <w:szCs w:val="15"/>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Total current service cost</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10.9</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10.9</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Net Financial Costs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10.2</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6.0</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4.2</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Actuarial Gains/(Losses) of the Year</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0.1</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0.1</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Administrative costs and taxes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0.2</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0.2</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OCI amounts</w:t>
            </w:r>
          </w:p>
        </w:tc>
        <w:tc>
          <w:tcPr>
            <w:tcW w:w="860" w:type="dxa"/>
            <w:vAlign w:val="bottom"/>
            <w:tcBorders>
              <w:bottom w:val="single" w:sz="8" w:color="2360A6"/>
              <w:right w:val="single" w:sz="8" w:color="2360A6"/>
            </w:tcBorders>
          </w:tcPr>
          <w:p>
            <w:pPr>
              <w:spacing w:after="0"/>
              <w:rPr>
                <w:sz w:val="22"/>
                <w:szCs w:val="22"/>
                <w:color w:val="auto"/>
              </w:rPr>
            </w:pPr>
          </w:p>
        </w:tc>
        <w:tc>
          <w:tcPr>
            <w:tcW w:w="8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1F20"/>
              </w:rPr>
              <w:t>(15.3)</w:t>
            </w:r>
          </w:p>
        </w:tc>
        <w:tc>
          <w:tcPr>
            <w:tcW w:w="7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1F20"/>
              </w:rPr>
              <w:t>1.8</w:t>
            </w:r>
          </w:p>
        </w:tc>
        <w:tc>
          <w:tcPr>
            <w:tcW w:w="1060" w:type="dxa"/>
            <w:vAlign w:val="bottom"/>
            <w:tcBorders>
              <w:bottom w:val="single" w:sz="8" w:color="2360A6"/>
              <w:right w:val="single" w:sz="8" w:color="2360A6"/>
            </w:tcBorders>
            <w:gridSpan w:val="2"/>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(17.1)</w:t>
            </w: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231F20"/>
              </w:rPr>
              <w:t>(17.1)</w:t>
            </w:r>
          </w:p>
        </w:tc>
        <w:tc>
          <w:tcPr>
            <w:tcW w:w="20" w:type="dxa"/>
            <w:vAlign w:val="bottom"/>
            <w:tcBorders>
              <w:bottom w:val="single" w:sz="8" w:color="2360A6"/>
            </w:tcBorders>
          </w:tcPr>
          <w:p>
            <w:pPr>
              <w:spacing w:after="0"/>
              <w:rPr>
                <w:sz w:val="22"/>
                <w:szCs w:val="22"/>
                <w:color w:val="auto"/>
              </w:rPr>
            </w:pPr>
          </w:p>
        </w:tc>
      </w:tr>
      <w:tr>
        <w:trPr>
          <w:trHeight w:val="156"/>
        </w:trPr>
        <w:tc>
          <w:tcPr>
            <w:tcW w:w="224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Actuarial (Gain) / Loss on Defined</w:t>
            </w:r>
          </w:p>
        </w:tc>
        <w:tc>
          <w:tcPr>
            <w:tcW w:w="86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940" w:type="dxa"/>
            <w:vAlign w:val="bottom"/>
            <w:shd w:val="clear" w:color="auto" w:fill="DCDDDE"/>
          </w:tcPr>
          <w:p>
            <w:pPr>
              <w:spacing w:after="0"/>
              <w:rPr>
                <w:sz w:val="13"/>
                <w:szCs w:val="13"/>
                <w:color w:val="auto"/>
              </w:rPr>
            </w:pPr>
          </w:p>
        </w:tc>
        <w:tc>
          <w:tcPr>
            <w:tcW w:w="120" w:type="dxa"/>
            <w:vAlign w:val="bottom"/>
            <w:tcBorders>
              <w:right w:val="single" w:sz="8" w:color="2360A6"/>
            </w:tcBorders>
            <w:shd w:val="clear" w:color="auto" w:fill="DCDDDE"/>
          </w:tcPr>
          <w:p>
            <w:pPr>
              <w:spacing w:after="0"/>
              <w:rPr>
                <w:sz w:val="13"/>
                <w:szCs w:val="13"/>
                <w:color w:val="auto"/>
              </w:rPr>
            </w:pPr>
          </w:p>
        </w:tc>
        <w:tc>
          <w:tcPr>
            <w:tcW w:w="720" w:type="dxa"/>
            <w:vAlign w:val="bottom"/>
            <w:tcBorders>
              <w:right w:val="single" w:sz="8" w:color="2360A6"/>
            </w:tcBorders>
            <w:shd w:val="clear" w:color="auto" w:fill="DCDDDE"/>
          </w:tcPr>
          <w:p>
            <w:pPr>
              <w:spacing w:after="0"/>
              <w:rPr>
                <w:sz w:val="13"/>
                <w:szCs w:val="13"/>
                <w:color w:val="auto"/>
              </w:rPr>
            </w:pPr>
          </w:p>
        </w:tc>
        <w:tc>
          <w:tcPr>
            <w:tcW w:w="1040" w:type="dxa"/>
            <w:vAlign w:val="bottom"/>
            <w:tcBorders>
              <w:right w:val="single" w:sz="8" w:color="2360A6"/>
            </w:tcBorders>
          </w:tcPr>
          <w:p>
            <w:pPr>
              <w:spacing w:after="0"/>
              <w:rPr>
                <w:sz w:val="13"/>
                <w:szCs w:val="13"/>
                <w:color w:val="auto"/>
              </w:rPr>
            </w:pPr>
          </w:p>
        </w:tc>
        <w:tc>
          <w:tcPr>
            <w:tcW w:w="2280" w:type="dxa"/>
            <w:vAlign w:val="bottom"/>
            <w:shd w:val="clear" w:color="auto" w:fill="DCDDDE"/>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Benefit Obligation</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(15.3)</w:t>
            </w:r>
          </w:p>
        </w:tc>
        <w:tc>
          <w:tcPr>
            <w:tcW w:w="860" w:type="dxa"/>
            <w:vAlign w:val="bottom"/>
            <w:tcBorders>
              <w:bottom w:val="single" w:sz="8" w:color="2360A6"/>
              <w:right w:val="single" w:sz="8" w:color="2360A6"/>
            </w:tcBorders>
          </w:tcPr>
          <w:p>
            <w:pPr>
              <w:spacing w:after="0"/>
              <w:rPr>
                <w:sz w:val="14"/>
                <w:szCs w:val="14"/>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spacing w:after="0"/>
              <w:rPr>
                <w:sz w:val="14"/>
                <w:szCs w:val="14"/>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(15.3)</w:t>
            </w:r>
          </w:p>
        </w:tc>
        <w:tc>
          <w:tcPr>
            <w:tcW w:w="120" w:type="dxa"/>
            <w:vAlign w:val="bottom"/>
            <w:tcBorders>
              <w:bottom w:val="single" w:sz="8" w:color="2360A6"/>
              <w:right w:val="single" w:sz="8" w:color="2360A6"/>
            </w:tcBorders>
            <w:shd w:val="clear" w:color="auto" w:fill="DCDDDE"/>
          </w:tcPr>
          <w:p>
            <w:pPr>
              <w:spacing w:after="0"/>
              <w:rPr>
                <w:sz w:val="14"/>
                <w:szCs w:val="14"/>
                <w:color w:val="auto"/>
              </w:rPr>
            </w:pPr>
          </w:p>
        </w:tc>
        <w:tc>
          <w:tcPr>
            <w:tcW w:w="720" w:type="dxa"/>
            <w:vAlign w:val="bottom"/>
            <w:tcBorders>
              <w:bottom w:val="single" w:sz="8" w:color="2360A6"/>
              <w:right w:val="single" w:sz="8" w:color="2360A6"/>
            </w:tcBorders>
            <w:shd w:val="clear" w:color="auto" w:fill="DCDDDE"/>
          </w:tcPr>
          <w:p>
            <w:pPr>
              <w:spacing w:after="0"/>
              <w:rPr>
                <w:sz w:val="14"/>
                <w:szCs w:val="14"/>
                <w:color w:val="auto"/>
              </w:rPr>
            </w:pPr>
          </w:p>
        </w:tc>
        <w:tc>
          <w:tcPr>
            <w:tcW w:w="1040" w:type="dxa"/>
            <w:vAlign w:val="bottom"/>
            <w:tcBorders>
              <w:bottom w:val="single" w:sz="8" w:color="2360A6"/>
              <w:right w:val="single" w:sz="8" w:color="2360A6"/>
            </w:tcBorders>
          </w:tcPr>
          <w:p>
            <w:pPr>
              <w:spacing w:after="0"/>
              <w:rPr>
                <w:sz w:val="14"/>
                <w:szCs w:val="14"/>
                <w:color w:val="auto"/>
              </w:rPr>
            </w:pPr>
          </w:p>
        </w:tc>
        <w:tc>
          <w:tcPr>
            <w:tcW w:w="2280" w:type="dxa"/>
            <w:vAlign w:val="bottom"/>
            <w:tcBorders>
              <w:bottom w:val="single" w:sz="8" w:color="2360A6"/>
            </w:tcBorders>
            <w:shd w:val="clear" w:color="auto" w:fill="DCDDDE"/>
          </w:tcPr>
          <w:p>
            <w:pPr>
              <w:spacing w:after="0"/>
              <w:rPr>
                <w:sz w:val="14"/>
                <w:szCs w:val="14"/>
                <w:color w:val="auto"/>
              </w:rPr>
            </w:pPr>
          </w:p>
        </w:tc>
        <w:tc>
          <w:tcPr>
            <w:tcW w:w="20" w:type="dxa"/>
            <w:vAlign w:val="bottom"/>
            <w:tcBorders>
              <w:bottom w:val="single" w:sz="8" w:color="2360A6"/>
            </w:tcBorders>
          </w:tcPr>
          <w:p>
            <w:pPr>
              <w:spacing w:after="0"/>
              <w:rPr>
                <w:sz w:val="14"/>
                <w:szCs w:val="14"/>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 Experience</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i w:val="1"/>
                <w:iCs w:val="1"/>
                <w:color w:val="231F20"/>
              </w:rPr>
              <w:t>(8.3)</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i w:val="1"/>
                <w:iCs w:val="1"/>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i w:val="1"/>
                <w:iCs w:val="1"/>
                <w:color w:val="231F20"/>
              </w:rPr>
              <w:t>(8.3)</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 Financial assumptions</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i w:val="1"/>
                <w:iCs w:val="1"/>
                <w:color w:val="231F20"/>
              </w:rPr>
              <w:t>(6.4)</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i w:val="1"/>
                <w:iCs w:val="1"/>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i w:val="1"/>
                <w:iCs w:val="1"/>
                <w:color w:val="231F20"/>
              </w:rPr>
              <w:t>(6.4)</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 Demographic assumptions</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i w:val="1"/>
                <w:iCs w:val="1"/>
                <w:color w:val="231F20"/>
              </w:rPr>
              <w:t>(0.6)</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i w:val="1"/>
                <w:iCs w:val="1"/>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i w:val="1"/>
                <w:iCs w:val="1"/>
                <w:color w:val="231F20"/>
              </w:rPr>
              <w:t>(0.6)</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183"/>
        </w:trPr>
        <w:tc>
          <w:tcPr>
            <w:tcW w:w="2240" w:type="dxa"/>
            <w:vAlign w:val="bottom"/>
            <w:tcBorders>
              <w:right w:val="single" w:sz="8" w:color="2360A6"/>
            </w:tcBorders>
          </w:tcPr>
          <w:p>
            <w:pPr>
              <w:ind w:left="100"/>
              <w:spacing w:after="0"/>
              <w:rPr>
                <w:sz w:val="20"/>
                <w:szCs w:val="20"/>
                <w:color w:val="auto"/>
              </w:rPr>
            </w:pPr>
            <w:r>
              <w:rPr>
                <w:rFonts w:ascii="Arial" w:cs="Arial" w:eastAsia="Arial" w:hAnsi="Arial"/>
                <w:sz w:val="13"/>
                <w:szCs w:val="13"/>
                <w:color w:val="231F20"/>
              </w:rPr>
              <w:t>Actuarial Gain / (Loss) on</w:t>
            </w:r>
          </w:p>
        </w:tc>
        <w:tc>
          <w:tcPr>
            <w:tcW w:w="860" w:type="dxa"/>
            <w:vAlign w:val="bottom"/>
            <w:tcBorders>
              <w:right w:val="single" w:sz="8" w:color="2360A6"/>
            </w:tcBorders>
          </w:tcPr>
          <w:p>
            <w:pPr>
              <w:spacing w:after="0"/>
              <w:rPr>
                <w:sz w:val="15"/>
                <w:szCs w:val="15"/>
                <w:color w:val="auto"/>
              </w:rPr>
            </w:pPr>
          </w:p>
        </w:tc>
        <w:tc>
          <w:tcPr>
            <w:tcW w:w="860" w:type="dxa"/>
            <w:vAlign w:val="bottom"/>
            <w:tcBorders>
              <w:right w:val="single" w:sz="8" w:color="2360A6"/>
            </w:tcBorders>
          </w:tcPr>
          <w:p>
            <w:pPr>
              <w:spacing w:after="0"/>
              <w:rPr>
                <w:sz w:val="15"/>
                <w:szCs w:val="15"/>
                <w:color w:val="auto"/>
              </w:rPr>
            </w:pPr>
          </w:p>
        </w:tc>
        <w:tc>
          <w:tcPr>
            <w:tcW w:w="740" w:type="dxa"/>
            <w:vAlign w:val="bottom"/>
            <w:tcBorders>
              <w:right w:val="single" w:sz="8" w:color="2360A6"/>
            </w:tcBorders>
          </w:tcPr>
          <w:p>
            <w:pPr>
              <w:spacing w:after="0"/>
              <w:rPr>
                <w:sz w:val="15"/>
                <w:szCs w:val="15"/>
                <w:color w:val="auto"/>
              </w:rPr>
            </w:pPr>
          </w:p>
        </w:tc>
        <w:tc>
          <w:tcPr>
            <w:tcW w:w="740" w:type="dxa"/>
            <w:vAlign w:val="bottom"/>
            <w:tcBorders>
              <w:right w:val="single" w:sz="8" w:color="2360A6"/>
            </w:tcBorders>
          </w:tcPr>
          <w:p>
            <w:pPr>
              <w:spacing w:after="0"/>
              <w:rPr>
                <w:sz w:val="15"/>
                <w:szCs w:val="15"/>
                <w:color w:val="auto"/>
              </w:rPr>
            </w:pPr>
          </w:p>
        </w:tc>
        <w:tc>
          <w:tcPr>
            <w:tcW w:w="940" w:type="dxa"/>
            <w:vAlign w:val="bottom"/>
            <w:shd w:val="clear" w:color="auto" w:fill="DCDDDE"/>
          </w:tcPr>
          <w:p>
            <w:pPr>
              <w:spacing w:after="0"/>
              <w:rPr>
                <w:sz w:val="15"/>
                <w:szCs w:val="15"/>
                <w:color w:val="auto"/>
              </w:rPr>
            </w:pPr>
          </w:p>
        </w:tc>
        <w:tc>
          <w:tcPr>
            <w:tcW w:w="120" w:type="dxa"/>
            <w:vAlign w:val="bottom"/>
            <w:tcBorders>
              <w:right w:val="single" w:sz="8" w:color="2360A6"/>
            </w:tcBorders>
            <w:shd w:val="clear" w:color="auto" w:fill="DCDDDE"/>
          </w:tcPr>
          <w:p>
            <w:pPr>
              <w:spacing w:after="0"/>
              <w:rPr>
                <w:sz w:val="15"/>
                <w:szCs w:val="15"/>
                <w:color w:val="auto"/>
              </w:rPr>
            </w:pPr>
          </w:p>
        </w:tc>
        <w:tc>
          <w:tcPr>
            <w:tcW w:w="720" w:type="dxa"/>
            <w:vAlign w:val="bottom"/>
            <w:tcBorders>
              <w:right w:val="single" w:sz="8" w:color="2360A6"/>
            </w:tcBorders>
            <w:shd w:val="clear" w:color="auto" w:fill="DCDDDE"/>
          </w:tcPr>
          <w:p>
            <w:pPr>
              <w:spacing w:after="0"/>
              <w:rPr>
                <w:sz w:val="15"/>
                <w:szCs w:val="15"/>
                <w:color w:val="auto"/>
              </w:rPr>
            </w:pPr>
          </w:p>
        </w:tc>
        <w:tc>
          <w:tcPr>
            <w:tcW w:w="1040" w:type="dxa"/>
            <w:vAlign w:val="bottom"/>
            <w:tcBorders>
              <w:right w:val="single" w:sz="8" w:color="2360A6"/>
            </w:tcBorders>
          </w:tcPr>
          <w:p>
            <w:pPr>
              <w:spacing w:after="0"/>
              <w:rPr>
                <w:sz w:val="15"/>
                <w:szCs w:val="15"/>
                <w:color w:val="auto"/>
              </w:rPr>
            </w:pPr>
          </w:p>
        </w:tc>
        <w:tc>
          <w:tcPr>
            <w:tcW w:w="2280" w:type="dxa"/>
            <w:vAlign w:val="bottom"/>
            <w:shd w:val="clear" w:color="auto" w:fill="DCDDDE"/>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240" w:type="dxa"/>
            <w:vAlign w:val="bottom"/>
            <w:tcBorders>
              <w:bottom w:val="single" w:sz="8" w:color="2360A6"/>
              <w:right w:val="single" w:sz="8" w:color="2360A6"/>
            </w:tcBorders>
          </w:tcPr>
          <w:p>
            <w:pPr>
              <w:ind w:left="100"/>
              <w:spacing w:after="0"/>
              <w:rPr>
                <w:sz w:val="20"/>
                <w:szCs w:val="20"/>
                <w:color w:val="auto"/>
              </w:rPr>
            </w:pPr>
            <w:r>
              <w:rPr>
                <w:rFonts w:ascii="Arial" w:cs="Arial" w:eastAsia="Arial" w:hAnsi="Arial"/>
                <w:sz w:val="13"/>
                <w:szCs w:val="13"/>
                <w:color w:val="231F20"/>
              </w:rPr>
              <w:t>Plan Assets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tcPr>
          <w:p>
            <w:pPr>
              <w:spacing w:after="0"/>
              <w:rPr>
                <w:sz w:val="14"/>
                <w:szCs w:val="14"/>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1.8</w:t>
            </w:r>
          </w:p>
        </w:tc>
        <w:tc>
          <w:tcPr>
            <w:tcW w:w="740" w:type="dxa"/>
            <w:vAlign w:val="bottom"/>
            <w:tcBorders>
              <w:bottom w:val="single" w:sz="8" w:color="2360A6"/>
              <w:right w:val="single" w:sz="8" w:color="2360A6"/>
            </w:tcBorders>
          </w:tcPr>
          <w:p>
            <w:pPr>
              <w:spacing w:after="0"/>
              <w:rPr>
                <w:sz w:val="14"/>
                <w:szCs w:val="14"/>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(1.8)</w:t>
            </w:r>
          </w:p>
        </w:tc>
        <w:tc>
          <w:tcPr>
            <w:tcW w:w="120" w:type="dxa"/>
            <w:vAlign w:val="bottom"/>
            <w:tcBorders>
              <w:bottom w:val="single" w:sz="8" w:color="2360A6"/>
              <w:right w:val="single" w:sz="8" w:color="2360A6"/>
            </w:tcBorders>
            <w:shd w:val="clear" w:color="auto" w:fill="DCDDDE"/>
          </w:tcPr>
          <w:p>
            <w:pPr>
              <w:spacing w:after="0"/>
              <w:rPr>
                <w:sz w:val="14"/>
                <w:szCs w:val="14"/>
                <w:color w:val="auto"/>
              </w:rPr>
            </w:pPr>
          </w:p>
        </w:tc>
        <w:tc>
          <w:tcPr>
            <w:tcW w:w="720" w:type="dxa"/>
            <w:vAlign w:val="bottom"/>
            <w:tcBorders>
              <w:bottom w:val="single" w:sz="8" w:color="2360A6"/>
              <w:right w:val="single" w:sz="8" w:color="2360A6"/>
            </w:tcBorders>
            <w:shd w:val="clear" w:color="auto" w:fill="DCDDDE"/>
          </w:tcPr>
          <w:p>
            <w:pPr>
              <w:spacing w:after="0"/>
              <w:rPr>
                <w:sz w:val="14"/>
                <w:szCs w:val="14"/>
                <w:color w:val="auto"/>
              </w:rPr>
            </w:pPr>
          </w:p>
        </w:tc>
        <w:tc>
          <w:tcPr>
            <w:tcW w:w="1040" w:type="dxa"/>
            <w:vAlign w:val="bottom"/>
            <w:tcBorders>
              <w:bottom w:val="single" w:sz="8" w:color="2360A6"/>
              <w:right w:val="single" w:sz="8" w:color="2360A6"/>
            </w:tcBorders>
          </w:tcPr>
          <w:p>
            <w:pPr>
              <w:spacing w:after="0"/>
              <w:rPr>
                <w:sz w:val="14"/>
                <w:szCs w:val="14"/>
                <w:color w:val="auto"/>
              </w:rPr>
            </w:pPr>
          </w:p>
        </w:tc>
        <w:tc>
          <w:tcPr>
            <w:tcW w:w="2280" w:type="dxa"/>
            <w:vAlign w:val="bottom"/>
            <w:tcBorders>
              <w:bottom w:val="single" w:sz="8" w:color="2360A6"/>
            </w:tcBorders>
            <w:shd w:val="clear" w:color="auto" w:fill="DCDDDE"/>
          </w:tcPr>
          <w:p>
            <w:pPr>
              <w:spacing w:after="0"/>
              <w:rPr>
                <w:sz w:val="14"/>
                <w:szCs w:val="14"/>
                <w:color w:val="auto"/>
              </w:rPr>
            </w:pPr>
          </w:p>
        </w:tc>
        <w:tc>
          <w:tcPr>
            <w:tcW w:w="20" w:type="dxa"/>
            <w:vAlign w:val="bottom"/>
            <w:tcBorders>
              <w:bottom w:val="single" w:sz="8" w:color="2360A6"/>
            </w:tcBorders>
          </w:tcPr>
          <w:p>
            <w:pPr>
              <w:spacing w:after="0"/>
              <w:rPr>
                <w:sz w:val="14"/>
                <w:szCs w:val="14"/>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Contributions and Benefits Paid</w:t>
            </w:r>
          </w:p>
        </w:tc>
        <w:tc>
          <w:tcPr>
            <w:tcW w:w="860" w:type="dxa"/>
            <w:vAlign w:val="bottom"/>
            <w:tcBorders>
              <w:bottom w:val="single" w:sz="8" w:color="2360A6"/>
              <w:right w:val="single" w:sz="8" w:color="2360A6"/>
            </w:tcBorders>
          </w:tcPr>
          <w:p>
            <w:pPr>
              <w:spacing w:after="0"/>
              <w:rPr>
                <w:sz w:val="22"/>
                <w:szCs w:val="22"/>
                <w:color w:val="auto"/>
              </w:rPr>
            </w:pPr>
          </w:p>
        </w:tc>
        <w:tc>
          <w:tcPr>
            <w:tcW w:w="8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1F20"/>
              </w:rPr>
              <w:t>(17.6)</w:t>
            </w:r>
          </w:p>
        </w:tc>
        <w:tc>
          <w:tcPr>
            <w:tcW w:w="7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1F20"/>
              </w:rPr>
              <w:t>(5.0)</w:t>
            </w:r>
          </w:p>
        </w:tc>
        <w:tc>
          <w:tcPr>
            <w:tcW w:w="1060" w:type="dxa"/>
            <w:vAlign w:val="bottom"/>
            <w:tcBorders>
              <w:bottom w:val="single" w:sz="8" w:color="2360A6"/>
              <w:right w:val="single" w:sz="8" w:color="2360A6"/>
            </w:tcBorders>
            <w:gridSpan w:val="2"/>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(12.6)</w:t>
            </w: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231F20"/>
              </w:rPr>
              <w:t>(12.6)</w:t>
            </w: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Contributions by Employer</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2.6</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(2.6)</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Contributions by Employee</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0.4</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0.4</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Benefits Paid by Employer</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(10.0)</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(10.0)</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Benefits paid from Plan Assets</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(8.0)</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(8.0)</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Exchange Difference and other</w:t>
            </w:r>
          </w:p>
        </w:tc>
        <w:tc>
          <w:tcPr>
            <w:tcW w:w="860" w:type="dxa"/>
            <w:vAlign w:val="bottom"/>
            <w:tcBorders>
              <w:bottom w:val="single" w:sz="8" w:color="2360A6"/>
              <w:right w:val="single" w:sz="8" w:color="2360A6"/>
            </w:tcBorders>
          </w:tcPr>
          <w:p>
            <w:pPr>
              <w:spacing w:after="0"/>
              <w:rPr>
                <w:sz w:val="22"/>
                <w:szCs w:val="22"/>
                <w:color w:val="auto"/>
              </w:rPr>
            </w:pP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1F20"/>
              </w:rPr>
              <w:t>8.1</w:t>
            </w:r>
          </w:p>
        </w:tc>
        <w:tc>
          <w:tcPr>
            <w:tcW w:w="7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1F20"/>
              </w:rPr>
              <w:t>6.2</w:t>
            </w:r>
          </w:p>
        </w:tc>
        <w:tc>
          <w:tcPr>
            <w:tcW w:w="940" w:type="dxa"/>
            <w:vAlign w:val="bottom"/>
            <w:tcBorders>
              <w:bottom w:val="single" w:sz="8" w:color="2360A6"/>
            </w:tcBorders>
            <w:shd w:val="clear" w:color="auto" w:fill="DCDDDE"/>
          </w:tcPr>
          <w:p>
            <w:pPr>
              <w:spacing w:after="0"/>
              <w:rPr>
                <w:sz w:val="22"/>
                <w:szCs w:val="22"/>
                <w:color w:val="auto"/>
              </w:rPr>
            </w:pP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b w:val="1"/>
                <w:bCs w:val="1"/>
                <w:color w:val="231F20"/>
              </w:rPr>
              <w:t>1.9</w:t>
            </w: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1.9</w:t>
            </w: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Cash Incentive Plans</w:t>
            </w:r>
          </w:p>
        </w:tc>
        <w:tc>
          <w:tcPr>
            <w:tcW w:w="860" w:type="dxa"/>
            <w:vAlign w:val="bottom"/>
            <w:tcBorders>
              <w:bottom w:val="single" w:sz="8" w:color="2360A6"/>
              <w:right w:val="single" w:sz="8" w:color="2360A6"/>
            </w:tcBorders>
          </w:tcPr>
          <w:p>
            <w:pPr>
              <w:spacing w:after="0"/>
              <w:rPr>
                <w:sz w:val="22"/>
                <w:szCs w:val="22"/>
                <w:color w:val="auto"/>
              </w:rPr>
            </w:pP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spacing w:after="0"/>
              <w:rPr>
                <w:sz w:val="22"/>
                <w:szCs w:val="22"/>
                <w:color w:val="auto"/>
              </w:rPr>
            </w:pP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b w:val="1"/>
                <w:bCs w:val="1"/>
                <w:color w:val="231F20"/>
              </w:rPr>
              <w:t>(12.4)</w:t>
            </w:r>
          </w:p>
        </w:tc>
        <w:tc>
          <w:tcPr>
            <w:tcW w:w="2280" w:type="dxa"/>
            <w:vAlign w:val="bottom"/>
            <w:tcBorders>
              <w:bottom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(12.4)</w:t>
            </w: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Other</w:t>
            </w:r>
          </w:p>
        </w:tc>
        <w:tc>
          <w:tcPr>
            <w:tcW w:w="860" w:type="dxa"/>
            <w:vAlign w:val="bottom"/>
            <w:tcBorders>
              <w:bottom w:val="single" w:sz="8" w:color="2360A6"/>
              <w:right w:val="single" w:sz="8" w:color="2360A6"/>
            </w:tcBorders>
          </w:tcPr>
          <w:p>
            <w:pPr>
              <w:spacing w:after="0"/>
              <w:rPr>
                <w:sz w:val="22"/>
                <w:szCs w:val="22"/>
                <w:color w:val="auto"/>
              </w:rPr>
            </w:pPr>
          </w:p>
        </w:tc>
        <w:tc>
          <w:tcPr>
            <w:tcW w:w="8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1F20"/>
              </w:rPr>
              <w:t>(6.3)</w:t>
            </w:r>
          </w:p>
        </w:tc>
        <w:tc>
          <w:tcPr>
            <w:tcW w:w="7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1F20"/>
              </w:rPr>
              <w:t>(0.2)</w:t>
            </w:r>
          </w:p>
        </w:tc>
        <w:tc>
          <w:tcPr>
            <w:tcW w:w="940" w:type="dxa"/>
            <w:vAlign w:val="bottom"/>
            <w:tcBorders>
              <w:bottom w:val="single" w:sz="8" w:color="2360A6"/>
            </w:tcBorders>
            <w:shd w:val="clear" w:color="auto" w:fill="DCDDDE"/>
          </w:tcPr>
          <w:p>
            <w:pPr>
              <w:spacing w:after="0"/>
              <w:rPr>
                <w:sz w:val="22"/>
                <w:szCs w:val="22"/>
                <w:color w:val="auto"/>
              </w:rPr>
            </w:pP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b w:val="1"/>
                <w:bCs w:val="1"/>
                <w:color w:val="231F20"/>
              </w:rPr>
              <w:t>(6.1)</w:t>
            </w: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(6.1)</w:t>
            </w: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60A6"/>
              </w:rPr>
              <w:t>As of December 31, 2015</w:t>
            </w:r>
          </w:p>
        </w:tc>
        <w:tc>
          <w:tcPr>
            <w:tcW w:w="860" w:type="dxa"/>
            <w:vAlign w:val="bottom"/>
            <w:tcBorders>
              <w:bottom w:val="single" w:sz="8" w:color="2360A6"/>
              <w:right w:val="single" w:sz="8" w:color="2360A6"/>
            </w:tcBorders>
          </w:tcPr>
          <w:p>
            <w:pPr>
              <w:spacing w:after="0"/>
              <w:rPr>
                <w:sz w:val="22"/>
                <w:szCs w:val="22"/>
                <w:color w:val="auto"/>
              </w:rPr>
            </w:pP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419.0</w:t>
            </w:r>
          </w:p>
        </w:tc>
        <w:tc>
          <w:tcPr>
            <w:tcW w:w="7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60A6"/>
              </w:rPr>
              <w:t>216.6</w:t>
            </w:r>
          </w:p>
        </w:tc>
        <w:tc>
          <w:tcPr>
            <w:tcW w:w="940" w:type="dxa"/>
            <w:vAlign w:val="bottom"/>
            <w:tcBorders>
              <w:bottom w:val="single" w:sz="8" w:color="2360A6"/>
            </w:tcBorders>
            <w:shd w:val="clear" w:color="auto" w:fill="DCDDDE"/>
          </w:tcPr>
          <w:p>
            <w:pPr>
              <w:spacing w:after="0"/>
              <w:rPr>
                <w:sz w:val="22"/>
                <w:szCs w:val="22"/>
                <w:color w:val="auto"/>
              </w:rPr>
            </w:pP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b w:val="1"/>
                <w:bCs w:val="1"/>
                <w:color w:val="2360A6"/>
              </w:rPr>
              <w:t>202.4</w:t>
            </w:r>
          </w:p>
        </w:tc>
        <w:tc>
          <w:tcPr>
            <w:tcW w:w="104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60A6"/>
              </w:rPr>
              <w:t>44.8</w:t>
            </w:r>
          </w:p>
        </w:tc>
        <w:tc>
          <w:tcPr>
            <w:tcW w:w="2280" w:type="dxa"/>
            <w:vAlign w:val="bottom"/>
            <w:tcBorders>
              <w:bottom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60A6"/>
              </w:rPr>
              <w:t>247.2</w:t>
            </w: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 xml:space="preserve">Acquisition/Divestiture </w:t>
            </w:r>
            <w:r>
              <w:rPr>
                <w:rFonts w:ascii="Arial" w:cs="Arial" w:eastAsia="Arial" w:hAnsi="Arial"/>
                <w:sz w:val="8"/>
                <w:szCs w:val="8"/>
                <w:b w:val="1"/>
                <w:bCs w:val="1"/>
                <w:color w:val="231F20"/>
              </w:rPr>
              <w:t>(1)</w:t>
            </w:r>
          </w:p>
        </w:tc>
        <w:tc>
          <w:tcPr>
            <w:tcW w:w="860" w:type="dxa"/>
            <w:vAlign w:val="bottom"/>
            <w:tcBorders>
              <w:bottom w:val="single" w:sz="8" w:color="2360A6"/>
              <w:right w:val="single" w:sz="8" w:color="2360A6"/>
            </w:tcBorders>
          </w:tcPr>
          <w:p>
            <w:pPr>
              <w:spacing w:after="0"/>
              <w:rPr>
                <w:sz w:val="22"/>
                <w:szCs w:val="22"/>
                <w:color w:val="auto"/>
              </w:rPr>
            </w:pPr>
          </w:p>
        </w:tc>
        <w:tc>
          <w:tcPr>
            <w:tcW w:w="8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1F20"/>
              </w:rPr>
              <w:t>(46.9)</w:t>
            </w:r>
          </w:p>
        </w:tc>
        <w:tc>
          <w:tcPr>
            <w:tcW w:w="7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1F20"/>
              </w:rPr>
              <w:t>—</w:t>
            </w:r>
          </w:p>
        </w:tc>
        <w:tc>
          <w:tcPr>
            <w:tcW w:w="940" w:type="dxa"/>
            <w:vAlign w:val="bottom"/>
            <w:tcBorders>
              <w:bottom w:val="single" w:sz="8" w:color="2360A6"/>
            </w:tcBorders>
            <w:shd w:val="clear" w:color="auto" w:fill="DCDDDE"/>
          </w:tcPr>
          <w:p>
            <w:pPr>
              <w:spacing w:after="0"/>
              <w:rPr>
                <w:sz w:val="22"/>
                <w:szCs w:val="22"/>
                <w:color w:val="auto"/>
              </w:rPr>
            </w:pP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b w:val="1"/>
                <w:bCs w:val="1"/>
                <w:color w:val="231F20"/>
              </w:rPr>
              <w:t>(46.9)</w:t>
            </w: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(46.9)</w:t>
            </w:r>
          </w:p>
        </w:tc>
        <w:tc>
          <w:tcPr>
            <w:tcW w:w="20" w:type="dxa"/>
            <w:vAlign w:val="bottom"/>
            <w:tcBorders>
              <w:bottom w:val="single" w:sz="8" w:color="2360A6"/>
            </w:tcBorders>
          </w:tcPr>
          <w:p>
            <w:pPr>
              <w:spacing w:after="0"/>
              <w:rPr>
                <w:sz w:val="22"/>
                <w:szCs w:val="22"/>
                <w:color w:val="auto"/>
              </w:rPr>
            </w:pPr>
          </w:p>
        </w:tc>
      </w:tr>
      <w:tr>
        <w:trPr>
          <w:trHeight w:val="140"/>
        </w:trPr>
        <w:tc>
          <w:tcPr>
            <w:tcW w:w="2240" w:type="dxa"/>
            <w:vAlign w:val="bottom"/>
            <w:tcBorders>
              <w:right w:val="single" w:sz="8" w:color="2360A6"/>
            </w:tcBorders>
          </w:tcPr>
          <w:p>
            <w:pPr>
              <w:ind w:left="40"/>
              <w:spacing w:after="0" w:line="140" w:lineRule="exact"/>
              <w:rPr>
                <w:sz w:val="20"/>
                <w:szCs w:val="20"/>
                <w:color w:val="auto"/>
              </w:rPr>
            </w:pPr>
            <w:r>
              <w:rPr>
                <w:rFonts w:ascii="Arial" w:cs="Arial" w:eastAsia="Arial" w:hAnsi="Arial"/>
                <w:sz w:val="13"/>
                <w:szCs w:val="13"/>
                <w:b w:val="1"/>
                <w:bCs w:val="1"/>
                <w:color w:val="231F20"/>
              </w:rPr>
              <w:t>Expense as recorded in the</w:t>
            </w:r>
          </w:p>
        </w:tc>
        <w:tc>
          <w:tcPr>
            <w:tcW w:w="860" w:type="dxa"/>
            <w:vAlign w:val="bottom"/>
            <w:tcBorders>
              <w:right w:val="single" w:sz="8" w:color="2360A6"/>
            </w:tcBorders>
          </w:tcPr>
          <w:p>
            <w:pPr>
              <w:spacing w:after="0"/>
              <w:rPr>
                <w:sz w:val="12"/>
                <w:szCs w:val="12"/>
                <w:color w:val="auto"/>
              </w:rPr>
            </w:pPr>
          </w:p>
        </w:tc>
        <w:tc>
          <w:tcPr>
            <w:tcW w:w="860" w:type="dxa"/>
            <w:vAlign w:val="bottom"/>
            <w:tcBorders>
              <w:right w:val="single" w:sz="8" w:color="2360A6"/>
            </w:tcBorders>
          </w:tcPr>
          <w:p>
            <w:pPr>
              <w:spacing w:after="0"/>
              <w:rPr>
                <w:sz w:val="12"/>
                <w:szCs w:val="12"/>
                <w:color w:val="auto"/>
              </w:rPr>
            </w:pPr>
          </w:p>
        </w:tc>
        <w:tc>
          <w:tcPr>
            <w:tcW w:w="740" w:type="dxa"/>
            <w:vAlign w:val="bottom"/>
            <w:tcBorders>
              <w:right w:val="single" w:sz="8" w:color="2360A6"/>
            </w:tcBorders>
          </w:tcPr>
          <w:p>
            <w:pPr>
              <w:spacing w:after="0"/>
              <w:rPr>
                <w:sz w:val="12"/>
                <w:szCs w:val="12"/>
                <w:color w:val="auto"/>
              </w:rPr>
            </w:pPr>
          </w:p>
        </w:tc>
        <w:tc>
          <w:tcPr>
            <w:tcW w:w="740" w:type="dxa"/>
            <w:vAlign w:val="bottom"/>
            <w:tcBorders>
              <w:right w:val="single" w:sz="8" w:color="2360A6"/>
            </w:tcBorders>
          </w:tcPr>
          <w:p>
            <w:pPr>
              <w:spacing w:after="0"/>
              <w:rPr>
                <w:sz w:val="12"/>
                <w:szCs w:val="12"/>
                <w:color w:val="auto"/>
              </w:rPr>
            </w:pPr>
          </w:p>
        </w:tc>
        <w:tc>
          <w:tcPr>
            <w:tcW w:w="940" w:type="dxa"/>
            <w:vAlign w:val="bottom"/>
            <w:shd w:val="clear" w:color="auto" w:fill="DCDDDE"/>
          </w:tcPr>
          <w:p>
            <w:pPr>
              <w:spacing w:after="0"/>
              <w:rPr>
                <w:sz w:val="12"/>
                <w:szCs w:val="12"/>
                <w:color w:val="auto"/>
              </w:rPr>
            </w:pPr>
          </w:p>
        </w:tc>
        <w:tc>
          <w:tcPr>
            <w:tcW w:w="120" w:type="dxa"/>
            <w:vAlign w:val="bottom"/>
            <w:tcBorders>
              <w:right w:val="single" w:sz="8" w:color="2360A6"/>
            </w:tcBorders>
            <w:shd w:val="clear" w:color="auto" w:fill="DCDDDE"/>
          </w:tcPr>
          <w:p>
            <w:pPr>
              <w:spacing w:after="0"/>
              <w:rPr>
                <w:sz w:val="12"/>
                <w:szCs w:val="12"/>
                <w:color w:val="auto"/>
              </w:rPr>
            </w:pPr>
          </w:p>
        </w:tc>
        <w:tc>
          <w:tcPr>
            <w:tcW w:w="720" w:type="dxa"/>
            <w:vAlign w:val="bottom"/>
            <w:tcBorders>
              <w:right w:val="single" w:sz="8" w:color="2360A6"/>
            </w:tcBorders>
            <w:shd w:val="clear" w:color="auto" w:fill="DCDDDE"/>
          </w:tcPr>
          <w:p>
            <w:pPr>
              <w:spacing w:after="0"/>
              <w:rPr>
                <w:sz w:val="12"/>
                <w:szCs w:val="12"/>
                <w:color w:val="auto"/>
              </w:rPr>
            </w:pPr>
          </w:p>
        </w:tc>
        <w:tc>
          <w:tcPr>
            <w:tcW w:w="1040" w:type="dxa"/>
            <w:vAlign w:val="bottom"/>
            <w:tcBorders>
              <w:right w:val="single" w:sz="8" w:color="2360A6"/>
            </w:tcBorders>
          </w:tcPr>
          <w:p>
            <w:pPr>
              <w:spacing w:after="0"/>
              <w:rPr>
                <w:sz w:val="12"/>
                <w:szCs w:val="12"/>
                <w:color w:val="auto"/>
              </w:rPr>
            </w:pPr>
          </w:p>
        </w:tc>
        <w:tc>
          <w:tcPr>
            <w:tcW w:w="2280" w:type="dxa"/>
            <w:vAlign w:val="bottom"/>
            <w:shd w:val="clear" w:color="auto" w:fill="DCDDDE"/>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statement of income</w:t>
            </w:r>
          </w:p>
        </w:tc>
        <w:tc>
          <w:tcPr>
            <w:tcW w:w="860" w:type="dxa"/>
            <w:vAlign w:val="bottom"/>
            <w:tcBorders>
              <w:bottom w:val="single" w:sz="8" w:color="2360A6"/>
              <w:right w:val="single" w:sz="8" w:color="2360A6"/>
            </w:tcBorders>
          </w:tcPr>
          <w:p>
            <w:pPr>
              <w:spacing w:after="0"/>
              <w:rPr>
                <w:sz w:val="15"/>
                <w:szCs w:val="15"/>
                <w:color w:val="auto"/>
              </w:rPr>
            </w:pP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1F20"/>
              </w:rPr>
              <w:t>12.3</w:t>
            </w:r>
          </w:p>
        </w:tc>
        <w:tc>
          <w:tcPr>
            <w:tcW w:w="740" w:type="dxa"/>
            <w:vAlign w:val="bottom"/>
            <w:tcBorders>
              <w:bottom w:val="single" w:sz="8" w:color="2360A6"/>
              <w:right w:val="single" w:sz="8" w:color="2360A6"/>
            </w:tcBorders>
          </w:tcPr>
          <w:p>
            <w:pPr>
              <w:spacing w:after="0"/>
              <w:rPr>
                <w:sz w:val="15"/>
                <w:szCs w:val="15"/>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1F20"/>
              </w:rPr>
              <w:t>5.9</w:t>
            </w:r>
          </w:p>
        </w:tc>
        <w:tc>
          <w:tcPr>
            <w:tcW w:w="1060" w:type="dxa"/>
            <w:vAlign w:val="bottom"/>
            <w:tcBorders>
              <w:bottom w:val="single" w:sz="8" w:color="2360A6"/>
              <w:right w:val="single" w:sz="8" w:color="2360A6"/>
            </w:tcBorders>
            <w:gridSpan w:val="2"/>
            <w:shd w:val="clear" w:color="auto" w:fill="DCDDDE"/>
          </w:tcPr>
          <w:p>
            <w:pPr>
              <w:spacing w:after="0"/>
              <w:rPr>
                <w:sz w:val="15"/>
                <w:szCs w:val="15"/>
                <w:color w:val="auto"/>
              </w:rPr>
            </w:pPr>
          </w:p>
        </w:tc>
        <w:tc>
          <w:tcPr>
            <w:tcW w:w="72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b w:val="1"/>
                <w:bCs w:val="1"/>
                <w:color w:val="231F20"/>
              </w:rPr>
              <w:t>6.4</w:t>
            </w:r>
          </w:p>
        </w:tc>
        <w:tc>
          <w:tcPr>
            <w:tcW w:w="1040" w:type="dxa"/>
            <w:vAlign w:val="bottom"/>
            <w:tcBorders>
              <w:bottom w:val="single" w:sz="8" w:color="2360A6"/>
              <w:right w:val="single" w:sz="8" w:color="2360A6"/>
            </w:tcBorders>
          </w:tcPr>
          <w:p>
            <w:pPr>
              <w:spacing w:after="0"/>
              <w:rPr>
                <w:sz w:val="15"/>
                <w:szCs w:val="15"/>
                <w:color w:val="auto"/>
              </w:rPr>
            </w:pPr>
          </w:p>
        </w:tc>
        <w:tc>
          <w:tcPr>
            <w:tcW w:w="2280" w:type="dxa"/>
            <w:vAlign w:val="bottom"/>
            <w:tcBorders>
              <w:bottom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6.4</w:t>
            </w:r>
          </w:p>
        </w:tc>
        <w:tc>
          <w:tcPr>
            <w:tcW w:w="20" w:type="dxa"/>
            <w:vAlign w:val="bottom"/>
            <w:tcBorders>
              <w:bottom w:val="single" w:sz="8" w:color="2360A6"/>
            </w:tcBorders>
          </w:tcPr>
          <w:p>
            <w:pPr>
              <w:spacing w:after="0"/>
              <w:rPr>
                <w:sz w:val="15"/>
                <w:szCs w:val="15"/>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Total current service cost</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2.5</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2.5</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Net Financial Costs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9.9</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5.9</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4.0</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Actuarial Gains/(Losses) of the Year</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(0.6)</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(0.6)</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Administrative costs and taxes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Other</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0.5</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0.5</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OCI amounts</w:t>
            </w:r>
          </w:p>
        </w:tc>
        <w:tc>
          <w:tcPr>
            <w:tcW w:w="860" w:type="dxa"/>
            <w:vAlign w:val="bottom"/>
            <w:tcBorders>
              <w:bottom w:val="single" w:sz="8" w:color="2360A6"/>
              <w:right w:val="single" w:sz="8" w:color="2360A6"/>
            </w:tcBorders>
          </w:tcPr>
          <w:p>
            <w:pPr>
              <w:spacing w:after="0"/>
              <w:rPr>
                <w:sz w:val="22"/>
                <w:szCs w:val="22"/>
                <w:color w:val="auto"/>
              </w:rPr>
            </w:pPr>
          </w:p>
        </w:tc>
        <w:tc>
          <w:tcPr>
            <w:tcW w:w="86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1F20"/>
              </w:rPr>
              <w:t>36.1</w:t>
            </w:r>
          </w:p>
        </w:tc>
        <w:tc>
          <w:tcPr>
            <w:tcW w:w="7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1F20"/>
              </w:rPr>
              <w:t>20.2</w:t>
            </w:r>
          </w:p>
        </w:tc>
        <w:tc>
          <w:tcPr>
            <w:tcW w:w="1060" w:type="dxa"/>
            <w:vAlign w:val="bottom"/>
            <w:tcBorders>
              <w:bottom w:val="single" w:sz="8" w:color="2360A6"/>
              <w:right w:val="single" w:sz="8" w:color="2360A6"/>
            </w:tcBorders>
            <w:gridSpan w:val="2"/>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jc w:val="right"/>
              <w:ind w:right="57"/>
              <w:spacing w:after="0"/>
              <w:rPr>
                <w:sz w:val="20"/>
                <w:szCs w:val="20"/>
                <w:color w:val="auto"/>
              </w:rPr>
            </w:pPr>
            <w:r>
              <w:rPr>
                <w:rFonts w:ascii="Arial" w:cs="Arial" w:eastAsia="Arial" w:hAnsi="Arial"/>
                <w:sz w:val="13"/>
                <w:szCs w:val="13"/>
                <w:b w:val="1"/>
                <w:bCs w:val="1"/>
                <w:color w:val="231F20"/>
              </w:rPr>
              <w:t>15.9</w:t>
            </w: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15.9</w:t>
            </w:r>
          </w:p>
        </w:tc>
        <w:tc>
          <w:tcPr>
            <w:tcW w:w="20" w:type="dxa"/>
            <w:vAlign w:val="bottom"/>
            <w:tcBorders>
              <w:bottom w:val="single" w:sz="8" w:color="2360A6"/>
            </w:tcBorders>
          </w:tcPr>
          <w:p>
            <w:pPr>
              <w:spacing w:after="0"/>
              <w:rPr>
                <w:sz w:val="22"/>
                <w:szCs w:val="22"/>
                <w:color w:val="auto"/>
              </w:rPr>
            </w:pPr>
          </w:p>
        </w:tc>
      </w:tr>
      <w:tr>
        <w:trPr>
          <w:trHeight w:val="156"/>
        </w:trPr>
        <w:tc>
          <w:tcPr>
            <w:tcW w:w="224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Actuarial (Gain) / Loss on Defined</w:t>
            </w:r>
          </w:p>
        </w:tc>
        <w:tc>
          <w:tcPr>
            <w:tcW w:w="860" w:type="dxa"/>
            <w:vAlign w:val="bottom"/>
            <w:tcBorders>
              <w:right w:val="single" w:sz="8" w:color="2360A6"/>
            </w:tcBorders>
          </w:tcPr>
          <w:p>
            <w:pPr>
              <w:spacing w:after="0"/>
              <w:rPr>
                <w:sz w:val="13"/>
                <w:szCs w:val="13"/>
                <w:color w:val="auto"/>
              </w:rPr>
            </w:pPr>
          </w:p>
        </w:tc>
        <w:tc>
          <w:tcPr>
            <w:tcW w:w="86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740" w:type="dxa"/>
            <w:vAlign w:val="bottom"/>
            <w:tcBorders>
              <w:right w:val="single" w:sz="8" w:color="2360A6"/>
            </w:tcBorders>
          </w:tcPr>
          <w:p>
            <w:pPr>
              <w:spacing w:after="0"/>
              <w:rPr>
                <w:sz w:val="13"/>
                <w:szCs w:val="13"/>
                <w:color w:val="auto"/>
              </w:rPr>
            </w:pPr>
          </w:p>
        </w:tc>
        <w:tc>
          <w:tcPr>
            <w:tcW w:w="940" w:type="dxa"/>
            <w:vAlign w:val="bottom"/>
            <w:shd w:val="clear" w:color="auto" w:fill="DCDDDE"/>
          </w:tcPr>
          <w:p>
            <w:pPr>
              <w:spacing w:after="0"/>
              <w:rPr>
                <w:sz w:val="13"/>
                <w:szCs w:val="13"/>
                <w:color w:val="auto"/>
              </w:rPr>
            </w:pPr>
          </w:p>
        </w:tc>
        <w:tc>
          <w:tcPr>
            <w:tcW w:w="120" w:type="dxa"/>
            <w:vAlign w:val="bottom"/>
            <w:tcBorders>
              <w:right w:val="single" w:sz="8" w:color="2360A6"/>
            </w:tcBorders>
            <w:shd w:val="clear" w:color="auto" w:fill="DCDDDE"/>
          </w:tcPr>
          <w:p>
            <w:pPr>
              <w:spacing w:after="0"/>
              <w:rPr>
                <w:sz w:val="13"/>
                <w:szCs w:val="13"/>
                <w:color w:val="auto"/>
              </w:rPr>
            </w:pPr>
          </w:p>
        </w:tc>
        <w:tc>
          <w:tcPr>
            <w:tcW w:w="720" w:type="dxa"/>
            <w:vAlign w:val="bottom"/>
            <w:tcBorders>
              <w:right w:val="single" w:sz="8" w:color="2360A6"/>
            </w:tcBorders>
            <w:shd w:val="clear" w:color="auto" w:fill="DCDDDE"/>
          </w:tcPr>
          <w:p>
            <w:pPr>
              <w:spacing w:after="0"/>
              <w:rPr>
                <w:sz w:val="13"/>
                <w:szCs w:val="13"/>
                <w:color w:val="auto"/>
              </w:rPr>
            </w:pPr>
          </w:p>
        </w:tc>
        <w:tc>
          <w:tcPr>
            <w:tcW w:w="1040" w:type="dxa"/>
            <w:vAlign w:val="bottom"/>
            <w:tcBorders>
              <w:right w:val="single" w:sz="8" w:color="2360A6"/>
            </w:tcBorders>
          </w:tcPr>
          <w:p>
            <w:pPr>
              <w:spacing w:after="0"/>
              <w:rPr>
                <w:sz w:val="13"/>
                <w:szCs w:val="13"/>
                <w:color w:val="auto"/>
              </w:rPr>
            </w:pPr>
          </w:p>
        </w:tc>
        <w:tc>
          <w:tcPr>
            <w:tcW w:w="2280" w:type="dxa"/>
            <w:vAlign w:val="bottom"/>
            <w:shd w:val="clear" w:color="auto" w:fill="DCDDDE"/>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Benefit Obligation</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36.1</w:t>
            </w:r>
          </w:p>
        </w:tc>
        <w:tc>
          <w:tcPr>
            <w:tcW w:w="860" w:type="dxa"/>
            <w:vAlign w:val="bottom"/>
            <w:tcBorders>
              <w:bottom w:val="single" w:sz="8" w:color="2360A6"/>
              <w:right w:val="single" w:sz="8" w:color="2360A6"/>
            </w:tcBorders>
          </w:tcPr>
          <w:p>
            <w:pPr>
              <w:spacing w:after="0"/>
              <w:rPr>
                <w:sz w:val="14"/>
                <w:szCs w:val="14"/>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bottom w:val="single" w:sz="8" w:color="2360A6"/>
              <w:right w:val="single" w:sz="8" w:color="2360A6"/>
            </w:tcBorders>
          </w:tcPr>
          <w:p>
            <w:pPr>
              <w:spacing w:after="0"/>
              <w:rPr>
                <w:sz w:val="14"/>
                <w:szCs w:val="14"/>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36.1</w:t>
            </w:r>
          </w:p>
        </w:tc>
        <w:tc>
          <w:tcPr>
            <w:tcW w:w="120" w:type="dxa"/>
            <w:vAlign w:val="bottom"/>
            <w:tcBorders>
              <w:bottom w:val="single" w:sz="8" w:color="2360A6"/>
              <w:right w:val="single" w:sz="8" w:color="2360A6"/>
            </w:tcBorders>
            <w:shd w:val="clear" w:color="auto" w:fill="DCDDDE"/>
          </w:tcPr>
          <w:p>
            <w:pPr>
              <w:spacing w:after="0"/>
              <w:rPr>
                <w:sz w:val="14"/>
                <w:szCs w:val="14"/>
                <w:color w:val="auto"/>
              </w:rPr>
            </w:pPr>
          </w:p>
        </w:tc>
        <w:tc>
          <w:tcPr>
            <w:tcW w:w="720" w:type="dxa"/>
            <w:vAlign w:val="bottom"/>
            <w:tcBorders>
              <w:bottom w:val="single" w:sz="8" w:color="2360A6"/>
              <w:right w:val="single" w:sz="8" w:color="2360A6"/>
            </w:tcBorders>
            <w:shd w:val="clear" w:color="auto" w:fill="DCDDDE"/>
          </w:tcPr>
          <w:p>
            <w:pPr>
              <w:spacing w:after="0"/>
              <w:rPr>
                <w:sz w:val="14"/>
                <w:szCs w:val="14"/>
                <w:color w:val="auto"/>
              </w:rPr>
            </w:pPr>
          </w:p>
        </w:tc>
        <w:tc>
          <w:tcPr>
            <w:tcW w:w="1040" w:type="dxa"/>
            <w:vAlign w:val="bottom"/>
            <w:tcBorders>
              <w:bottom w:val="single" w:sz="8" w:color="2360A6"/>
              <w:right w:val="single" w:sz="8" w:color="2360A6"/>
            </w:tcBorders>
          </w:tcPr>
          <w:p>
            <w:pPr>
              <w:spacing w:after="0"/>
              <w:rPr>
                <w:sz w:val="14"/>
                <w:szCs w:val="14"/>
                <w:color w:val="auto"/>
              </w:rPr>
            </w:pPr>
          </w:p>
        </w:tc>
        <w:tc>
          <w:tcPr>
            <w:tcW w:w="2280" w:type="dxa"/>
            <w:vAlign w:val="bottom"/>
            <w:tcBorders>
              <w:bottom w:val="single" w:sz="8" w:color="2360A6"/>
            </w:tcBorders>
            <w:shd w:val="clear" w:color="auto" w:fill="DCDDDE"/>
          </w:tcPr>
          <w:p>
            <w:pPr>
              <w:spacing w:after="0"/>
              <w:rPr>
                <w:sz w:val="14"/>
                <w:szCs w:val="14"/>
                <w:color w:val="auto"/>
              </w:rPr>
            </w:pPr>
          </w:p>
        </w:tc>
        <w:tc>
          <w:tcPr>
            <w:tcW w:w="20" w:type="dxa"/>
            <w:vAlign w:val="bottom"/>
            <w:tcBorders>
              <w:bottom w:val="single" w:sz="8" w:color="2360A6"/>
            </w:tcBorders>
          </w:tcPr>
          <w:p>
            <w:pPr>
              <w:spacing w:after="0"/>
              <w:rPr>
                <w:sz w:val="14"/>
                <w:szCs w:val="14"/>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 Experience</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i w:val="1"/>
                <w:iCs w:val="1"/>
                <w:color w:val="231F20"/>
              </w:rPr>
              <w:t>(2.8)</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i w:val="1"/>
                <w:iCs w:val="1"/>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i w:val="1"/>
                <w:iCs w:val="1"/>
                <w:color w:val="231F20"/>
              </w:rPr>
              <w:t>(2.8)</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 Financial assumptions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i w:val="1"/>
                <w:iCs w:val="1"/>
                <w:color w:val="231F20"/>
              </w:rPr>
              <w:t>39.6</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i w:val="1"/>
                <w:iCs w:val="1"/>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i w:val="1"/>
                <w:iCs w:val="1"/>
                <w:color w:val="231F20"/>
              </w:rPr>
              <w:t>39.6</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i w:val="1"/>
                <w:iCs w:val="1"/>
                <w:color w:val="231F20"/>
              </w:rPr>
              <w:t>- Demographic assumptions</w:t>
            </w:r>
          </w:p>
        </w:tc>
        <w:tc>
          <w:tcPr>
            <w:tcW w:w="860" w:type="dxa"/>
            <w:vAlign w:val="bottom"/>
            <w:tcBorders>
              <w:bottom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i w:val="1"/>
                <w:iCs w:val="1"/>
                <w:color w:val="231F20"/>
              </w:rPr>
              <w:t>(0.7)</w:t>
            </w:r>
          </w:p>
        </w:tc>
        <w:tc>
          <w:tcPr>
            <w:tcW w:w="86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i w:val="1"/>
                <w:iCs w:val="1"/>
                <w:color w:val="231F20"/>
              </w:rPr>
              <w:t>—</w:t>
            </w:r>
          </w:p>
        </w:tc>
        <w:tc>
          <w:tcPr>
            <w:tcW w:w="740" w:type="dxa"/>
            <w:vAlign w:val="bottom"/>
            <w:tcBorders>
              <w:bottom w:val="single" w:sz="8" w:color="2360A6"/>
              <w:right w:val="single" w:sz="8" w:color="2360A6"/>
            </w:tcBorders>
          </w:tcPr>
          <w:p>
            <w:pPr>
              <w:spacing w:after="0"/>
              <w:rPr>
                <w:sz w:val="22"/>
                <w:szCs w:val="22"/>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i w:val="1"/>
                <w:iCs w:val="1"/>
                <w:color w:val="231F20"/>
              </w:rPr>
              <w:t>(0.7)</w:t>
            </w:r>
          </w:p>
        </w:tc>
        <w:tc>
          <w:tcPr>
            <w:tcW w:w="120" w:type="dxa"/>
            <w:vAlign w:val="bottom"/>
            <w:tcBorders>
              <w:bottom w:val="single" w:sz="8" w:color="2360A6"/>
              <w:right w:val="single" w:sz="8" w:color="2360A6"/>
            </w:tcBorders>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spacing w:after="0"/>
              <w:rPr>
                <w:sz w:val="22"/>
                <w:szCs w:val="22"/>
                <w:color w:val="auto"/>
              </w:rPr>
            </w:pP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spacing w:after="0"/>
              <w:rPr>
                <w:sz w:val="22"/>
                <w:szCs w:val="22"/>
                <w:color w:val="auto"/>
              </w:rPr>
            </w:pPr>
          </w:p>
        </w:tc>
        <w:tc>
          <w:tcPr>
            <w:tcW w:w="20" w:type="dxa"/>
            <w:vAlign w:val="bottom"/>
            <w:tcBorders>
              <w:bottom w:val="single" w:sz="8" w:color="2360A6"/>
            </w:tcBorders>
          </w:tcPr>
          <w:p>
            <w:pPr>
              <w:spacing w:after="0"/>
              <w:rPr>
                <w:sz w:val="22"/>
                <w:szCs w:val="22"/>
                <w:color w:val="auto"/>
              </w:rPr>
            </w:pPr>
          </w:p>
        </w:tc>
      </w:tr>
      <w:tr>
        <w:trPr>
          <w:trHeight w:val="183"/>
        </w:trPr>
        <w:tc>
          <w:tcPr>
            <w:tcW w:w="224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Actuarial Gain / (Loss) on</w:t>
            </w:r>
          </w:p>
        </w:tc>
        <w:tc>
          <w:tcPr>
            <w:tcW w:w="860" w:type="dxa"/>
            <w:vAlign w:val="bottom"/>
            <w:tcBorders>
              <w:right w:val="single" w:sz="8" w:color="2360A6"/>
            </w:tcBorders>
          </w:tcPr>
          <w:p>
            <w:pPr>
              <w:spacing w:after="0"/>
              <w:rPr>
                <w:sz w:val="15"/>
                <w:szCs w:val="15"/>
                <w:color w:val="auto"/>
              </w:rPr>
            </w:pPr>
          </w:p>
        </w:tc>
        <w:tc>
          <w:tcPr>
            <w:tcW w:w="860" w:type="dxa"/>
            <w:vAlign w:val="bottom"/>
            <w:tcBorders>
              <w:right w:val="single" w:sz="8" w:color="2360A6"/>
            </w:tcBorders>
          </w:tcPr>
          <w:p>
            <w:pPr>
              <w:spacing w:after="0"/>
              <w:rPr>
                <w:sz w:val="15"/>
                <w:szCs w:val="15"/>
                <w:color w:val="auto"/>
              </w:rPr>
            </w:pPr>
          </w:p>
        </w:tc>
        <w:tc>
          <w:tcPr>
            <w:tcW w:w="740" w:type="dxa"/>
            <w:vAlign w:val="bottom"/>
            <w:tcBorders>
              <w:right w:val="single" w:sz="8" w:color="2360A6"/>
            </w:tcBorders>
          </w:tcPr>
          <w:p>
            <w:pPr>
              <w:spacing w:after="0"/>
              <w:rPr>
                <w:sz w:val="15"/>
                <w:szCs w:val="15"/>
                <w:color w:val="auto"/>
              </w:rPr>
            </w:pPr>
          </w:p>
        </w:tc>
        <w:tc>
          <w:tcPr>
            <w:tcW w:w="740" w:type="dxa"/>
            <w:vAlign w:val="bottom"/>
            <w:tcBorders>
              <w:right w:val="single" w:sz="8" w:color="2360A6"/>
            </w:tcBorders>
          </w:tcPr>
          <w:p>
            <w:pPr>
              <w:spacing w:after="0"/>
              <w:rPr>
                <w:sz w:val="15"/>
                <w:szCs w:val="15"/>
                <w:color w:val="auto"/>
              </w:rPr>
            </w:pPr>
          </w:p>
        </w:tc>
        <w:tc>
          <w:tcPr>
            <w:tcW w:w="940" w:type="dxa"/>
            <w:vAlign w:val="bottom"/>
            <w:shd w:val="clear" w:color="auto" w:fill="DCDDDE"/>
          </w:tcPr>
          <w:p>
            <w:pPr>
              <w:spacing w:after="0"/>
              <w:rPr>
                <w:sz w:val="15"/>
                <w:szCs w:val="15"/>
                <w:color w:val="auto"/>
              </w:rPr>
            </w:pPr>
          </w:p>
        </w:tc>
        <w:tc>
          <w:tcPr>
            <w:tcW w:w="120" w:type="dxa"/>
            <w:vAlign w:val="bottom"/>
            <w:tcBorders>
              <w:right w:val="single" w:sz="8" w:color="2360A6"/>
            </w:tcBorders>
            <w:shd w:val="clear" w:color="auto" w:fill="DCDDDE"/>
          </w:tcPr>
          <w:p>
            <w:pPr>
              <w:spacing w:after="0"/>
              <w:rPr>
                <w:sz w:val="15"/>
                <w:szCs w:val="15"/>
                <w:color w:val="auto"/>
              </w:rPr>
            </w:pPr>
          </w:p>
        </w:tc>
        <w:tc>
          <w:tcPr>
            <w:tcW w:w="720" w:type="dxa"/>
            <w:vAlign w:val="bottom"/>
            <w:tcBorders>
              <w:right w:val="single" w:sz="8" w:color="2360A6"/>
            </w:tcBorders>
            <w:shd w:val="clear" w:color="auto" w:fill="DCDDDE"/>
          </w:tcPr>
          <w:p>
            <w:pPr>
              <w:spacing w:after="0"/>
              <w:rPr>
                <w:sz w:val="15"/>
                <w:szCs w:val="15"/>
                <w:color w:val="auto"/>
              </w:rPr>
            </w:pPr>
          </w:p>
        </w:tc>
        <w:tc>
          <w:tcPr>
            <w:tcW w:w="1040" w:type="dxa"/>
            <w:vAlign w:val="bottom"/>
            <w:tcBorders>
              <w:right w:val="single" w:sz="8" w:color="2360A6"/>
            </w:tcBorders>
          </w:tcPr>
          <w:p>
            <w:pPr>
              <w:spacing w:after="0"/>
              <w:rPr>
                <w:sz w:val="15"/>
                <w:szCs w:val="15"/>
                <w:color w:val="auto"/>
              </w:rPr>
            </w:pPr>
          </w:p>
        </w:tc>
        <w:tc>
          <w:tcPr>
            <w:tcW w:w="2280" w:type="dxa"/>
            <w:vAlign w:val="bottom"/>
            <w:shd w:val="clear" w:color="auto" w:fill="DCDDDE"/>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Plan Assets</w:t>
            </w:r>
          </w:p>
        </w:tc>
        <w:tc>
          <w:tcPr>
            <w:tcW w:w="860" w:type="dxa"/>
            <w:vAlign w:val="bottom"/>
            <w:tcBorders>
              <w:bottom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2360A6"/>
              <w:right w:val="single" w:sz="8" w:color="2360A6"/>
            </w:tcBorders>
          </w:tcPr>
          <w:p>
            <w:pPr>
              <w:spacing w:after="0"/>
              <w:rPr>
                <w:sz w:val="14"/>
                <w:szCs w:val="14"/>
                <w:color w:val="auto"/>
              </w:rPr>
            </w:pPr>
          </w:p>
        </w:tc>
        <w:tc>
          <w:tcPr>
            <w:tcW w:w="740" w:type="dxa"/>
            <w:vAlign w:val="bottom"/>
            <w:tcBorders>
              <w:bottom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20.2</w:t>
            </w:r>
          </w:p>
        </w:tc>
        <w:tc>
          <w:tcPr>
            <w:tcW w:w="740" w:type="dxa"/>
            <w:vAlign w:val="bottom"/>
            <w:tcBorders>
              <w:bottom w:val="single" w:sz="8" w:color="2360A6"/>
              <w:right w:val="single" w:sz="8" w:color="2360A6"/>
            </w:tcBorders>
          </w:tcPr>
          <w:p>
            <w:pPr>
              <w:spacing w:after="0"/>
              <w:rPr>
                <w:sz w:val="14"/>
                <w:szCs w:val="14"/>
                <w:color w:val="auto"/>
              </w:rPr>
            </w:pPr>
          </w:p>
        </w:tc>
        <w:tc>
          <w:tcPr>
            <w:tcW w:w="9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color w:val="231F20"/>
              </w:rPr>
              <w:t>(20.2)</w:t>
            </w:r>
          </w:p>
        </w:tc>
        <w:tc>
          <w:tcPr>
            <w:tcW w:w="120" w:type="dxa"/>
            <w:vAlign w:val="bottom"/>
            <w:tcBorders>
              <w:bottom w:val="single" w:sz="8" w:color="2360A6"/>
              <w:right w:val="single" w:sz="8" w:color="2360A6"/>
            </w:tcBorders>
            <w:shd w:val="clear" w:color="auto" w:fill="DCDDDE"/>
          </w:tcPr>
          <w:p>
            <w:pPr>
              <w:spacing w:after="0"/>
              <w:rPr>
                <w:sz w:val="14"/>
                <w:szCs w:val="14"/>
                <w:color w:val="auto"/>
              </w:rPr>
            </w:pPr>
          </w:p>
        </w:tc>
        <w:tc>
          <w:tcPr>
            <w:tcW w:w="720" w:type="dxa"/>
            <w:vAlign w:val="bottom"/>
            <w:tcBorders>
              <w:bottom w:val="single" w:sz="8" w:color="2360A6"/>
              <w:right w:val="single" w:sz="8" w:color="2360A6"/>
            </w:tcBorders>
            <w:shd w:val="clear" w:color="auto" w:fill="DCDDDE"/>
          </w:tcPr>
          <w:p>
            <w:pPr>
              <w:spacing w:after="0"/>
              <w:rPr>
                <w:sz w:val="14"/>
                <w:szCs w:val="14"/>
                <w:color w:val="auto"/>
              </w:rPr>
            </w:pPr>
          </w:p>
        </w:tc>
        <w:tc>
          <w:tcPr>
            <w:tcW w:w="1040" w:type="dxa"/>
            <w:vAlign w:val="bottom"/>
            <w:tcBorders>
              <w:bottom w:val="single" w:sz="8" w:color="2360A6"/>
              <w:right w:val="single" w:sz="8" w:color="2360A6"/>
            </w:tcBorders>
          </w:tcPr>
          <w:p>
            <w:pPr>
              <w:spacing w:after="0"/>
              <w:rPr>
                <w:sz w:val="14"/>
                <w:szCs w:val="14"/>
                <w:color w:val="auto"/>
              </w:rPr>
            </w:pPr>
          </w:p>
        </w:tc>
        <w:tc>
          <w:tcPr>
            <w:tcW w:w="2280" w:type="dxa"/>
            <w:vAlign w:val="bottom"/>
            <w:tcBorders>
              <w:bottom w:val="single" w:sz="8" w:color="2360A6"/>
            </w:tcBorders>
            <w:shd w:val="clear" w:color="auto" w:fill="DCDDDE"/>
          </w:tcPr>
          <w:p>
            <w:pPr>
              <w:spacing w:after="0"/>
              <w:rPr>
                <w:sz w:val="14"/>
                <w:szCs w:val="14"/>
                <w:color w:val="auto"/>
              </w:rPr>
            </w:pPr>
          </w:p>
        </w:tc>
        <w:tc>
          <w:tcPr>
            <w:tcW w:w="20" w:type="dxa"/>
            <w:vAlign w:val="bottom"/>
            <w:tcBorders>
              <w:bottom w:val="single" w:sz="8" w:color="2360A6"/>
            </w:tcBorders>
          </w:tcPr>
          <w:p>
            <w:pPr>
              <w:spacing w:after="0"/>
              <w:rPr>
                <w:sz w:val="14"/>
                <w:szCs w:val="14"/>
                <w:color w:val="auto"/>
              </w:rPr>
            </w:pPr>
          </w:p>
        </w:tc>
      </w:tr>
      <w:tr>
        <w:trPr>
          <w:trHeight w:val="264"/>
        </w:trPr>
        <w:tc>
          <w:tcPr>
            <w:tcW w:w="224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Contributions and Benefits Paid</w:t>
            </w:r>
          </w:p>
        </w:tc>
        <w:tc>
          <w:tcPr>
            <w:tcW w:w="860" w:type="dxa"/>
            <w:vAlign w:val="bottom"/>
            <w:tcBorders>
              <w:bottom w:val="single" w:sz="8" w:color="2360A6"/>
              <w:right w:val="single" w:sz="8" w:color="2360A6"/>
            </w:tcBorders>
          </w:tcPr>
          <w:p>
            <w:pPr>
              <w:spacing w:after="0"/>
              <w:rPr>
                <w:sz w:val="22"/>
                <w:szCs w:val="22"/>
                <w:color w:val="auto"/>
              </w:rPr>
            </w:pPr>
          </w:p>
        </w:tc>
        <w:tc>
          <w:tcPr>
            <w:tcW w:w="86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1F20"/>
              </w:rPr>
              <w:t>(21.6)</w:t>
            </w:r>
          </w:p>
        </w:tc>
        <w:tc>
          <w:tcPr>
            <w:tcW w:w="740" w:type="dxa"/>
            <w:vAlign w:val="bottom"/>
            <w:tcBorders>
              <w:bottom w:val="single" w:sz="8" w:color="2360A6"/>
              <w:right w:val="single" w:sz="8" w:color="2360A6"/>
            </w:tcBorders>
          </w:tcPr>
          <w:p>
            <w:pPr>
              <w:spacing w:after="0"/>
              <w:rPr>
                <w:sz w:val="22"/>
                <w:szCs w:val="22"/>
                <w:color w:val="auto"/>
              </w:rPr>
            </w:pPr>
          </w:p>
        </w:tc>
        <w:tc>
          <w:tcPr>
            <w:tcW w:w="740" w:type="dxa"/>
            <w:vAlign w:val="bottom"/>
            <w:tcBorders>
              <w:bottom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1F20"/>
              </w:rPr>
              <w:t>(8.2)</w:t>
            </w:r>
          </w:p>
        </w:tc>
        <w:tc>
          <w:tcPr>
            <w:tcW w:w="1060" w:type="dxa"/>
            <w:vAlign w:val="bottom"/>
            <w:tcBorders>
              <w:bottom w:val="single" w:sz="8" w:color="2360A6"/>
              <w:right w:val="single" w:sz="8" w:color="2360A6"/>
            </w:tcBorders>
            <w:gridSpan w:val="2"/>
            <w:shd w:val="clear" w:color="auto" w:fill="DCDDDE"/>
          </w:tcPr>
          <w:p>
            <w:pPr>
              <w:spacing w:after="0"/>
              <w:rPr>
                <w:sz w:val="22"/>
                <w:szCs w:val="22"/>
                <w:color w:val="auto"/>
              </w:rPr>
            </w:pPr>
          </w:p>
        </w:tc>
        <w:tc>
          <w:tcPr>
            <w:tcW w:w="720" w:type="dxa"/>
            <w:vAlign w:val="bottom"/>
            <w:tcBorders>
              <w:bottom w:val="single" w:sz="8" w:color="2360A6"/>
              <w:right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(13.4)</w:t>
            </w:r>
          </w:p>
        </w:tc>
        <w:tc>
          <w:tcPr>
            <w:tcW w:w="1040" w:type="dxa"/>
            <w:vAlign w:val="bottom"/>
            <w:tcBorders>
              <w:bottom w:val="single" w:sz="8" w:color="2360A6"/>
              <w:right w:val="single" w:sz="8" w:color="2360A6"/>
            </w:tcBorders>
          </w:tcPr>
          <w:p>
            <w:pPr>
              <w:spacing w:after="0"/>
              <w:rPr>
                <w:sz w:val="22"/>
                <w:szCs w:val="22"/>
                <w:color w:val="auto"/>
              </w:rPr>
            </w:pPr>
          </w:p>
        </w:tc>
        <w:tc>
          <w:tcPr>
            <w:tcW w:w="228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231F20"/>
              </w:rPr>
              <w:t>(13.4)</w:t>
            </w:r>
          </w:p>
        </w:tc>
        <w:tc>
          <w:tcPr>
            <w:tcW w:w="20" w:type="dxa"/>
            <w:vAlign w:val="bottom"/>
            <w:tcBorders>
              <w:bottom w:val="single" w:sz="8" w:color="2360A6"/>
            </w:tcBorders>
          </w:tcPr>
          <w:p>
            <w:pPr>
              <w:spacing w:after="0"/>
              <w:rPr>
                <w:sz w:val="22"/>
                <w:szCs w:val="22"/>
                <w:color w:val="auto"/>
              </w:rPr>
            </w:pPr>
          </w:p>
        </w:tc>
      </w:tr>
      <w:tr>
        <w:trPr>
          <w:trHeight w:val="270"/>
        </w:trPr>
        <w:tc>
          <w:tcPr>
            <w:tcW w:w="2240" w:type="dxa"/>
            <w:vAlign w:val="bottom"/>
            <w:tcBorders>
              <w:right w:val="single" w:sz="8" w:color="2360A6"/>
            </w:tcBorders>
          </w:tcPr>
          <w:p>
            <w:pPr>
              <w:ind w:left="40"/>
              <w:spacing w:after="0"/>
              <w:rPr>
                <w:sz w:val="20"/>
                <w:szCs w:val="20"/>
                <w:color w:val="auto"/>
              </w:rPr>
            </w:pPr>
            <w:r>
              <w:rPr>
                <w:rFonts w:ascii="Arial" w:cs="Arial" w:eastAsia="Arial" w:hAnsi="Arial"/>
                <w:sz w:val="13"/>
                <w:szCs w:val="13"/>
                <w:color w:val="231F20"/>
              </w:rPr>
              <w:t>Contributions by Employer</w:t>
            </w:r>
          </w:p>
        </w:tc>
        <w:tc>
          <w:tcPr>
            <w:tcW w:w="860" w:type="dxa"/>
            <w:vAlign w:val="bottom"/>
            <w:tcBorders>
              <w:right w:val="single" w:sz="8" w:color="2360A6"/>
            </w:tcBorders>
          </w:tcPr>
          <w:p>
            <w:pPr>
              <w:jc w:val="right"/>
              <w:ind w:right="57"/>
              <w:spacing w:after="0"/>
              <w:rPr>
                <w:sz w:val="20"/>
                <w:szCs w:val="20"/>
                <w:color w:val="auto"/>
              </w:rPr>
            </w:pPr>
            <w:r>
              <w:rPr>
                <w:rFonts w:ascii="Arial" w:cs="Arial" w:eastAsia="Arial" w:hAnsi="Arial"/>
                <w:sz w:val="13"/>
                <w:szCs w:val="13"/>
                <w:color w:val="231F20"/>
              </w:rPr>
              <w:t>—</w:t>
            </w:r>
          </w:p>
        </w:tc>
        <w:tc>
          <w:tcPr>
            <w:tcW w:w="860" w:type="dxa"/>
            <w:vAlign w:val="bottom"/>
            <w:tcBorders>
              <w:right w:val="single" w:sz="8" w:color="2360A6"/>
            </w:tcBorders>
          </w:tcPr>
          <w:p>
            <w:pPr>
              <w:spacing w:after="0"/>
              <w:rPr>
                <w:sz w:val="23"/>
                <w:szCs w:val="23"/>
                <w:color w:val="auto"/>
              </w:rPr>
            </w:pPr>
          </w:p>
        </w:tc>
        <w:tc>
          <w:tcPr>
            <w:tcW w:w="740" w:type="dxa"/>
            <w:vAlign w:val="bottom"/>
            <w:tcBorders>
              <w:right w:val="single" w:sz="8" w:color="2360A6"/>
            </w:tcBorders>
          </w:tcPr>
          <w:p>
            <w:pPr>
              <w:jc w:val="right"/>
              <w:ind w:right="77"/>
              <w:spacing w:after="0"/>
              <w:rPr>
                <w:sz w:val="20"/>
                <w:szCs w:val="20"/>
                <w:color w:val="auto"/>
              </w:rPr>
            </w:pPr>
            <w:r>
              <w:rPr>
                <w:rFonts w:ascii="Arial" w:cs="Arial" w:eastAsia="Arial" w:hAnsi="Arial"/>
                <w:sz w:val="13"/>
                <w:szCs w:val="13"/>
                <w:color w:val="231F20"/>
              </w:rPr>
              <w:t>0.4</w:t>
            </w:r>
          </w:p>
        </w:tc>
        <w:tc>
          <w:tcPr>
            <w:tcW w:w="740" w:type="dxa"/>
            <w:vAlign w:val="bottom"/>
            <w:tcBorders>
              <w:right w:val="single" w:sz="8" w:color="2360A6"/>
            </w:tcBorders>
          </w:tcPr>
          <w:p>
            <w:pPr>
              <w:spacing w:after="0"/>
              <w:rPr>
                <w:sz w:val="23"/>
                <w:szCs w:val="23"/>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231F20"/>
              </w:rPr>
              <w:t>(0.4)</w:t>
            </w:r>
          </w:p>
        </w:tc>
        <w:tc>
          <w:tcPr>
            <w:tcW w:w="120" w:type="dxa"/>
            <w:vAlign w:val="bottom"/>
            <w:tcBorders>
              <w:bottom w:val="single" w:sz="8" w:color="DCDDDE"/>
              <w:right w:val="single" w:sz="8" w:color="2360A6"/>
            </w:tcBorders>
            <w:shd w:val="clear" w:color="auto" w:fill="DCDDDE"/>
          </w:tcPr>
          <w:p>
            <w:pPr>
              <w:spacing w:after="0"/>
              <w:rPr>
                <w:sz w:val="23"/>
                <w:szCs w:val="23"/>
                <w:color w:val="auto"/>
              </w:rPr>
            </w:pPr>
          </w:p>
        </w:tc>
        <w:tc>
          <w:tcPr>
            <w:tcW w:w="720" w:type="dxa"/>
            <w:vAlign w:val="bottom"/>
            <w:tcBorders>
              <w:bottom w:val="single" w:sz="8" w:color="DCDDDE"/>
              <w:right w:val="single" w:sz="8" w:color="2360A6"/>
            </w:tcBorders>
            <w:shd w:val="clear" w:color="auto" w:fill="DCDDDE"/>
          </w:tcPr>
          <w:p>
            <w:pPr>
              <w:spacing w:after="0"/>
              <w:rPr>
                <w:sz w:val="23"/>
                <w:szCs w:val="23"/>
                <w:color w:val="auto"/>
              </w:rPr>
            </w:pPr>
          </w:p>
        </w:tc>
        <w:tc>
          <w:tcPr>
            <w:tcW w:w="1040" w:type="dxa"/>
            <w:vAlign w:val="bottom"/>
            <w:tcBorders>
              <w:right w:val="single" w:sz="8" w:color="2360A6"/>
            </w:tcBorders>
          </w:tcPr>
          <w:p>
            <w:pPr>
              <w:spacing w:after="0"/>
              <w:rPr>
                <w:sz w:val="23"/>
                <w:szCs w:val="23"/>
                <w:color w:val="auto"/>
              </w:rPr>
            </w:pPr>
          </w:p>
        </w:tc>
        <w:tc>
          <w:tcPr>
            <w:tcW w:w="2280" w:type="dxa"/>
            <w:vAlign w:val="bottom"/>
            <w:tcBorders>
              <w:bottom w:val="single" w:sz="8" w:color="DCDDDE"/>
            </w:tcBorders>
            <w:shd w:val="clear" w:color="auto" w:fill="DCDDDE"/>
          </w:tcPr>
          <w:p>
            <w:pPr>
              <w:spacing w:after="0"/>
              <w:rPr>
                <w:sz w:val="23"/>
                <w:szCs w:val="23"/>
                <w:color w:val="auto"/>
              </w:rPr>
            </w:pPr>
          </w:p>
        </w:tc>
        <w:tc>
          <w:tcPr>
            <w:tcW w:w="20" w:type="dxa"/>
            <w:vAlign w:val="bottom"/>
          </w:tcPr>
          <w:p>
            <w:pPr>
              <w:spacing w:after="0"/>
              <w:rPr>
                <w:sz w:val="23"/>
                <w:szCs w:val="23"/>
                <w:color w:val="auto"/>
              </w:rPr>
            </w:pPr>
          </w:p>
        </w:tc>
      </w:tr>
      <w:tr>
        <w:trPr>
          <w:trHeight w:val="264"/>
        </w:trPr>
        <w:tc>
          <w:tcPr>
            <w:tcW w:w="22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Contributions by Employee</w:t>
            </w:r>
          </w:p>
        </w:tc>
        <w:tc>
          <w:tcPr>
            <w:tcW w:w="86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color w:val="231F20"/>
              </w:rPr>
              <w:t>0.1</w:t>
            </w:r>
          </w:p>
        </w:tc>
        <w:tc>
          <w:tcPr>
            <w:tcW w:w="860" w:type="dxa"/>
            <w:vAlign w:val="bottom"/>
            <w:tcBorders>
              <w:top w:val="single" w:sz="8" w:color="2360A6"/>
              <w:right w:val="single" w:sz="8" w:color="2360A6"/>
            </w:tcBorders>
          </w:tcPr>
          <w:p>
            <w:pPr>
              <w:spacing w:after="0"/>
              <w:rPr>
                <w:sz w:val="22"/>
                <w:szCs w:val="22"/>
                <w:color w:val="auto"/>
              </w:rPr>
            </w:pP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0.1</w:t>
            </w:r>
          </w:p>
        </w:tc>
        <w:tc>
          <w:tcPr>
            <w:tcW w:w="740" w:type="dxa"/>
            <w:vAlign w:val="bottom"/>
            <w:tcBorders>
              <w:top w:val="single" w:sz="8" w:color="2360A6"/>
              <w:right w:val="single" w:sz="8" w:color="2360A6"/>
            </w:tcBorders>
          </w:tcPr>
          <w:p>
            <w:pPr>
              <w:spacing w:after="0"/>
              <w:rPr>
                <w:sz w:val="22"/>
                <w:szCs w:val="22"/>
                <w:color w:val="auto"/>
              </w:rPr>
            </w:pPr>
          </w:p>
        </w:tc>
        <w:tc>
          <w:tcPr>
            <w:tcW w:w="940" w:type="dxa"/>
            <w:vAlign w:val="bottom"/>
            <w:tcBorders>
              <w:top w:val="single" w:sz="8" w:color="2360A6"/>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231F20"/>
              </w:rPr>
              <w:t>—</w:t>
            </w:r>
          </w:p>
        </w:tc>
        <w:tc>
          <w:tcPr>
            <w:tcW w:w="120" w:type="dxa"/>
            <w:vAlign w:val="bottom"/>
            <w:tcBorders>
              <w:top w:val="single" w:sz="8" w:color="2360A6"/>
              <w:bottom w:val="single" w:sz="8" w:color="DCDDDE"/>
              <w:right w:val="single" w:sz="8" w:color="2360A6"/>
            </w:tcBorders>
            <w:shd w:val="clear" w:color="auto" w:fill="DCDDDE"/>
          </w:tcPr>
          <w:p>
            <w:pPr>
              <w:spacing w:after="0"/>
              <w:rPr>
                <w:sz w:val="22"/>
                <w:szCs w:val="22"/>
                <w:color w:val="auto"/>
              </w:rPr>
            </w:pPr>
          </w:p>
        </w:tc>
        <w:tc>
          <w:tcPr>
            <w:tcW w:w="720" w:type="dxa"/>
            <w:vAlign w:val="bottom"/>
            <w:tcBorders>
              <w:top w:val="single" w:sz="8" w:color="2360A6"/>
              <w:bottom w:val="single" w:sz="8" w:color="DCDDDE"/>
              <w:right w:val="single" w:sz="8" w:color="2360A6"/>
            </w:tcBorders>
            <w:shd w:val="clear" w:color="auto" w:fill="DCDDDE"/>
          </w:tcPr>
          <w:p>
            <w:pPr>
              <w:spacing w:after="0"/>
              <w:rPr>
                <w:sz w:val="22"/>
                <w:szCs w:val="22"/>
                <w:color w:val="auto"/>
              </w:rPr>
            </w:pPr>
          </w:p>
        </w:tc>
        <w:tc>
          <w:tcPr>
            <w:tcW w:w="1040" w:type="dxa"/>
            <w:vAlign w:val="bottom"/>
            <w:tcBorders>
              <w:top w:val="single" w:sz="8" w:color="2360A6"/>
              <w:right w:val="single" w:sz="8" w:color="2360A6"/>
            </w:tcBorders>
          </w:tcPr>
          <w:p>
            <w:pPr>
              <w:spacing w:after="0"/>
              <w:rPr>
                <w:sz w:val="22"/>
                <w:szCs w:val="22"/>
                <w:color w:val="auto"/>
              </w:rPr>
            </w:pPr>
          </w:p>
        </w:tc>
        <w:tc>
          <w:tcPr>
            <w:tcW w:w="2280" w:type="dxa"/>
            <w:vAlign w:val="bottom"/>
            <w:tcBorders>
              <w:top w:val="single" w:sz="8" w:color="2360A6"/>
              <w:bottom w:val="single" w:sz="8" w:color="DCDDDE"/>
            </w:tcBorders>
            <w:shd w:val="clear" w:color="auto" w:fill="DCDDDE"/>
          </w:tcPr>
          <w:p>
            <w:pPr>
              <w:spacing w:after="0"/>
              <w:rPr>
                <w:sz w:val="22"/>
                <w:szCs w:val="22"/>
                <w:color w:val="auto"/>
              </w:rPr>
            </w:pPr>
          </w:p>
        </w:tc>
        <w:tc>
          <w:tcPr>
            <w:tcW w:w="20" w:type="dxa"/>
            <w:vAlign w:val="bottom"/>
            <w:tcBorders>
              <w:top w:val="single" w:sz="8" w:color="2360A6"/>
            </w:tcBorders>
          </w:tcPr>
          <w:p>
            <w:pPr>
              <w:spacing w:after="0"/>
              <w:rPr>
                <w:sz w:val="22"/>
                <w:szCs w:val="22"/>
                <w:color w:val="auto"/>
              </w:rPr>
            </w:pPr>
          </w:p>
        </w:tc>
      </w:tr>
      <w:tr>
        <w:trPr>
          <w:trHeight w:val="264"/>
        </w:trPr>
        <w:tc>
          <w:tcPr>
            <w:tcW w:w="22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Benefits Paid by Employer</w:t>
            </w:r>
          </w:p>
        </w:tc>
        <w:tc>
          <w:tcPr>
            <w:tcW w:w="860" w:type="dxa"/>
            <w:vAlign w:val="bottom"/>
            <w:tcBorders>
              <w:top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(13.0)</w:t>
            </w:r>
          </w:p>
        </w:tc>
        <w:tc>
          <w:tcPr>
            <w:tcW w:w="860" w:type="dxa"/>
            <w:vAlign w:val="bottom"/>
            <w:tcBorders>
              <w:top w:val="single" w:sz="8" w:color="2360A6"/>
              <w:right w:val="single" w:sz="8" w:color="2360A6"/>
            </w:tcBorders>
          </w:tcPr>
          <w:p>
            <w:pPr>
              <w:spacing w:after="0"/>
              <w:rPr>
                <w:sz w:val="22"/>
                <w:szCs w:val="22"/>
                <w:color w:val="auto"/>
              </w:rPr>
            </w:pP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color w:val="231F20"/>
              </w:rPr>
              <w:t>—</w:t>
            </w:r>
          </w:p>
        </w:tc>
        <w:tc>
          <w:tcPr>
            <w:tcW w:w="740" w:type="dxa"/>
            <w:vAlign w:val="bottom"/>
            <w:tcBorders>
              <w:top w:val="single" w:sz="8" w:color="2360A6"/>
              <w:right w:val="single" w:sz="8" w:color="2360A6"/>
            </w:tcBorders>
          </w:tcPr>
          <w:p>
            <w:pPr>
              <w:spacing w:after="0"/>
              <w:rPr>
                <w:sz w:val="22"/>
                <w:szCs w:val="22"/>
                <w:color w:val="auto"/>
              </w:rPr>
            </w:pPr>
          </w:p>
        </w:tc>
        <w:tc>
          <w:tcPr>
            <w:tcW w:w="940" w:type="dxa"/>
            <w:vAlign w:val="bottom"/>
            <w:tcBorders>
              <w:top w:val="single" w:sz="8" w:color="2360A6"/>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231F20"/>
              </w:rPr>
              <w:t>(13.0)</w:t>
            </w:r>
          </w:p>
        </w:tc>
        <w:tc>
          <w:tcPr>
            <w:tcW w:w="120" w:type="dxa"/>
            <w:vAlign w:val="bottom"/>
            <w:tcBorders>
              <w:top w:val="single" w:sz="8" w:color="2360A6"/>
              <w:bottom w:val="single" w:sz="8" w:color="DCDDDE"/>
              <w:right w:val="single" w:sz="8" w:color="2360A6"/>
            </w:tcBorders>
            <w:shd w:val="clear" w:color="auto" w:fill="DCDDDE"/>
          </w:tcPr>
          <w:p>
            <w:pPr>
              <w:spacing w:after="0"/>
              <w:rPr>
                <w:sz w:val="22"/>
                <w:szCs w:val="22"/>
                <w:color w:val="auto"/>
              </w:rPr>
            </w:pPr>
          </w:p>
        </w:tc>
        <w:tc>
          <w:tcPr>
            <w:tcW w:w="720" w:type="dxa"/>
            <w:vAlign w:val="bottom"/>
            <w:tcBorders>
              <w:top w:val="single" w:sz="8" w:color="2360A6"/>
              <w:bottom w:val="single" w:sz="8" w:color="DCDDDE"/>
              <w:right w:val="single" w:sz="8" w:color="2360A6"/>
            </w:tcBorders>
            <w:shd w:val="clear" w:color="auto" w:fill="DCDDDE"/>
          </w:tcPr>
          <w:p>
            <w:pPr>
              <w:spacing w:after="0"/>
              <w:rPr>
                <w:sz w:val="22"/>
                <w:szCs w:val="22"/>
                <w:color w:val="auto"/>
              </w:rPr>
            </w:pPr>
          </w:p>
        </w:tc>
        <w:tc>
          <w:tcPr>
            <w:tcW w:w="1040" w:type="dxa"/>
            <w:vAlign w:val="bottom"/>
            <w:tcBorders>
              <w:top w:val="single" w:sz="8" w:color="2360A6"/>
              <w:right w:val="single" w:sz="8" w:color="2360A6"/>
            </w:tcBorders>
          </w:tcPr>
          <w:p>
            <w:pPr>
              <w:spacing w:after="0"/>
              <w:rPr>
                <w:sz w:val="22"/>
                <w:szCs w:val="22"/>
                <w:color w:val="auto"/>
              </w:rPr>
            </w:pPr>
          </w:p>
        </w:tc>
        <w:tc>
          <w:tcPr>
            <w:tcW w:w="2280" w:type="dxa"/>
            <w:vAlign w:val="bottom"/>
            <w:tcBorders>
              <w:top w:val="single" w:sz="8" w:color="2360A6"/>
              <w:bottom w:val="single" w:sz="8" w:color="DCDDDE"/>
            </w:tcBorders>
            <w:shd w:val="clear" w:color="auto" w:fill="DCDDDE"/>
          </w:tcPr>
          <w:p>
            <w:pPr>
              <w:spacing w:after="0"/>
              <w:rPr>
                <w:sz w:val="22"/>
                <w:szCs w:val="22"/>
                <w:color w:val="auto"/>
              </w:rPr>
            </w:pPr>
          </w:p>
        </w:tc>
        <w:tc>
          <w:tcPr>
            <w:tcW w:w="20" w:type="dxa"/>
            <w:vAlign w:val="bottom"/>
            <w:tcBorders>
              <w:top w:val="single" w:sz="8" w:color="2360A6"/>
            </w:tcBorders>
          </w:tcPr>
          <w:p>
            <w:pPr>
              <w:spacing w:after="0"/>
              <w:rPr>
                <w:sz w:val="22"/>
                <w:szCs w:val="22"/>
                <w:color w:val="auto"/>
              </w:rPr>
            </w:pPr>
          </w:p>
        </w:tc>
      </w:tr>
      <w:tr>
        <w:trPr>
          <w:trHeight w:val="264"/>
        </w:trPr>
        <w:tc>
          <w:tcPr>
            <w:tcW w:w="22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color w:val="231F20"/>
              </w:rPr>
              <w:t>Benefits paid from Plan Assets</w:t>
            </w:r>
          </w:p>
        </w:tc>
        <w:tc>
          <w:tcPr>
            <w:tcW w:w="860" w:type="dxa"/>
            <w:vAlign w:val="bottom"/>
            <w:tcBorders>
              <w:top w:val="single" w:sz="8" w:color="2360A6"/>
              <w:right w:val="single" w:sz="8" w:color="2360A6"/>
            </w:tcBorders>
          </w:tcPr>
          <w:p>
            <w:pPr>
              <w:jc w:val="right"/>
              <w:ind w:right="17"/>
              <w:spacing w:after="0"/>
              <w:rPr>
                <w:sz w:val="20"/>
                <w:szCs w:val="20"/>
                <w:color w:val="auto"/>
              </w:rPr>
            </w:pPr>
            <w:r>
              <w:rPr>
                <w:rFonts w:ascii="Arial" w:cs="Arial" w:eastAsia="Arial" w:hAnsi="Arial"/>
                <w:sz w:val="13"/>
                <w:szCs w:val="13"/>
                <w:color w:val="231F20"/>
              </w:rPr>
              <w:t>(8.7)</w:t>
            </w:r>
          </w:p>
        </w:tc>
        <w:tc>
          <w:tcPr>
            <w:tcW w:w="860" w:type="dxa"/>
            <w:vAlign w:val="bottom"/>
            <w:tcBorders>
              <w:top w:val="single" w:sz="8" w:color="2360A6"/>
              <w:right w:val="single" w:sz="8" w:color="2360A6"/>
            </w:tcBorders>
          </w:tcPr>
          <w:p>
            <w:pPr>
              <w:spacing w:after="0"/>
              <w:rPr>
                <w:sz w:val="22"/>
                <w:szCs w:val="22"/>
                <w:color w:val="auto"/>
              </w:rPr>
            </w:pPr>
          </w:p>
        </w:tc>
        <w:tc>
          <w:tcPr>
            <w:tcW w:w="74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color w:val="231F20"/>
              </w:rPr>
              <w:t>(8.7)</w:t>
            </w:r>
          </w:p>
        </w:tc>
        <w:tc>
          <w:tcPr>
            <w:tcW w:w="740" w:type="dxa"/>
            <w:vAlign w:val="bottom"/>
            <w:tcBorders>
              <w:top w:val="single" w:sz="8" w:color="2360A6"/>
              <w:right w:val="single" w:sz="8" w:color="2360A6"/>
            </w:tcBorders>
          </w:tcPr>
          <w:p>
            <w:pPr>
              <w:spacing w:after="0"/>
              <w:rPr>
                <w:sz w:val="22"/>
                <w:szCs w:val="22"/>
                <w:color w:val="auto"/>
              </w:rPr>
            </w:pPr>
          </w:p>
        </w:tc>
        <w:tc>
          <w:tcPr>
            <w:tcW w:w="940" w:type="dxa"/>
            <w:vAlign w:val="bottom"/>
            <w:tcBorders>
              <w:top w:val="single" w:sz="8" w:color="2360A6"/>
              <w:bottom w:val="single" w:sz="8" w:color="DCDDDE"/>
            </w:tcBorders>
            <w:shd w:val="clear" w:color="auto" w:fill="DCDDDE"/>
          </w:tcPr>
          <w:p>
            <w:pPr>
              <w:jc w:val="right"/>
              <w:spacing w:after="0"/>
              <w:rPr>
                <w:sz w:val="20"/>
                <w:szCs w:val="20"/>
                <w:color w:val="auto"/>
              </w:rPr>
            </w:pPr>
            <w:r>
              <w:rPr>
                <w:rFonts w:ascii="Arial" w:cs="Arial" w:eastAsia="Arial" w:hAnsi="Arial"/>
                <w:sz w:val="13"/>
                <w:szCs w:val="13"/>
                <w:color w:val="231F20"/>
              </w:rPr>
              <w:t>—</w:t>
            </w:r>
          </w:p>
        </w:tc>
        <w:tc>
          <w:tcPr>
            <w:tcW w:w="120" w:type="dxa"/>
            <w:vAlign w:val="bottom"/>
            <w:tcBorders>
              <w:top w:val="single" w:sz="8" w:color="2360A6"/>
              <w:bottom w:val="single" w:sz="8" w:color="DCDDDE"/>
              <w:right w:val="single" w:sz="8" w:color="2360A6"/>
            </w:tcBorders>
            <w:shd w:val="clear" w:color="auto" w:fill="DCDDDE"/>
          </w:tcPr>
          <w:p>
            <w:pPr>
              <w:spacing w:after="0"/>
              <w:rPr>
                <w:sz w:val="22"/>
                <w:szCs w:val="22"/>
                <w:color w:val="auto"/>
              </w:rPr>
            </w:pPr>
          </w:p>
        </w:tc>
        <w:tc>
          <w:tcPr>
            <w:tcW w:w="720" w:type="dxa"/>
            <w:vAlign w:val="bottom"/>
            <w:tcBorders>
              <w:top w:val="single" w:sz="8" w:color="2360A6"/>
              <w:bottom w:val="single" w:sz="8" w:color="DCDDDE"/>
              <w:right w:val="single" w:sz="8" w:color="2360A6"/>
            </w:tcBorders>
            <w:shd w:val="clear" w:color="auto" w:fill="DCDDDE"/>
          </w:tcPr>
          <w:p>
            <w:pPr>
              <w:spacing w:after="0"/>
              <w:rPr>
                <w:sz w:val="22"/>
                <w:szCs w:val="22"/>
                <w:color w:val="auto"/>
              </w:rPr>
            </w:pPr>
          </w:p>
        </w:tc>
        <w:tc>
          <w:tcPr>
            <w:tcW w:w="1040" w:type="dxa"/>
            <w:vAlign w:val="bottom"/>
            <w:tcBorders>
              <w:top w:val="single" w:sz="8" w:color="2360A6"/>
              <w:right w:val="single" w:sz="8" w:color="2360A6"/>
            </w:tcBorders>
          </w:tcPr>
          <w:p>
            <w:pPr>
              <w:spacing w:after="0"/>
              <w:rPr>
                <w:sz w:val="22"/>
                <w:szCs w:val="22"/>
                <w:color w:val="auto"/>
              </w:rPr>
            </w:pPr>
          </w:p>
        </w:tc>
        <w:tc>
          <w:tcPr>
            <w:tcW w:w="2280" w:type="dxa"/>
            <w:vAlign w:val="bottom"/>
            <w:tcBorders>
              <w:top w:val="single" w:sz="8" w:color="2360A6"/>
              <w:bottom w:val="single" w:sz="8" w:color="DCDDDE"/>
            </w:tcBorders>
            <w:shd w:val="clear" w:color="auto" w:fill="DCDDDE"/>
          </w:tcPr>
          <w:p>
            <w:pPr>
              <w:spacing w:after="0"/>
              <w:rPr>
                <w:sz w:val="22"/>
                <w:szCs w:val="22"/>
                <w:color w:val="auto"/>
              </w:rPr>
            </w:pPr>
          </w:p>
        </w:tc>
        <w:tc>
          <w:tcPr>
            <w:tcW w:w="20" w:type="dxa"/>
            <w:vAlign w:val="bottom"/>
            <w:tcBorders>
              <w:top w:val="single" w:sz="8" w:color="2360A6"/>
            </w:tcBorders>
          </w:tcPr>
          <w:p>
            <w:pPr>
              <w:spacing w:after="0"/>
              <w:rPr>
                <w:sz w:val="22"/>
                <w:szCs w:val="22"/>
                <w:color w:val="auto"/>
              </w:rPr>
            </w:pPr>
          </w:p>
        </w:tc>
      </w:tr>
      <w:tr>
        <w:trPr>
          <w:trHeight w:val="264"/>
        </w:trPr>
        <w:tc>
          <w:tcPr>
            <w:tcW w:w="22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Exchange Difference and other</w:t>
            </w:r>
          </w:p>
        </w:tc>
        <w:tc>
          <w:tcPr>
            <w:tcW w:w="860" w:type="dxa"/>
            <w:vAlign w:val="bottom"/>
            <w:tcBorders>
              <w:top w:val="single" w:sz="8" w:color="2360A6"/>
              <w:right w:val="single" w:sz="8" w:color="2360A6"/>
            </w:tcBorders>
          </w:tcPr>
          <w:p>
            <w:pPr>
              <w:spacing w:after="0"/>
              <w:rPr>
                <w:sz w:val="22"/>
                <w:szCs w:val="22"/>
                <w:color w:val="auto"/>
              </w:rPr>
            </w:pPr>
          </w:p>
        </w:tc>
        <w:tc>
          <w:tcPr>
            <w:tcW w:w="86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1F20"/>
              </w:rPr>
              <w:t>(17.2)</w:t>
            </w:r>
          </w:p>
        </w:tc>
        <w:tc>
          <w:tcPr>
            <w:tcW w:w="740" w:type="dxa"/>
            <w:vAlign w:val="bottom"/>
            <w:tcBorders>
              <w:top w:val="single" w:sz="8" w:color="2360A6"/>
              <w:right w:val="single" w:sz="8" w:color="2360A6"/>
            </w:tcBorders>
          </w:tcPr>
          <w:p>
            <w:pPr>
              <w:spacing w:after="0"/>
              <w:rPr>
                <w:sz w:val="22"/>
                <w:szCs w:val="22"/>
                <w:color w:val="auto"/>
              </w:rPr>
            </w:pPr>
          </w:p>
        </w:tc>
        <w:tc>
          <w:tcPr>
            <w:tcW w:w="74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1F20"/>
              </w:rPr>
              <w:t>(16.8)</w:t>
            </w:r>
          </w:p>
        </w:tc>
        <w:tc>
          <w:tcPr>
            <w:tcW w:w="940" w:type="dxa"/>
            <w:vAlign w:val="bottom"/>
            <w:tcBorders>
              <w:top w:val="single" w:sz="8" w:color="2360A6"/>
              <w:bottom w:val="single" w:sz="8" w:color="DCDDDE"/>
            </w:tcBorders>
            <w:shd w:val="clear" w:color="auto" w:fill="DCDDDE"/>
          </w:tcPr>
          <w:p>
            <w:pPr>
              <w:spacing w:after="0"/>
              <w:rPr>
                <w:sz w:val="22"/>
                <w:szCs w:val="22"/>
                <w:color w:val="auto"/>
              </w:rPr>
            </w:pPr>
          </w:p>
        </w:tc>
        <w:tc>
          <w:tcPr>
            <w:tcW w:w="120" w:type="dxa"/>
            <w:vAlign w:val="bottom"/>
            <w:tcBorders>
              <w:top w:val="single" w:sz="8" w:color="2360A6"/>
              <w:bottom w:val="single" w:sz="8" w:color="DCDDDE"/>
              <w:right w:val="single" w:sz="8" w:color="2360A6"/>
            </w:tcBorders>
            <w:shd w:val="clear" w:color="auto" w:fill="DCDDDE"/>
          </w:tcPr>
          <w:p>
            <w:pPr>
              <w:spacing w:after="0"/>
              <w:rPr>
                <w:sz w:val="22"/>
                <w:szCs w:val="22"/>
                <w:color w:val="auto"/>
              </w:rPr>
            </w:pPr>
          </w:p>
        </w:tc>
        <w:tc>
          <w:tcPr>
            <w:tcW w:w="720" w:type="dxa"/>
            <w:vAlign w:val="bottom"/>
            <w:tcBorders>
              <w:top w:val="single" w:sz="8" w:color="2360A6"/>
              <w:bottom w:val="single" w:sz="8" w:color="DCDDDE"/>
              <w:right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(0.4)</w:t>
            </w:r>
          </w:p>
        </w:tc>
        <w:tc>
          <w:tcPr>
            <w:tcW w:w="1040" w:type="dxa"/>
            <w:vAlign w:val="bottom"/>
            <w:tcBorders>
              <w:top w:val="single" w:sz="8" w:color="2360A6"/>
              <w:right w:val="single" w:sz="8" w:color="2360A6"/>
            </w:tcBorders>
          </w:tcPr>
          <w:p>
            <w:pPr>
              <w:spacing w:after="0"/>
              <w:rPr>
                <w:sz w:val="22"/>
                <w:szCs w:val="22"/>
                <w:color w:val="auto"/>
              </w:rPr>
            </w:pPr>
          </w:p>
        </w:tc>
        <w:tc>
          <w:tcPr>
            <w:tcW w:w="2280" w:type="dxa"/>
            <w:vAlign w:val="bottom"/>
            <w:tcBorders>
              <w:top w:val="single" w:sz="8" w:color="2360A6"/>
              <w:bottom w:val="single" w:sz="8" w:color="DCDDDE"/>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(0.4)</w:t>
            </w:r>
          </w:p>
        </w:tc>
        <w:tc>
          <w:tcPr>
            <w:tcW w:w="20" w:type="dxa"/>
            <w:vAlign w:val="bottom"/>
            <w:tcBorders>
              <w:top w:val="single" w:sz="8" w:color="2360A6"/>
            </w:tcBorders>
          </w:tcPr>
          <w:p>
            <w:pPr>
              <w:spacing w:after="0"/>
              <w:rPr>
                <w:sz w:val="22"/>
                <w:szCs w:val="22"/>
                <w:color w:val="auto"/>
              </w:rPr>
            </w:pPr>
          </w:p>
        </w:tc>
      </w:tr>
      <w:tr>
        <w:trPr>
          <w:trHeight w:val="264"/>
        </w:trPr>
        <w:tc>
          <w:tcPr>
            <w:tcW w:w="22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Cash Incentive Plans</w:t>
            </w:r>
          </w:p>
        </w:tc>
        <w:tc>
          <w:tcPr>
            <w:tcW w:w="860" w:type="dxa"/>
            <w:vAlign w:val="bottom"/>
            <w:tcBorders>
              <w:top w:val="single" w:sz="8" w:color="2360A6"/>
              <w:right w:val="single" w:sz="8" w:color="2360A6"/>
            </w:tcBorders>
          </w:tcPr>
          <w:p>
            <w:pPr>
              <w:spacing w:after="0"/>
              <w:rPr>
                <w:sz w:val="22"/>
                <w:szCs w:val="22"/>
                <w:color w:val="auto"/>
              </w:rPr>
            </w:pPr>
          </w:p>
        </w:tc>
        <w:tc>
          <w:tcPr>
            <w:tcW w:w="860" w:type="dxa"/>
            <w:vAlign w:val="bottom"/>
            <w:tcBorders>
              <w:top w:val="single" w:sz="8" w:color="2360A6"/>
              <w:right w:val="single" w:sz="8" w:color="2360A6"/>
            </w:tcBorders>
          </w:tcPr>
          <w:p>
            <w:pPr>
              <w:spacing w:after="0"/>
              <w:rPr>
                <w:sz w:val="22"/>
                <w:szCs w:val="22"/>
                <w:color w:val="auto"/>
              </w:rPr>
            </w:pPr>
          </w:p>
        </w:tc>
        <w:tc>
          <w:tcPr>
            <w:tcW w:w="740" w:type="dxa"/>
            <w:vAlign w:val="bottom"/>
            <w:tcBorders>
              <w:top w:val="single" w:sz="8" w:color="2360A6"/>
              <w:right w:val="single" w:sz="8" w:color="2360A6"/>
            </w:tcBorders>
          </w:tcPr>
          <w:p>
            <w:pPr>
              <w:spacing w:after="0"/>
              <w:rPr>
                <w:sz w:val="22"/>
                <w:szCs w:val="22"/>
                <w:color w:val="auto"/>
              </w:rPr>
            </w:pPr>
          </w:p>
        </w:tc>
        <w:tc>
          <w:tcPr>
            <w:tcW w:w="740" w:type="dxa"/>
            <w:vAlign w:val="bottom"/>
            <w:tcBorders>
              <w:top w:val="single" w:sz="8" w:color="2360A6"/>
              <w:right w:val="single" w:sz="8" w:color="2360A6"/>
            </w:tcBorders>
          </w:tcPr>
          <w:p>
            <w:pPr>
              <w:spacing w:after="0"/>
              <w:rPr>
                <w:sz w:val="22"/>
                <w:szCs w:val="22"/>
                <w:color w:val="auto"/>
              </w:rPr>
            </w:pPr>
          </w:p>
        </w:tc>
        <w:tc>
          <w:tcPr>
            <w:tcW w:w="940" w:type="dxa"/>
            <w:vAlign w:val="bottom"/>
            <w:tcBorders>
              <w:top w:val="single" w:sz="8" w:color="2360A6"/>
              <w:bottom w:val="single" w:sz="8" w:color="DCDDDE"/>
            </w:tcBorders>
            <w:shd w:val="clear" w:color="auto" w:fill="DCDDDE"/>
          </w:tcPr>
          <w:p>
            <w:pPr>
              <w:spacing w:after="0"/>
              <w:rPr>
                <w:sz w:val="22"/>
                <w:szCs w:val="22"/>
                <w:color w:val="auto"/>
              </w:rPr>
            </w:pPr>
          </w:p>
        </w:tc>
        <w:tc>
          <w:tcPr>
            <w:tcW w:w="120" w:type="dxa"/>
            <w:vAlign w:val="bottom"/>
            <w:tcBorders>
              <w:top w:val="single" w:sz="8" w:color="2360A6"/>
              <w:bottom w:val="single" w:sz="8" w:color="DCDDDE"/>
              <w:right w:val="single" w:sz="8" w:color="2360A6"/>
            </w:tcBorders>
            <w:shd w:val="clear" w:color="auto" w:fill="DCDDDE"/>
          </w:tcPr>
          <w:p>
            <w:pPr>
              <w:spacing w:after="0"/>
              <w:rPr>
                <w:sz w:val="22"/>
                <w:szCs w:val="22"/>
                <w:color w:val="auto"/>
              </w:rPr>
            </w:pPr>
          </w:p>
        </w:tc>
        <w:tc>
          <w:tcPr>
            <w:tcW w:w="720" w:type="dxa"/>
            <w:vAlign w:val="bottom"/>
            <w:tcBorders>
              <w:top w:val="single" w:sz="8" w:color="2360A6"/>
              <w:bottom w:val="single" w:sz="8" w:color="DCDDDE"/>
              <w:right w:val="single" w:sz="8" w:color="2360A6"/>
            </w:tcBorders>
            <w:shd w:val="clear" w:color="auto" w:fill="DCDDDE"/>
          </w:tcPr>
          <w:p>
            <w:pPr>
              <w:spacing w:after="0"/>
              <w:rPr>
                <w:sz w:val="22"/>
                <w:szCs w:val="22"/>
                <w:color w:val="auto"/>
              </w:rPr>
            </w:pPr>
          </w:p>
        </w:tc>
        <w:tc>
          <w:tcPr>
            <w:tcW w:w="1040" w:type="dxa"/>
            <w:vAlign w:val="bottom"/>
            <w:tcBorders>
              <w:top w:val="single" w:sz="8" w:color="2360A6"/>
              <w:right w:val="single" w:sz="8" w:color="2360A6"/>
            </w:tcBorders>
          </w:tcPr>
          <w:p>
            <w:pPr>
              <w:jc w:val="right"/>
              <w:ind w:right="57"/>
              <w:spacing w:after="0"/>
              <w:rPr>
                <w:sz w:val="20"/>
                <w:szCs w:val="20"/>
                <w:color w:val="auto"/>
              </w:rPr>
            </w:pPr>
            <w:r>
              <w:rPr>
                <w:rFonts w:ascii="Arial" w:cs="Arial" w:eastAsia="Arial" w:hAnsi="Arial"/>
                <w:sz w:val="13"/>
                <w:szCs w:val="13"/>
                <w:b w:val="1"/>
                <w:bCs w:val="1"/>
                <w:color w:val="231F20"/>
              </w:rPr>
              <w:t>21.3</w:t>
            </w:r>
          </w:p>
        </w:tc>
        <w:tc>
          <w:tcPr>
            <w:tcW w:w="2280" w:type="dxa"/>
            <w:vAlign w:val="bottom"/>
            <w:tcBorders>
              <w:top w:val="single" w:sz="8" w:color="2360A6"/>
              <w:bottom w:val="single" w:sz="8" w:color="DCDDDE"/>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21.3</w:t>
            </w:r>
          </w:p>
        </w:tc>
        <w:tc>
          <w:tcPr>
            <w:tcW w:w="20" w:type="dxa"/>
            <w:vAlign w:val="bottom"/>
            <w:tcBorders>
              <w:top w:val="single" w:sz="8" w:color="2360A6"/>
            </w:tcBorders>
          </w:tcPr>
          <w:p>
            <w:pPr>
              <w:spacing w:after="0"/>
              <w:rPr>
                <w:sz w:val="22"/>
                <w:szCs w:val="22"/>
                <w:color w:val="auto"/>
              </w:rPr>
            </w:pPr>
          </w:p>
        </w:tc>
      </w:tr>
      <w:tr>
        <w:trPr>
          <w:trHeight w:val="264"/>
        </w:trPr>
        <w:tc>
          <w:tcPr>
            <w:tcW w:w="2240" w:type="dxa"/>
            <w:vAlign w:val="bottom"/>
            <w:tcBorders>
              <w:top w:val="single" w:sz="8" w:color="2360A6"/>
              <w:right w:val="single" w:sz="8" w:color="2360A6"/>
            </w:tcBorders>
          </w:tcPr>
          <w:p>
            <w:pPr>
              <w:ind w:left="40"/>
              <w:spacing w:after="0"/>
              <w:rPr>
                <w:sz w:val="20"/>
                <w:szCs w:val="20"/>
                <w:color w:val="auto"/>
              </w:rPr>
            </w:pPr>
            <w:r>
              <w:rPr>
                <w:rFonts w:ascii="Arial" w:cs="Arial" w:eastAsia="Arial" w:hAnsi="Arial"/>
                <w:sz w:val="13"/>
                <w:szCs w:val="13"/>
                <w:b w:val="1"/>
                <w:bCs w:val="1"/>
                <w:color w:val="231F20"/>
              </w:rPr>
              <w:t>Other</w:t>
            </w:r>
          </w:p>
        </w:tc>
        <w:tc>
          <w:tcPr>
            <w:tcW w:w="860" w:type="dxa"/>
            <w:vAlign w:val="bottom"/>
            <w:tcBorders>
              <w:top w:val="single" w:sz="8" w:color="2360A6"/>
              <w:right w:val="single" w:sz="8" w:color="2360A6"/>
            </w:tcBorders>
          </w:tcPr>
          <w:p>
            <w:pPr>
              <w:spacing w:after="0"/>
              <w:rPr>
                <w:sz w:val="22"/>
                <w:szCs w:val="22"/>
                <w:color w:val="auto"/>
              </w:rPr>
            </w:pPr>
          </w:p>
        </w:tc>
        <w:tc>
          <w:tcPr>
            <w:tcW w:w="860" w:type="dxa"/>
            <w:vAlign w:val="bottom"/>
            <w:tcBorders>
              <w:top w:val="single" w:sz="8" w:color="2360A6"/>
              <w:right w:val="single" w:sz="8" w:color="2360A6"/>
            </w:tcBorders>
          </w:tcPr>
          <w:p>
            <w:pPr>
              <w:jc w:val="right"/>
              <w:ind w:right="37"/>
              <w:spacing w:after="0"/>
              <w:rPr>
                <w:sz w:val="20"/>
                <w:szCs w:val="20"/>
                <w:color w:val="auto"/>
              </w:rPr>
            </w:pPr>
            <w:r>
              <w:rPr>
                <w:rFonts w:ascii="Arial" w:cs="Arial" w:eastAsia="Arial" w:hAnsi="Arial"/>
                <w:sz w:val="13"/>
                <w:szCs w:val="13"/>
                <w:b w:val="1"/>
                <w:bCs w:val="1"/>
                <w:color w:val="231F20"/>
              </w:rPr>
              <w:t>(2.6)</w:t>
            </w:r>
          </w:p>
        </w:tc>
        <w:tc>
          <w:tcPr>
            <w:tcW w:w="740" w:type="dxa"/>
            <w:vAlign w:val="bottom"/>
            <w:tcBorders>
              <w:top w:val="single" w:sz="8" w:color="2360A6"/>
              <w:right w:val="single" w:sz="8" w:color="2360A6"/>
            </w:tcBorders>
          </w:tcPr>
          <w:p>
            <w:pPr>
              <w:spacing w:after="0"/>
              <w:rPr>
                <w:sz w:val="22"/>
                <w:szCs w:val="22"/>
                <w:color w:val="auto"/>
              </w:rPr>
            </w:pPr>
          </w:p>
        </w:tc>
        <w:tc>
          <w:tcPr>
            <w:tcW w:w="740" w:type="dxa"/>
            <w:vAlign w:val="bottom"/>
            <w:tcBorders>
              <w:top w:val="single" w:sz="8" w:color="2360A6"/>
              <w:right w:val="single" w:sz="8" w:color="2360A6"/>
            </w:tcBorders>
          </w:tcPr>
          <w:p>
            <w:pPr>
              <w:jc w:val="right"/>
              <w:ind w:right="77"/>
              <w:spacing w:after="0"/>
              <w:rPr>
                <w:sz w:val="20"/>
                <w:szCs w:val="20"/>
                <w:color w:val="auto"/>
              </w:rPr>
            </w:pPr>
            <w:r>
              <w:rPr>
                <w:rFonts w:ascii="Arial" w:cs="Arial" w:eastAsia="Arial" w:hAnsi="Arial"/>
                <w:sz w:val="13"/>
                <w:szCs w:val="13"/>
                <w:b w:val="1"/>
                <w:bCs w:val="1"/>
                <w:color w:val="231F20"/>
              </w:rPr>
              <w:t>—</w:t>
            </w:r>
          </w:p>
        </w:tc>
        <w:tc>
          <w:tcPr>
            <w:tcW w:w="940" w:type="dxa"/>
            <w:vAlign w:val="bottom"/>
            <w:tcBorders>
              <w:top w:val="single" w:sz="8" w:color="2360A6"/>
              <w:bottom w:val="single" w:sz="8" w:color="DCDDDE"/>
            </w:tcBorders>
            <w:shd w:val="clear" w:color="auto" w:fill="DCDDDE"/>
          </w:tcPr>
          <w:p>
            <w:pPr>
              <w:spacing w:after="0"/>
              <w:rPr>
                <w:sz w:val="22"/>
                <w:szCs w:val="22"/>
                <w:color w:val="auto"/>
              </w:rPr>
            </w:pPr>
          </w:p>
        </w:tc>
        <w:tc>
          <w:tcPr>
            <w:tcW w:w="120" w:type="dxa"/>
            <w:vAlign w:val="bottom"/>
            <w:tcBorders>
              <w:top w:val="single" w:sz="8" w:color="2360A6"/>
              <w:bottom w:val="single" w:sz="8" w:color="DCDDDE"/>
              <w:right w:val="single" w:sz="8" w:color="2360A6"/>
            </w:tcBorders>
            <w:shd w:val="clear" w:color="auto" w:fill="DCDDDE"/>
          </w:tcPr>
          <w:p>
            <w:pPr>
              <w:spacing w:after="0"/>
              <w:rPr>
                <w:sz w:val="22"/>
                <w:szCs w:val="22"/>
                <w:color w:val="auto"/>
              </w:rPr>
            </w:pPr>
          </w:p>
        </w:tc>
        <w:tc>
          <w:tcPr>
            <w:tcW w:w="720" w:type="dxa"/>
            <w:vAlign w:val="bottom"/>
            <w:tcBorders>
              <w:top w:val="single" w:sz="8" w:color="2360A6"/>
              <w:bottom w:val="single" w:sz="8" w:color="DCDDDE"/>
              <w:right w:val="single" w:sz="8" w:color="2360A6"/>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(2.6)</w:t>
            </w:r>
          </w:p>
        </w:tc>
        <w:tc>
          <w:tcPr>
            <w:tcW w:w="1040" w:type="dxa"/>
            <w:vAlign w:val="bottom"/>
            <w:tcBorders>
              <w:top w:val="single" w:sz="8" w:color="2360A6"/>
              <w:right w:val="single" w:sz="8" w:color="2360A6"/>
            </w:tcBorders>
          </w:tcPr>
          <w:p>
            <w:pPr>
              <w:spacing w:after="0"/>
              <w:rPr>
                <w:sz w:val="22"/>
                <w:szCs w:val="22"/>
                <w:color w:val="auto"/>
              </w:rPr>
            </w:pPr>
          </w:p>
        </w:tc>
        <w:tc>
          <w:tcPr>
            <w:tcW w:w="2280" w:type="dxa"/>
            <w:vAlign w:val="bottom"/>
            <w:tcBorders>
              <w:top w:val="single" w:sz="8" w:color="2360A6"/>
              <w:bottom w:val="single" w:sz="8" w:color="DCDDDE"/>
            </w:tcBorders>
            <w:shd w:val="clear" w:color="auto" w:fill="DCDDDE"/>
          </w:tcPr>
          <w:p>
            <w:pPr>
              <w:jc w:val="right"/>
              <w:ind w:right="17"/>
              <w:spacing w:after="0"/>
              <w:rPr>
                <w:sz w:val="20"/>
                <w:szCs w:val="20"/>
                <w:color w:val="auto"/>
              </w:rPr>
            </w:pPr>
            <w:r>
              <w:rPr>
                <w:rFonts w:ascii="Arial" w:cs="Arial" w:eastAsia="Arial" w:hAnsi="Arial"/>
                <w:sz w:val="13"/>
                <w:szCs w:val="13"/>
                <w:b w:val="1"/>
                <w:bCs w:val="1"/>
                <w:color w:val="231F20"/>
              </w:rPr>
              <w:t>(2.6)</w:t>
            </w:r>
          </w:p>
        </w:tc>
        <w:tc>
          <w:tcPr>
            <w:tcW w:w="20" w:type="dxa"/>
            <w:vAlign w:val="bottom"/>
            <w:tcBorders>
              <w:top w:val="single" w:sz="8" w:color="2360A6"/>
            </w:tcBorders>
          </w:tcPr>
          <w:p>
            <w:pPr>
              <w:spacing w:after="0"/>
              <w:rPr>
                <w:sz w:val="22"/>
                <w:szCs w:val="22"/>
                <w:color w:val="auto"/>
              </w:rPr>
            </w:pPr>
          </w:p>
        </w:tc>
      </w:tr>
      <w:tr>
        <w:trPr>
          <w:trHeight w:val="257"/>
        </w:trPr>
        <w:tc>
          <w:tcPr>
            <w:tcW w:w="2240" w:type="dxa"/>
            <w:vAlign w:val="bottom"/>
            <w:tcBorders>
              <w:top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3"/>
                <w:szCs w:val="13"/>
                <w:b w:val="1"/>
                <w:bCs w:val="1"/>
                <w:color w:val="2360A6"/>
              </w:rPr>
              <w:t>AS OF DECEMBER 31, 2016</w:t>
            </w:r>
          </w:p>
        </w:tc>
        <w:tc>
          <w:tcPr>
            <w:tcW w:w="860" w:type="dxa"/>
            <w:vAlign w:val="bottom"/>
            <w:tcBorders>
              <w:top w:val="single" w:sz="8" w:color="2360A6"/>
              <w:bottom w:val="single" w:sz="8" w:color="2360A6"/>
              <w:right w:val="single" w:sz="8" w:color="2360A6"/>
            </w:tcBorders>
            <w:shd w:val="clear" w:color="auto" w:fill="D2DEEC"/>
          </w:tcPr>
          <w:p>
            <w:pPr>
              <w:spacing w:after="0"/>
              <w:rPr>
                <w:sz w:val="22"/>
                <w:szCs w:val="22"/>
                <w:color w:val="auto"/>
              </w:rPr>
            </w:pPr>
          </w:p>
        </w:tc>
        <w:tc>
          <w:tcPr>
            <w:tcW w:w="860" w:type="dxa"/>
            <w:vAlign w:val="bottom"/>
            <w:tcBorders>
              <w:top w:val="single" w:sz="8" w:color="2360A6"/>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379.1</w:t>
            </w:r>
          </w:p>
        </w:tc>
        <w:tc>
          <w:tcPr>
            <w:tcW w:w="740" w:type="dxa"/>
            <w:vAlign w:val="bottom"/>
            <w:tcBorders>
              <w:top w:val="single" w:sz="8" w:color="2360A6"/>
              <w:bottom w:val="single" w:sz="8" w:color="2360A6"/>
              <w:right w:val="single" w:sz="8" w:color="2360A6"/>
            </w:tcBorders>
            <w:shd w:val="clear" w:color="auto" w:fill="D2DEEC"/>
          </w:tcPr>
          <w:p>
            <w:pPr>
              <w:spacing w:after="0"/>
              <w:rPr>
                <w:sz w:val="22"/>
                <w:szCs w:val="22"/>
                <w:color w:val="auto"/>
              </w:rPr>
            </w:pPr>
          </w:p>
        </w:tc>
        <w:tc>
          <w:tcPr>
            <w:tcW w:w="740" w:type="dxa"/>
            <w:vAlign w:val="bottom"/>
            <w:tcBorders>
              <w:top w:val="single" w:sz="8" w:color="2360A6"/>
              <w:bottom w:val="single" w:sz="8" w:color="2360A6"/>
              <w:right w:val="single" w:sz="8" w:color="2360A6"/>
            </w:tcBorders>
            <w:shd w:val="clear" w:color="auto" w:fill="D2DEEC"/>
          </w:tcPr>
          <w:p>
            <w:pPr>
              <w:jc w:val="right"/>
              <w:ind w:right="77"/>
              <w:spacing w:after="0"/>
              <w:rPr>
                <w:sz w:val="20"/>
                <w:szCs w:val="20"/>
                <w:color w:val="auto"/>
              </w:rPr>
            </w:pPr>
            <w:r>
              <w:rPr>
                <w:rFonts w:ascii="Arial" w:cs="Arial" w:eastAsia="Arial" w:hAnsi="Arial"/>
                <w:sz w:val="13"/>
                <w:szCs w:val="13"/>
                <w:b w:val="1"/>
                <w:bCs w:val="1"/>
                <w:color w:val="2360A6"/>
              </w:rPr>
              <w:t>217.7</w:t>
            </w:r>
          </w:p>
        </w:tc>
        <w:tc>
          <w:tcPr>
            <w:tcW w:w="1060" w:type="dxa"/>
            <w:vAlign w:val="bottom"/>
            <w:tcBorders>
              <w:top w:val="single" w:sz="8" w:color="2360A6"/>
              <w:bottom w:val="single" w:sz="8" w:color="2360A6"/>
              <w:right w:val="single" w:sz="8" w:color="2360A6"/>
            </w:tcBorders>
            <w:gridSpan w:val="2"/>
            <w:shd w:val="clear" w:color="auto" w:fill="D2DEEC"/>
          </w:tcPr>
          <w:p>
            <w:pPr>
              <w:spacing w:after="0"/>
              <w:rPr>
                <w:sz w:val="22"/>
                <w:szCs w:val="22"/>
                <w:color w:val="auto"/>
              </w:rPr>
            </w:pPr>
          </w:p>
        </w:tc>
        <w:tc>
          <w:tcPr>
            <w:tcW w:w="720" w:type="dxa"/>
            <w:vAlign w:val="bottom"/>
            <w:tcBorders>
              <w:top w:val="single" w:sz="8" w:color="2360A6"/>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161.4</w:t>
            </w:r>
          </w:p>
        </w:tc>
        <w:tc>
          <w:tcPr>
            <w:tcW w:w="1040" w:type="dxa"/>
            <w:vAlign w:val="bottom"/>
            <w:tcBorders>
              <w:top w:val="single" w:sz="8" w:color="2360A6"/>
              <w:bottom w:val="single" w:sz="8" w:color="2360A6"/>
              <w:right w:val="single" w:sz="8" w:color="2360A6"/>
            </w:tcBorders>
            <w:shd w:val="clear" w:color="auto" w:fill="D2DEEC"/>
          </w:tcPr>
          <w:p>
            <w:pPr>
              <w:jc w:val="right"/>
              <w:ind w:right="57"/>
              <w:spacing w:after="0"/>
              <w:rPr>
                <w:sz w:val="20"/>
                <w:szCs w:val="20"/>
                <w:color w:val="auto"/>
              </w:rPr>
            </w:pPr>
            <w:r>
              <w:rPr>
                <w:rFonts w:ascii="Arial" w:cs="Arial" w:eastAsia="Arial" w:hAnsi="Arial"/>
                <w:sz w:val="13"/>
                <w:szCs w:val="13"/>
                <w:b w:val="1"/>
                <w:bCs w:val="1"/>
                <w:color w:val="2360A6"/>
              </w:rPr>
              <w:t>66.1</w:t>
            </w:r>
          </w:p>
        </w:tc>
        <w:tc>
          <w:tcPr>
            <w:tcW w:w="2280" w:type="dxa"/>
            <w:vAlign w:val="bottom"/>
            <w:tcBorders>
              <w:top w:val="single" w:sz="8" w:color="2360A6"/>
              <w:bottom w:val="single" w:sz="8" w:color="2360A6"/>
            </w:tcBorders>
            <w:shd w:val="clear" w:color="auto" w:fill="D2DEEC"/>
          </w:tcPr>
          <w:p>
            <w:pPr>
              <w:jc w:val="right"/>
              <w:ind w:right="17"/>
              <w:spacing w:after="0"/>
              <w:rPr>
                <w:sz w:val="20"/>
                <w:szCs w:val="20"/>
                <w:color w:val="auto"/>
              </w:rPr>
            </w:pPr>
            <w:r>
              <w:rPr>
                <w:rFonts w:ascii="Arial" w:cs="Arial" w:eastAsia="Arial" w:hAnsi="Arial"/>
                <w:sz w:val="13"/>
                <w:szCs w:val="13"/>
                <w:b w:val="1"/>
                <w:bCs w:val="1"/>
                <w:color w:val="2360A6"/>
              </w:rPr>
              <w:t>227.5</w:t>
            </w:r>
          </w:p>
        </w:tc>
        <w:tc>
          <w:tcPr>
            <w:tcW w:w="20" w:type="dxa"/>
            <w:vAlign w:val="bottom"/>
            <w:tcBorders>
              <w:top w:val="single" w:sz="8" w:color="2360A6"/>
              <w:bottom w:val="single" w:sz="8" w:color="2360A6"/>
            </w:tcBorders>
          </w:tcPr>
          <w:p>
            <w:pPr>
              <w:spacing w:after="0"/>
              <w:rPr>
                <w:sz w:val="22"/>
                <w:szCs w:val="22"/>
                <w:color w:val="auto"/>
              </w:rPr>
            </w:pPr>
          </w:p>
        </w:tc>
      </w:tr>
    </w:tbl>
    <w:p>
      <w:pPr>
        <w:spacing w:after="0" w:line="24" w:lineRule="exact"/>
        <w:rPr>
          <w:sz w:val="20"/>
          <w:szCs w:val="20"/>
          <w:color w:val="auto"/>
        </w:rPr>
      </w:pPr>
    </w:p>
    <w:p>
      <w:pPr>
        <w:ind w:left="360"/>
        <w:spacing w:after="0"/>
        <w:rPr>
          <w:sz w:val="20"/>
          <w:szCs w:val="20"/>
          <w:color w:val="auto"/>
        </w:rPr>
      </w:pPr>
      <w:r>
        <w:rPr>
          <w:rFonts w:ascii="Arial" w:cs="Arial" w:eastAsia="Arial" w:hAnsi="Arial"/>
          <w:sz w:val="11"/>
          <w:szCs w:val="11"/>
          <w:color w:val="auto"/>
        </w:rPr>
        <w:t>(1) Impact of the disposal of Technip Germany GmbH in March 2016</w:t>
      </w:r>
    </w:p>
    <w:p>
      <w:pPr>
        <w:sectPr>
          <w:pgSz w:w="11900" w:h="16838" w:orient="portrait"/>
          <w:cols w:equalWidth="0" w:num="1">
            <w:col w:w="10880"/>
          </w:cols>
          <w:pgMar w:left="360" w:top="930" w:right="659" w:bottom="144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231F20"/>
        </w:rPr>
        <w:t>In 2016, the discounted defined benefit obligation included €261.9 million for funded plans and €106.3 million for unfunded plan assets.</w:t>
      </w:r>
    </w:p>
    <w:p>
      <w:pPr>
        <w:sectPr>
          <w:pgSz w:w="11900" w:h="16838" w:orient="portrait"/>
          <w:cols w:equalWidth="0" w:num="1">
            <w:col w:w="10880"/>
          </w:cols>
          <w:pgMar w:left="360" w:top="930" w:right="659" w:bottom="1440" w:gutter="0" w:footer="0" w:header="0"/>
          <w:type w:val="continuous"/>
        </w:sectPr>
      </w:pPr>
    </w:p>
    <w:bookmarkStart w:id="148" w:name="page149"/>
    <w:bookmarkEnd w:id="148"/>
    <w:p>
      <w:pPr>
        <w:ind w:left="120"/>
        <w:spacing w:after="0"/>
        <w:rPr>
          <w:sz w:val="20"/>
          <w:szCs w:val="20"/>
          <w:color w:val="auto"/>
        </w:rPr>
      </w:pPr>
      <w:r>
        <w:rPr>
          <w:rFonts w:ascii="Arial" w:cs="Arial" w:eastAsia="Arial" w:hAnsi="Arial"/>
          <w:sz w:val="16"/>
          <w:szCs w:val="16"/>
          <w:color w:val="231F20"/>
        </w:rPr>
        <w:t>Below are the details of the principal categories of plan assets by country in terms of percentage of their total fair value: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2360A6"/>
        </w:rPr>
        <w:t>2016</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4480" w:type="dxa"/>
            <w:vAlign w:val="bottom"/>
            <w:tcBorders>
              <w:top w:val="single" w:sz="8" w:color="2360A6"/>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w:t>
            </w:r>
          </w:p>
        </w:tc>
        <w:tc>
          <w:tcPr>
            <w:tcW w:w="116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Bonds</w:t>
            </w:r>
          </w:p>
        </w:tc>
        <w:tc>
          <w:tcPr>
            <w:tcW w:w="114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Shares</w:t>
            </w:r>
          </w:p>
        </w:tc>
        <w:tc>
          <w:tcPr>
            <w:tcW w:w="148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Real Estate</w:t>
            </w:r>
          </w:p>
        </w:tc>
        <w:tc>
          <w:tcPr>
            <w:tcW w:w="102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Cash</w:t>
            </w:r>
          </w:p>
        </w:tc>
        <w:tc>
          <w:tcPr>
            <w:tcW w:w="114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Other</w:t>
            </w:r>
          </w:p>
        </w:tc>
        <w:tc>
          <w:tcPr>
            <w:tcW w:w="102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Total</w:t>
            </w:r>
          </w:p>
        </w:tc>
      </w:tr>
      <w:tr>
        <w:trPr>
          <w:trHeight w:val="210"/>
        </w:trPr>
        <w:tc>
          <w:tcPr>
            <w:tcW w:w="44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Euroland</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0%</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100%</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100%</w:t>
            </w:r>
          </w:p>
        </w:tc>
      </w:tr>
      <w:tr>
        <w:trPr>
          <w:trHeight w:val="210"/>
        </w:trPr>
        <w:tc>
          <w:tcPr>
            <w:tcW w:w="44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United Kingdom</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48%</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28%</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3%</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0%</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21%</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100%</w:t>
            </w:r>
          </w:p>
        </w:tc>
      </w:tr>
      <w:tr>
        <w:trPr>
          <w:trHeight w:val="258"/>
        </w:trPr>
        <w:tc>
          <w:tcPr>
            <w:tcW w:w="4480" w:type="dxa"/>
            <w:vAlign w:val="bottom"/>
          </w:tcPr>
          <w:p>
            <w:pPr>
              <w:ind w:left="120"/>
              <w:spacing w:after="0"/>
              <w:rPr>
                <w:sz w:val="20"/>
                <w:szCs w:val="20"/>
                <w:color w:val="auto"/>
              </w:rPr>
            </w:pPr>
            <w:r>
              <w:rPr>
                <w:rFonts w:ascii="Arial" w:cs="Arial" w:eastAsia="Arial" w:hAnsi="Arial"/>
                <w:sz w:val="14"/>
                <w:szCs w:val="14"/>
                <w:b w:val="1"/>
                <w:bCs w:val="1"/>
                <w:color w:val="2360A6"/>
              </w:rPr>
              <w:t>2015</w:t>
            </w:r>
          </w:p>
        </w:tc>
        <w:tc>
          <w:tcPr>
            <w:tcW w:w="1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120"/>
        </w:trPr>
        <w:tc>
          <w:tcPr>
            <w:tcW w:w="4480" w:type="dxa"/>
            <w:vAlign w:val="bottom"/>
            <w:tcBorders>
              <w:bottom w:val="single" w:sz="8" w:color="2360A6"/>
            </w:tcBorders>
          </w:tcPr>
          <w:p>
            <w:pPr>
              <w:spacing w:after="0"/>
              <w:rPr>
                <w:sz w:val="10"/>
                <w:szCs w:val="10"/>
                <w:color w:val="auto"/>
              </w:rPr>
            </w:pPr>
          </w:p>
        </w:tc>
        <w:tc>
          <w:tcPr>
            <w:tcW w:w="1160" w:type="dxa"/>
            <w:vAlign w:val="bottom"/>
            <w:tcBorders>
              <w:bottom w:val="single" w:sz="8" w:color="2360A6"/>
            </w:tcBorders>
          </w:tcPr>
          <w:p>
            <w:pPr>
              <w:spacing w:after="0"/>
              <w:rPr>
                <w:sz w:val="10"/>
                <w:szCs w:val="10"/>
                <w:color w:val="auto"/>
              </w:rPr>
            </w:pPr>
          </w:p>
        </w:tc>
        <w:tc>
          <w:tcPr>
            <w:tcW w:w="1140" w:type="dxa"/>
            <w:vAlign w:val="bottom"/>
            <w:tcBorders>
              <w:bottom w:val="single" w:sz="8" w:color="2360A6"/>
            </w:tcBorders>
          </w:tcPr>
          <w:p>
            <w:pPr>
              <w:spacing w:after="0"/>
              <w:rPr>
                <w:sz w:val="10"/>
                <w:szCs w:val="10"/>
                <w:color w:val="auto"/>
              </w:rPr>
            </w:pPr>
          </w:p>
        </w:tc>
        <w:tc>
          <w:tcPr>
            <w:tcW w:w="1480" w:type="dxa"/>
            <w:vAlign w:val="bottom"/>
            <w:tcBorders>
              <w:bottom w:val="single" w:sz="8" w:color="2360A6"/>
            </w:tcBorders>
          </w:tcPr>
          <w:p>
            <w:pPr>
              <w:spacing w:after="0"/>
              <w:rPr>
                <w:sz w:val="10"/>
                <w:szCs w:val="10"/>
                <w:color w:val="auto"/>
              </w:rPr>
            </w:pPr>
          </w:p>
        </w:tc>
        <w:tc>
          <w:tcPr>
            <w:tcW w:w="1020" w:type="dxa"/>
            <w:vAlign w:val="bottom"/>
            <w:tcBorders>
              <w:bottom w:val="single" w:sz="8" w:color="2360A6"/>
            </w:tcBorders>
          </w:tcPr>
          <w:p>
            <w:pPr>
              <w:spacing w:after="0"/>
              <w:rPr>
                <w:sz w:val="10"/>
                <w:szCs w:val="10"/>
                <w:color w:val="auto"/>
              </w:rPr>
            </w:pPr>
          </w:p>
        </w:tc>
        <w:tc>
          <w:tcPr>
            <w:tcW w:w="1140" w:type="dxa"/>
            <w:vAlign w:val="bottom"/>
            <w:tcBorders>
              <w:bottom w:val="single" w:sz="8" w:color="2360A6"/>
            </w:tcBorders>
          </w:tcPr>
          <w:p>
            <w:pPr>
              <w:spacing w:after="0"/>
              <w:rPr>
                <w:sz w:val="10"/>
                <w:szCs w:val="10"/>
                <w:color w:val="auto"/>
              </w:rPr>
            </w:pPr>
          </w:p>
        </w:tc>
        <w:tc>
          <w:tcPr>
            <w:tcW w:w="1020" w:type="dxa"/>
            <w:vAlign w:val="bottom"/>
            <w:tcBorders>
              <w:bottom w:val="single" w:sz="8" w:color="2360A6"/>
            </w:tcBorders>
          </w:tcPr>
          <w:p>
            <w:pPr>
              <w:spacing w:after="0"/>
              <w:rPr>
                <w:sz w:val="10"/>
                <w:szCs w:val="10"/>
                <w:color w:val="auto"/>
              </w:rPr>
            </w:pPr>
          </w:p>
        </w:tc>
      </w:tr>
      <w:tr>
        <w:trPr>
          <w:trHeight w:val="204"/>
        </w:trPr>
        <w:tc>
          <w:tcPr>
            <w:tcW w:w="44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Bonds</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Shares</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Real Estate</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Cash</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Other</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Total</w:t>
            </w:r>
          </w:p>
        </w:tc>
      </w:tr>
      <w:tr>
        <w:trPr>
          <w:trHeight w:val="210"/>
        </w:trPr>
        <w:tc>
          <w:tcPr>
            <w:tcW w:w="44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Euroland</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100%</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4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United Kingdom</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45%</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27%</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25%</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4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r>
      <w:tr>
        <w:trPr>
          <w:trHeight w:val="285"/>
        </w:trPr>
        <w:tc>
          <w:tcPr>
            <w:tcW w:w="4480" w:type="dxa"/>
            <w:vAlign w:val="bottom"/>
          </w:tcPr>
          <w:p>
            <w:pPr>
              <w:ind w:left="120"/>
              <w:spacing w:after="0"/>
              <w:rPr>
                <w:sz w:val="20"/>
                <w:szCs w:val="20"/>
                <w:color w:val="auto"/>
              </w:rPr>
            </w:pPr>
            <w:r>
              <w:rPr>
                <w:rFonts w:ascii="Arial" w:cs="Arial" w:eastAsia="Arial" w:hAnsi="Arial"/>
                <w:sz w:val="14"/>
                <w:szCs w:val="14"/>
                <w:b w:val="1"/>
                <w:bCs w:val="1"/>
                <w:color w:val="2360A6"/>
              </w:rPr>
              <w:t>2014</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0"/>
        </w:trPr>
        <w:tc>
          <w:tcPr>
            <w:tcW w:w="4480" w:type="dxa"/>
            <w:vAlign w:val="bottom"/>
            <w:tcBorders>
              <w:bottom w:val="single" w:sz="8" w:color="2360A6"/>
            </w:tcBorders>
          </w:tcPr>
          <w:p>
            <w:pPr>
              <w:spacing w:after="0"/>
              <w:rPr>
                <w:sz w:val="10"/>
                <w:szCs w:val="10"/>
                <w:color w:val="auto"/>
              </w:rPr>
            </w:pPr>
          </w:p>
        </w:tc>
        <w:tc>
          <w:tcPr>
            <w:tcW w:w="1160" w:type="dxa"/>
            <w:vAlign w:val="bottom"/>
            <w:tcBorders>
              <w:bottom w:val="single" w:sz="8" w:color="2360A6"/>
            </w:tcBorders>
          </w:tcPr>
          <w:p>
            <w:pPr>
              <w:spacing w:after="0"/>
              <w:rPr>
                <w:sz w:val="10"/>
                <w:szCs w:val="10"/>
                <w:color w:val="auto"/>
              </w:rPr>
            </w:pPr>
          </w:p>
        </w:tc>
        <w:tc>
          <w:tcPr>
            <w:tcW w:w="1140" w:type="dxa"/>
            <w:vAlign w:val="bottom"/>
            <w:tcBorders>
              <w:bottom w:val="single" w:sz="8" w:color="2360A6"/>
            </w:tcBorders>
          </w:tcPr>
          <w:p>
            <w:pPr>
              <w:spacing w:after="0"/>
              <w:rPr>
                <w:sz w:val="10"/>
                <w:szCs w:val="10"/>
                <w:color w:val="auto"/>
              </w:rPr>
            </w:pPr>
          </w:p>
        </w:tc>
        <w:tc>
          <w:tcPr>
            <w:tcW w:w="1480" w:type="dxa"/>
            <w:vAlign w:val="bottom"/>
            <w:tcBorders>
              <w:bottom w:val="single" w:sz="8" w:color="2360A6"/>
            </w:tcBorders>
          </w:tcPr>
          <w:p>
            <w:pPr>
              <w:spacing w:after="0"/>
              <w:rPr>
                <w:sz w:val="10"/>
                <w:szCs w:val="10"/>
                <w:color w:val="auto"/>
              </w:rPr>
            </w:pPr>
          </w:p>
        </w:tc>
        <w:tc>
          <w:tcPr>
            <w:tcW w:w="1020" w:type="dxa"/>
            <w:vAlign w:val="bottom"/>
            <w:tcBorders>
              <w:bottom w:val="single" w:sz="8" w:color="2360A6"/>
            </w:tcBorders>
          </w:tcPr>
          <w:p>
            <w:pPr>
              <w:spacing w:after="0"/>
              <w:rPr>
                <w:sz w:val="10"/>
                <w:szCs w:val="10"/>
                <w:color w:val="auto"/>
              </w:rPr>
            </w:pPr>
          </w:p>
        </w:tc>
        <w:tc>
          <w:tcPr>
            <w:tcW w:w="1140" w:type="dxa"/>
            <w:vAlign w:val="bottom"/>
            <w:tcBorders>
              <w:bottom w:val="single" w:sz="8" w:color="2360A6"/>
            </w:tcBorders>
          </w:tcPr>
          <w:p>
            <w:pPr>
              <w:spacing w:after="0"/>
              <w:rPr>
                <w:sz w:val="10"/>
                <w:szCs w:val="10"/>
                <w:color w:val="auto"/>
              </w:rPr>
            </w:pPr>
          </w:p>
        </w:tc>
        <w:tc>
          <w:tcPr>
            <w:tcW w:w="1020" w:type="dxa"/>
            <w:vAlign w:val="bottom"/>
            <w:tcBorders>
              <w:bottom w:val="single" w:sz="8" w:color="2360A6"/>
            </w:tcBorders>
          </w:tcPr>
          <w:p>
            <w:pPr>
              <w:spacing w:after="0"/>
              <w:rPr>
                <w:sz w:val="10"/>
                <w:szCs w:val="10"/>
                <w:color w:val="auto"/>
              </w:rPr>
            </w:pPr>
          </w:p>
        </w:tc>
      </w:tr>
      <w:tr>
        <w:trPr>
          <w:trHeight w:val="204"/>
        </w:trPr>
        <w:tc>
          <w:tcPr>
            <w:tcW w:w="44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Bonds</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Shares</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Real Estate</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Cash</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Other</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Total</w:t>
            </w:r>
          </w:p>
        </w:tc>
      </w:tr>
      <w:tr>
        <w:trPr>
          <w:trHeight w:val="210"/>
        </w:trPr>
        <w:tc>
          <w:tcPr>
            <w:tcW w:w="44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Euroland</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98%</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4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United Kingdom</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46%</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30%</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32%</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100%</w:t>
            </w:r>
          </w:p>
        </w:tc>
      </w:tr>
      <w:tr>
        <w:trPr>
          <w:trHeight w:val="210"/>
        </w:trPr>
        <w:tc>
          <w:tcPr>
            <w:tcW w:w="44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59%</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8%</w:t>
            </w:r>
          </w:p>
        </w:tc>
        <w:tc>
          <w:tcPr>
            <w:tcW w:w="14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-14%</w:t>
            </w:r>
          </w:p>
        </w:tc>
        <w:tc>
          <w:tcPr>
            <w:tcW w:w="11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47%</w:t>
            </w:r>
          </w:p>
        </w:tc>
        <w:tc>
          <w:tcPr>
            <w:tcW w:w="10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100%</w:t>
            </w:r>
          </w:p>
        </w:tc>
      </w:tr>
    </w:tbl>
    <w:p>
      <w:pPr>
        <w:spacing w:after="0" w:line="294"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231F20"/>
        </w:rPr>
        <w:t>(D) Actuarial Assumptions</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The main assumptions on the two zones that make up more than 90% at the end of 2016 of the benefit obligations are detailed in the following table:</w:t>
      </w:r>
    </w:p>
    <w:p>
      <w:pPr>
        <w:spacing w:after="0" w:line="118" w:lineRule="exact"/>
        <w:rPr>
          <w:sz w:val="20"/>
          <w:szCs w:val="20"/>
          <w:color w:val="auto"/>
        </w:rPr>
      </w:pPr>
    </w:p>
    <w:tbl>
      <w:tblPr>
        <w:tblLayout w:type="fixed"/>
        <w:tblInd w:w="430" w:type="dxa"/>
        <w:tblCellMar>
          <w:top w:w="0" w:type="dxa"/>
          <w:left w:w="0" w:type="dxa"/>
          <w:bottom w:w="0" w:type="dxa"/>
          <w:right w:w="0" w:type="dxa"/>
        </w:tblCellMar>
      </w:tblPr>
      <w:tr>
        <w:trPr>
          <w:trHeight w:val="223"/>
        </w:trPr>
        <w:tc>
          <w:tcPr>
            <w:tcW w:w="4480" w:type="dxa"/>
            <w:vAlign w:val="bottom"/>
            <w:tcBorders>
              <w:top w:val="single" w:sz="8" w:color="2360A6"/>
              <w:left w:val="single" w:sz="8" w:color="2360A6"/>
              <w:right w:val="single" w:sz="8" w:color="2360A6"/>
            </w:tcBorders>
          </w:tcPr>
          <w:p>
            <w:pPr>
              <w:spacing w:after="0"/>
              <w:rPr>
                <w:sz w:val="19"/>
                <w:szCs w:val="19"/>
                <w:color w:val="auto"/>
              </w:rPr>
            </w:pPr>
          </w:p>
        </w:tc>
        <w:tc>
          <w:tcPr>
            <w:tcW w:w="150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2480" w:type="dxa"/>
            <w:vAlign w:val="bottom"/>
            <w:tcBorders>
              <w:top w:val="single" w:sz="8" w:color="2360A6"/>
              <w:bottom w:val="single" w:sz="8" w:color="2360A6"/>
            </w:tcBorders>
            <w:gridSpan w:val="2"/>
            <w:shd w:val="clear" w:color="auto" w:fill="2360A6"/>
          </w:tcPr>
          <w:p>
            <w:pPr>
              <w:ind w:left="700"/>
              <w:spacing w:after="0"/>
              <w:rPr>
                <w:sz w:val="20"/>
                <w:szCs w:val="20"/>
                <w:color w:val="auto"/>
              </w:rPr>
            </w:pPr>
            <w:r>
              <w:rPr>
                <w:rFonts w:ascii="Arial" w:cs="Arial" w:eastAsia="Arial" w:hAnsi="Arial"/>
                <w:sz w:val="14"/>
                <w:szCs w:val="14"/>
                <w:b w:val="1"/>
                <w:bCs w:val="1"/>
                <w:color w:val="FFFFFF"/>
              </w:rPr>
              <w:t>As of December 31, 2016</w:t>
            </w:r>
          </w:p>
        </w:tc>
        <w:tc>
          <w:tcPr>
            <w:tcW w:w="122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94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4480" w:type="dxa"/>
            <w:vAlign w:val="bottom"/>
            <w:tcBorders>
              <w:left w:val="single" w:sz="8" w:color="2360A6"/>
              <w:right w:val="single" w:sz="8" w:color="2360A6"/>
            </w:tcBorders>
          </w:tcPr>
          <w:p>
            <w:pPr>
              <w:spacing w:after="0"/>
              <w:rPr>
                <w:sz w:val="24"/>
                <w:szCs w:val="24"/>
                <w:color w:val="auto"/>
              </w:rPr>
            </w:pPr>
          </w:p>
        </w:tc>
        <w:tc>
          <w:tcPr>
            <w:tcW w:w="1500" w:type="dxa"/>
            <w:vAlign w:val="bottom"/>
            <w:tcBorders>
              <w:right w:val="single" w:sz="8" w:color="2360A6"/>
            </w:tcBorders>
            <w:shd w:val="clear" w:color="auto" w:fill="DCDDDE"/>
          </w:tcPr>
          <w:p>
            <w:pPr>
              <w:spacing w:after="0"/>
              <w:rPr>
                <w:sz w:val="24"/>
                <w:szCs w:val="24"/>
                <w:color w:val="auto"/>
              </w:rPr>
            </w:pPr>
          </w:p>
        </w:tc>
        <w:tc>
          <w:tcPr>
            <w:tcW w:w="2120" w:type="dxa"/>
            <w:vAlign w:val="bottom"/>
            <w:tcBorders>
              <w:right w:val="single" w:sz="8" w:color="2360A6"/>
            </w:tcBorders>
            <w:shd w:val="clear" w:color="auto" w:fill="DCDDDE"/>
          </w:tcPr>
          <w:p>
            <w:pPr>
              <w:jc w:val="right"/>
              <w:spacing w:after="0"/>
              <w:rPr>
                <w:sz w:val="20"/>
                <w:szCs w:val="20"/>
                <w:color w:val="auto"/>
              </w:rPr>
            </w:pPr>
            <w:r>
              <w:rPr>
                <w:rFonts w:ascii="Arial" w:cs="Arial" w:eastAsia="Arial" w:hAnsi="Arial"/>
                <w:sz w:val="14"/>
                <w:szCs w:val="14"/>
                <w:b w:val="1"/>
                <w:bCs w:val="1"/>
                <w:color w:val="2360A6"/>
              </w:rPr>
              <w:t>Future Salary Increase</w:t>
            </w:r>
          </w:p>
        </w:tc>
        <w:tc>
          <w:tcPr>
            <w:tcW w:w="360" w:type="dxa"/>
            <w:vAlign w:val="bottom"/>
            <w:shd w:val="clear" w:color="auto" w:fill="DCDDDE"/>
          </w:tcPr>
          <w:p>
            <w:pPr>
              <w:spacing w:after="0"/>
              <w:rPr>
                <w:sz w:val="24"/>
                <w:szCs w:val="24"/>
                <w:color w:val="auto"/>
              </w:rPr>
            </w:pPr>
          </w:p>
        </w:tc>
        <w:tc>
          <w:tcPr>
            <w:tcW w:w="1220" w:type="dxa"/>
            <w:vAlign w:val="bottom"/>
            <w:tcBorders>
              <w:right w:val="single" w:sz="8" w:color="2360A6"/>
            </w:tcBorders>
            <w:shd w:val="clear" w:color="auto" w:fill="DCDDDE"/>
          </w:tcPr>
          <w:p>
            <w:pPr>
              <w:jc w:val="right"/>
              <w:spacing w:after="0"/>
              <w:rPr>
                <w:sz w:val="20"/>
                <w:szCs w:val="20"/>
                <w:color w:val="auto"/>
              </w:rPr>
            </w:pPr>
            <w:r>
              <w:rPr>
                <w:rFonts w:ascii="Arial" w:cs="Arial" w:eastAsia="Arial" w:hAnsi="Arial"/>
                <w:sz w:val="14"/>
                <w:szCs w:val="14"/>
                <w:b w:val="1"/>
                <w:bCs w:val="1"/>
                <w:color w:val="2360A6"/>
              </w:rPr>
              <w:t>Healthcare Cost</w:t>
            </w:r>
          </w:p>
        </w:tc>
        <w:tc>
          <w:tcPr>
            <w:tcW w:w="940" w:type="dxa"/>
            <w:vAlign w:val="bottom"/>
            <w:tcBorders>
              <w:right w:val="single" w:sz="8" w:color="2360A6"/>
            </w:tcBorders>
            <w:shd w:val="clear" w:color="auto" w:fill="DCDDDE"/>
          </w:tcPr>
          <w:p>
            <w:pPr>
              <w:jc w:val="right"/>
              <w:spacing w:after="0"/>
              <w:rPr>
                <w:sz w:val="20"/>
                <w:szCs w:val="20"/>
                <w:color w:val="auto"/>
              </w:rPr>
            </w:pPr>
            <w:r>
              <w:rPr>
                <w:rFonts w:ascii="Arial" w:cs="Arial" w:eastAsia="Arial" w:hAnsi="Arial"/>
                <w:sz w:val="14"/>
                <w:szCs w:val="14"/>
                <w:b w:val="1"/>
                <w:bCs w:val="1"/>
                <w:color w:val="2360A6"/>
              </w:rPr>
              <w:t>Inflation</w:t>
            </w:r>
          </w:p>
        </w:tc>
        <w:tc>
          <w:tcPr>
            <w:tcW w:w="0" w:type="dxa"/>
            <w:vAlign w:val="bottom"/>
          </w:tcPr>
          <w:p>
            <w:pPr>
              <w:spacing w:after="0"/>
              <w:rPr>
                <w:sz w:val="1"/>
                <w:szCs w:val="1"/>
                <w:color w:val="auto"/>
              </w:rPr>
            </w:pPr>
          </w:p>
        </w:tc>
      </w:tr>
      <w:tr>
        <w:trPr>
          <w:trHeight w:val="196"/>
        </w:trPr>
        <w:tc>
          <w:tcPr>
            <w:tcW w:w="4480" w:type="dxa"/>
            <w:vAlign w:val="bottom"/>
            <w:tcBorders>
              <w:left w:val="single" w:sz="8" w:color="2360A6"/>
              <w:bottom w:val="single" w:sz="8" w:color="2360A6"/>
              <w:right w:val="single" w:sz="8" w:color="2360A6"/>
            </w:tcBorders>
          </w:tcPr>
          <w:p>
            <w:pPr>
              <w:spacing w:after="0"/>
              <w:rPr>
                <w:sz w:val="17"/>
                <w:szCs w:val="17"/>
                <w:color w:val="auto"/>
              </w:rPr>
            </w:pPr>
          </w:p>
        </w:tc>
        <w:tc>
          <w:tcPr>
            <w:tcW w:w="150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b w:val="1"/>
                <w:bCs w:val="1"/>
                <w:color w:val="2360A6"/>
              </w:rPr>
              <w:t>Discount Rate</w:t>
            </w:r>
          </w:p>
        </w:tc>
        <w:tc>
          <w:tcPr>
            <w:tcW w:w="21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b w:val="1"/>
                <w:bCs w:val="1"/>
                <w:color w:val="2360A6"/>
              </w:rPr>
              <w:t>(above Inflation Rate)</w:t>
            </w:r>
          </w:p>
        </w:tc>
        <w:tc>
          <w:tcPr>
            <w:tcW w:w="360" w:type="dxa"/>
            <w:vAlign w:val="bottom"/>
            <w:tcBorders>
              <w:bottom w:val="single" w:sz="8" w:color="2360A6"/>
            </w:tcBorders>
            <w:shd w:val="clear" w:color="auto" w:fill="DCDDDE"/>
          </w:tcPr>
          <w:p>
            <w:pPr>
              <w:spacing w:after="0"/>
              <w:rPr>
                <w:sz w:val="17"/>
                <w:szCs w:val="17"/>
                <w:color w:val="auto"/>
              </w:rPr>
            </w:pPr>
          </w:p>
        </w:tc>
        <w:tc>
          <w:tcPr>
            <w:tcW w:w="12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b w:val="1"/>
                <w:bCs w:val="1"/>
                <w:color w:val="2360A6"/>
              </w:rPr>
              <w:t>Increase Rate</w:t>
            </w:r>
          </w:p>
        </w:tc>
        <w:tc>
          <w:tcPr>
            <w:tcW w:w="94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b w:val="1"/>
                <w:bCs w:val="1"/>
                <w:color w:val="2360A6"/>
              </w:rPr>
              <w:t>Rate</w:t>
            </w:r>
          </w:p>
        </w:tc>
        <w:tc>
          <w:tcPr>
            <w:tcW w:w="0" w:type="dxa"/>
            <w:vAlign w:val="bottom"/>
          </w:tcPr>
          <w:p>
            <w:pPr>
              <w:spacing w:after="0"/>
              <w:rPr>
                <w:sz w:val="1"/>
                <w:szCs w:val="1"/>
                <w:color w:val="auto"/>
              </w:rPr>
            </w:pPr>
          </w:p>
        </w:tc>
      </w:tr>
      <w:tr>
        <w:trPr>
          <w:trHeight w:val="193"/>
        </w:trPr>
        <w:tc>
          <w:tcPr>
            <w:tcW w:w="4480" w:type="dxa"/>
            <w:vAlign w:val="bottom"/>
            <w:tcBorders>
              <w:left w:val="single" w:sz="8" w:color="2360A6"/>
              <w:right w:val="single" w:sz="8" w:color="2360A6"/>
            </w:tcBorders>
            <w:vMerge w:val="restart"/>
          </w:tcPr>
          <w:p>
            <w:pPr>
              <w:ind w:left="20"/>
              <w:spacing w:after="0"/>
              <w:rPr>
                <w:sz w:val="20"/>
                <w:szCs w:val="20"/>
                <w:color w:val="auto"/>
              </w:rPr>
            </w:pPr>
            <w:r>
              <w:rPr>
                <w:rFonts w:ascii="Arial" w:cs="Arial" w:eastAsia="Arial" w:hAnsi="Arial"/>
                <w:sz w:val="14"/>
                <w:szCs w:val="14"/>
                <w:color w:val="231F20"/>
              </w:rPr>
              <w:t>Euroland</w:t>
            </w:r>
          </w:p>
        </w:tc>
        <w:tc>
          <w:tcPr>
            <w:tcW w:w="1500" w:type="dxa"/>
            <w:vAlign w:val="bottom"/>
            <w:tcBorders>
              <w:right w:val="single" w:sz="8" w:color="2360A6"/>
            </w:tcBorders>
            <w:vMerge w:val="restart"/>
            <w:shd w:val="clear" w:color="auto" w:fill="DCDDDE"/>
          </w:tcPr>
          <w:p>
            <w:pPr>
              <w:jc w:val="right"/>
              <w:spacing w:after="0"/>
              <w:rPr>
                <w:sz w:val="20"/>
                <w:szCs w:val="20"/>
                <w:color w:val="auto"/>
              </w:rPr>
            </w:pPr>
            <w:r>
              <w:rPr>
                <w:rFonts w:ascii="Arial" w:cs="Arial" w:eastAsia="Arial" w:hAnsi="Arial"/>
                <w:sz w:val="14"/>
                <w:szCs w:val="14"/>
                <w:color w:val="231F20"/>
              </w:rPr>
              <w:t>1.70%</w:t>
            </w:r>
          </w:p>
        </w:tc>
        <w:tc>
          <w:tcPr>
            <w:tcW w:w="2120" w:type="dxa"/>
            <w:vAlign w:val="bottom"/>
            <w:tcBorders>
              <w:right w:val="single" w:sz="8" w:color="2360A6"/>
            </w:tcBorders>
            <w:vMerge w:val="restart"/>
            <w:shd w:val="clear" w:color="auto" w:fill="DCDDDE"/>
          </w:tcPr>
          <w:p>
            <w:pPr>
              <w:jc w:val="right"/>
              <w:spacing w:after="0"/>
              <w:rPr>
                <w:sz w:val="20"/>
                <w:szCs w:val="20"/>
                <w:color w:val="auto"/>
              </w:rPr>
            </w:pPr>
            <w:r>
              <w:rPr>
                <w:rFonts w:ascii="Arial" w:cs="Arial" w:eastAsia="Arial" w:hAnsi="Arial"/>
                <w:sz w:val="14"/>
                <w:szCs w:val="14"/>
                <w:color w:val="231F20"/>
              </w:rPr>
              <w:t>From 1.00% to 3%</w:t>
            </w:r>
          </w:p>
        </w:tc>
        <w:tc>
          <w:tcPr>
            <w:tcW w:w="360" w:type="dxa"/>
            <w:vAlign w:val="bottom"/>
            <w:shd w:val="clear" w:color="auto" w:fill="DCDDDE"/>
          </w:tcPr>
          <w:p>
            <w:pPr>
              <w:spacing w:after="0"/>
              <w:rPr>
                <w:sz w:val="16"/>
                <w:szCs w:val="16"/>
                <w:color w:val="auto"/>
              </w:rPr>
            </w:pPr>
          </w:p>
        </w:tc>
        <w:tc>
          <w:tcPr>
            <w:tcW w:w="1220" w:type="dxa"/>
            <w:vAlign w:val="bottom"/>
            <w:tcBorders>
              <w:right w:val="single" w:sz="8" w:color="2360A6"/>
            </w:tcBorders>
            <w:vMerge w:val="restart"/>
            <w:shd w:val="clear" w:color="auto" w:fill="DCDDDE"/>
          </w:tcPr>
          <w:p>
            <w:pPr>
              <w:jc w:val="right"/>
              <w:spacing w:after="0"/>
              <w:rPr>
                <w:sz w:val="20"/>
                <w:szCs w:val="20"/>
                <w:color w:val="auto"/>
              </w:rPr>
            </w:pPr>
            <w:r>
              <w:rPr>
                <w:rFonts w:ascii="Arial" w:cs="Arial" w:eastAsia="Arial" w:hAnsi="Arial"/>
                <w:sz w:val="14"/>
                <w:szCs w:val="14"/>
                <w:color w:val="231F20"/>
              </w:rPr>
              <w:t>3.00%</w:t>
            </w:r>
          </w:p>
        </w:tc>
        <w:tc>
          <w:tcPr>
            <w:tcW w:w="940" w:type="dxa"/>
            <w:vAlign w:val="bottom"/>
            <w:tcBorders>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From 1.60%</w:t>
            </w:r>
          </w:p>
        </w:tc>
        <w:tc>
          <w:tcPr>
            <w:tcW w:w="0" w:type="dxa"/>
            <w:vAlign w:val="bottom"/>
          </w:tcPr>
          <w:p>
            <w:pPr>
              <w:spacing w:after="0"/>
              <w:rPr>
                <w:sz w:val="1"/>
                <w:szCs w:val="1"/>
                <w:color w:val="auto"/>
              </w:rPr>
            </w:pPr>
          </w:p>
        </w:tc>
      </w:tr>
      <w:tr>
        <w:trPr>
          <w:trHeight w:val="91"/>
        </w:trPr>
        <w:tc>
          <w:tcPr>
            <w:tcW w:w="4480" w:type="dxa"/>
            <w:vAlign w:val="bottom"/>
            <w:tcBorders>
              <w:left w:val="single" w:sz="8" w:color="2360A6"/>
              <w:right w:val="single" w:sz="8" w:color="2360A6"/>
            </w:tcBorders>
            <w:vMerge w:val="continue"/>
          </w:tcPr>
          <w:p>
            <w:pPr>
              <w:spacing w:after="0"/>
              <w:rPr>
                <w:sz w:val="7"/>
                <w:szCs w:val="7"/>
                <w:color w:val="auto"/>
              </w:rPr>
            </w:pPr>
          </w:p>
        </w:tc>
        <w:tc>
          <w:tcPr>
            <w:tcW w:w="1500" w:type="dxa"/>
            <w:vAlign w:val="bottom"/>
            <w:tcBorders>
              <w:right w:val="single" w:sz="8" w:color="2360A6"/>
            </w:tcBorders>
            <w:vMerge w:val="continue"/>
            <w:shd w:val="clear" w:color="auto" w:fill="DCDDDE"/>
          </w:tcPr>
          <w:p>
            <w:pPr>
              <w:spacing w:after="0"/>
              <w:rPr>
                <w:sz w:val="7"/>
                <w:szCs w:val="7"/>
                <w:color w:val="auto"/>
              </w:rPr>
            </w:pPr>
          </w:p>
        </w:tc>
        <w:tc>
          <w:tcPr>
            <w:tcW w:w="2120" w:type="dxa"/>
            <w:vAlign w:val="bottom"/>
            <w:tcBorders>
              <w:right w:val="single" w:sz="8" w:color="2360A6"/>
            </w:tcBorders>
            <w:vMerge w:val="continue"/>
            <w:shd w:val="clear" w:color="auto" w:fill="DCDDDE"/>
          </w:tcPr>
          <w:p>
            <w:pPr>
              <w:spacing w:after="0"/>
              <w:rPr>
                <w:sz w:val="7"/>
                <w:szCs w:val="7"/>
                <w:color w:val="auto"/>
              </w:rPr>
            </w:pPr>
          </w:p>
        </w:tc>
        <w:tc>
          <w:tcPr>
            <w:tcW w:w="360" w:type="dxa"/>
            <w:vAlign w:val="bottom"/>
            <w:shd w:val="clear" w:color="auto" w:fill="DCDDDE"/>
          </w:tcPr>
          <w:p>
            <w:pPr>
              <w:spacing w:after="0"/>
              <w:rPr>
                <w:sz w:val="7"/>
                <w:szCs w:val="7"/>
                <w:color w:val="auto"/>
              </w:rPr>
            </w:pPr>
          </w:p>
        </w:tc>
        <w:tc>
          <w:tcPr>
            <w:tcW w:w="1220" w:type="dxa"/>
            <w:vAlign w:val="bottom"/>
            <w:tcBorders>
              <w:right w:val="single" w:sz="8" w:color="2360A6"/>
            </w:tcBorders>
            <w:vMerge w:val="continue"/>
            <w:shd w:val="clear" w:color="auto" w:fill="DCDDDE"/>
          </w:tcPr>
          <w:p>
            <w:pPr>
              <w:spacing w:after="0"/>
              <w:rPr>
                <w:sz w:val="7"/>
                <w:szCs w:val="7"/>
                <w:color w:val="auto"/>
              </w:rPr>
            </w:pPr>
          </w:p>
        </w:tc>
        <w:tc>
          <w:tcPr>
            <w:tcW w:w="940" w:type="dxa"/>
            <w:vAlign w:val="bottom"/>
            <w:tcBorders>
              <w:right w:val="single" w:sz="8" w:color="2360A6"/>
            </w:tcBorders>
            <w:vMerge w:val="restart"/>
            <w:shd w:val="clear" w:color="auto" w:fill="DCDDDE"/>
          </w:tcPr>
          <w:p>
            <w:pPr>
              <w:jc w:val="right"/>
              <w:spacing w:after="0"/>
              <w:rPr>
                <w:sz w:val="20"/>
                <w:szCs w:val="20"/>
                <w:color w:val="auto"/>
              </w:rPr>
            </w:pPr>
            <w:r>
              <w:rPr>
                <w:rFonts w:ascii="Arial" w:cs="Arial" w:eastAsia="Arial" w:hAnsi="Arial"/>
                <w:sz w:val="14"/>
                <w:szCs w:val="14"/>
                <w:color w:val="231F20"/>
              </w:rPr>
              <w:t>to 1.85%</w:t>
            </w:r>
          </w:p>
        </w:tc>
        <w:tc>
          <w:tcPr>
            <w:tcW w:w="0" w:type="dxa"/>
            <w:vAlign w:val="bottom"/>
          </w:tcPr>
          <w:p>
            <w:pPr>
              <w:spacing w:after="0"/>
              <w:rPr>
                <w:sz w:val="1"/>
                <w:szCs w:val="1"/>
                <w:color w:val="auto"/>
              </w:rPr>
            </w:pPr>
          </w:p>
        </w:tc>
      </w:tr>
      <w:tr>
        <w:trPr>
          <w:trHeight w:val="87"/>
        </w:trPr>
        <w:tc>
          <w:tcPr>
            <w:tcW w:w="4480" w:type="dxa"/>
            <w:vAlign w:val="bottom"/>
            <w:tcBorders>
              <w:left w:val="single" w:sz="8" w:color="2360A6"/>
              <w:bottom w:val="single" w:sz="8" w:color="2360A6"/>
              <w:right w:val="single" w:sz="8" w:color="2360A6"/>
            </w:tcBorders>
          </w:tcPr>
          <w:p>
            <w:pPr>
              <w:spacing w:after="0"/>
              <w:rPr>
                <w:sz w:val="7"/>
                <w:szCs w:val="7"/>
                <w:color w:val="auto"/>
              </w:rPr>
            </w:pPr>
          </w:p>
        </w:tc>
        <w:tc>
          <w:tcPr>
            <w:tcW w:w="1500" w:type="dxa"/>
            <w:vAlign w:val="bottom"/>
            <w:tcBorders>
              <w:bottom w:val="single" w:sz="8" w:color="2360A6"/>
              <w:right w:val="single" w:sz="8" w:color="2360A6"/>
            </w:tcBorders>
            <w:shd w:val="clear" w:color="auto" w:fill="DCDDDE"/>
          </w:tcPr>
          <w:p>
            <w:pPr>
              <w:spacing w:after="0"/>
              <w:rPr>
                <w:sz w:val="7"/>
                <w:szCs w:val="7"/>
                <w:color w:val="auto"/>
              </w:rPr>
            </w:pPr>
          </w:p>
        </w:tc>
        <w:tc>
          <w:tcPr>
            <w:tcW w:w="2120" w:type="dxa"/>
            <w:vAlign w:val="bottom"/>
            <w:tcBorders>
              <w:bottom w:val="single" w:sz="8" w:color="2360A6"/>
              <w:right w:val="single" w:sz="8" w:color="2360A6"/>
            </w:tcBorders>
            <w:shd w:val="clear" w:color="auto" w:fill="DCDDDE"/>
          </w:tcPr>
          <w:p>
            <w:pPr>
              <w:spacing w:after="0"/>
              <w:rPr>
                <w:sz w:val="7"/>
                <w:szCs w:val="7"/>
                <w:color w:val="auto"/>
              </w:rPr>
            </w:pPr>
          </w:p>
        </w:tc>
        <w:tc>
          <w:tcPr>
            <w:tcW w:w="360" w:type="dxa"/>
            <w:vAlign w:val="bottom"/>
            <w:tcBorders>
              <w:bottom w:val="single" w:sz="8" w:color="2360A6"/>
            </w:tcBorders>
            <w:shd w:val="clear" w:color="auto" w:fill="DCDDDE"/>
          </w:tcPr>
          <w:p>
            <w:pPr>
              <w:spacing w:after="0"/>
              <w:rPr>
                <w:sz w:val="7"/>
                <w:szCs w:val="7"/>
                <w:color w:val="auto"/>
              </w:rPr>
            </w:pPr>
          </w:p>
        </w:tc>
        <w:tc>
          <w:tcPr>
            <w:tcW w:w="1220" w:type="dxa"/>
            <w:vAlign w:val="bottom"/>
            <w:tcBorders>
              <w:bottom w:val="single" w:sz="8" w:color="2360A6"/>
              <w:right w:val="single" w:sz="8" w:color="2360A6"/>
            </w:tcBorders>
            <w:shd w:val="clear" w:color="auto" w:fill="DCDDDE"/>
          </w:tcPr>
          <w:p>
            <w:pPr>
              <w:spacing w:after="0"/>
              <w:rPr>
                <w:sz w:val="7"/>
                <w:szCs w:val="7"/>
                <w:color w:val="auto"/>
              </w:rPr>
            </w:pPr>
          </w:p>
        </w:tc>
        <w:tc>
          <w:tcPr>
            <w:tcW w:w="940" w:type="dxa"/>
            <w:vAlign w:val="bottom"/>
            <w:tcBorders>
              <w:bottom w:val="single" w:sz="8" w:color="2360A6"/>
              <w:right w:val="single" w:sz="8" w:color="2360A6"/>
            </w:tcBorders>
            <w:vMerge w:val="continue"/>
            <w:shd w:val="clear" w:color="auto" w:fill="DCDDD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48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United Kingdom</w:t>
            </w:r>
          </w:p>
        </w:tc>
        <w:tc>
          <w:tcPr>
            <w:tcW w:w="150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2.55%</w:t>
            </w:r>
          </w:p>
        </w:tc>
        <w:tc>
          <w:tcPr>
            <w:tcW w:w="21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0.00%</w:t>
            </w:r>
          </w:p>
        </w:tc>
        <w:tc>
          <w:tcPr>
            <w:tcW w:w="360" w:type="dxa"/>
            <w:vAlign w:val="bottom"/>
            <w:tcBorders>
              <w:bottom w:val="single" w:sz="8" w:color="2360A6"/>
            </w:tcBorders>
            <w:shd w:val="clear" w:color="auto" w:fill="DCDDDE"/>
          </w:tcPr>
          <w:p>
            <w:pPr>
              <w:spacing w:after="0"/>
              <w:rPr>
                <w:sz w:val="18"/>
                <w:szCs w:val="18"/>
                <w:color w:val="auto"/>
              </w:rPr>
            </w:pPr>
          </w:p>
        </w:tc>
        <w:tc>
          <w:tcPr>
            <w:tcW w:w="12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NA</w:t>
            </w:r>
          </w:p>
        </w:tc>
        <w:tc>
          <w:tcPr>
            <w:tcW w:w="94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3.50%</w:t>
            </w:r>
          </w:p>
        </w:tc>
        <w:tc>
          <w:tcPr>
            <w:tcW w:w="0" w:type="dxa"/>
            <w:vAlign w:val="bottom"/>
          </w:tcPr>
          <w:p>
            <w:pPr>
              <w:spacing w:after="0"/>
              <w:rPr>
                <w:sz w:val="1"/>
                <w:szCs w:val="1"/>
                <w:color w:val="auto"/>
              </w:rPr>
            </w:pPr>
          </w:p>
        </w:tc>
      </w:tr>
      <w:tr>
        <w:trPr>
          <w:trHeight w:val="135"/>
        </w:trPr>
        <w:tc>
          <w:tcPr>
            <w:tcW w:w="4480" w:type="dxa"/>
            <w:vAlign w:val="bottom"/>
            <w:tcBorders>
              <w:bottom w:val="single" w:sz="8" w:color="2360A6"/>
            </w:tcBorders>
          </w:tcPr>
          <w:p>
            <w:pPr>
              <w:spacing w:after="0"/>
              <w:rPr>
                <w:sz w:val="11"/>
                <w:szCs w:val="11"/>
                <w:color w:val="auto"/>
              </w:rPr>
            </w:pPr>
          </w:p>
        </w:tc>
        <w:tc>
          <w:tcPr>
            <w:tcW w:w="1500" w:type="dxa"/>
            <w:vAlign w:val="bottom"/>
            <w:tcBorders>
              <w:bottom w:val="single" w:sz="8" w:color="2360A6"/>
            </w:tcBorders>
          </w:tcPr>
          <w:p>
            <w:pPr>
              <w:spacing w:after="0"/>
              <w:rPr>
                <w:sz w:val="11"/>
                <w:szCs w:val="11"/>
                <w:color w:val="auto"/>
              </w:rPr>
            </w:pPr>
          </w:p>
        </w:tc>
        <w:tc>
          <w:tcPr>
            <w:tcW w:w="2480" w:type="dxa"/>
            <w:vAlign w:val="bottom"/>
            <w:tcBorders>
              <w:bottom w:val="single" w:sz="8" w:color="2360A6"/>
            </w:tcBorders>
            <w:gridSpan w:val="2"/>
          </w:tcPr>
          <w:p>
            <w:pPr>
              <w:spacing w:after="0"/>
              <w:rPr>
                <w:sz w:val="11"/>
                <w:szCs w:val="11"/>
                <w:color w:val="auto"/>
              </w:rPr>
            </w:pPr>
          </w:p>
        </w:tc>
        <w:tc>
          <w:tcPr>
            <w:tcW w:w="1220" w:type="dxa"/>
            <w:vAlign w:val="bottom"/>
            <w:tcBorders>
              <w:bottom w:val="single" w:sz="8" w:color="2360A6"/>
            </w:tcBorders>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480" w:type="dxa"/>
            <w:vAlign w:val="bottom"/>
            <w:tcBorders>
              <w:left w:val="single" w:sz="8" w:color="2360A6"/>
              <w:right w:val="single" w:sz="8" w:color="2360A6"/>
            </w:tcBorders>
          </w:tcPr>
          <w:p>
            <w:pPr>
              <w:spacing w:after="0"/>
              <w:rPr>
                <w:sz w:val="17"/>
                <w:szCs w:val="17"/>
                <w:color w:val="auto"/>
              </w:rPr>
            </w:pPr>
          </w:p>
        </w:tc>
        <w:tc>
          <w:tcPr>
            <w:tcW w:w="1500" w:type="dxa"/>
            <w:vAlign w:val="bottom"/>
            <w:tcBorders>
              <w:bottom w:val="single" w:sz="8" w:color="2360A6"/>
            </w:tcBorders>
          </w:tcPr>
          <w:p>
            <w:pPr>
              <w:spacing w:after="0"/>
              <w:rPr>
                <w:sz w:val="17"/>
                <w:szCs w:val="17"/>
                <w:color w:val="auto"/>
              </w:rPr>
            </w:pPr>
          </w:p>
        </w:tc>
        <w:tc>
          <w:tcPr>
            <w:tcW w:w="2480" w:type="dxa"/>
            <w:vAlign w:val="bottom"/>
            <w:tcBorders>
              <w:bottom w:val="single" w:sz="8" w:color="2360A6"/>
            </w:tcBorders>
            <w:gridSpan w:val="2"/>
          </w:tcPr>
          <w:p>
            <w:pPr>
              <w:ind w:left="700"/>
              <w:spacing w:after="0"/>
              <w:rPr>
                <w:sz w:val="20"/>
                <w:szCs w:val="20"/>
                <w:color w:val="auto"/>
              </w:rPr>
            </w:pPr>
            <w:r>
              <w:rPr>
                <w:rFonts w:ascii="Arial" w:cs="Arial" w:eastAsia="Arial" w:hAnsi="Arial"/>
                <w:sz w:val="14"/>
                <w:szCs w:val="14"/>
                <w:b w:val="1"/>
                <w:bCs w:val="1"/>
                <w:color w:val="2360A6"/>
              </w:rPr>
              <w:t>As of December 31, 2015</w:t>
            </w:r>
          </w:p>
        </w:tc>
        <w:tc>
          <w:tcPr>
            <w:tcW w:w="1220" w:type="dxa"/>
            <w:vAlign w:val="bottom"/>
            <w:tcBorders>
              <w:bottom w:val="single" w:sz="8" w:color="2360A6"/>
            </w:tcBorders>
          </w:tcPr>
          <w:p>
            <w:pPr>
              <w:spacing w:after="0"/>
              <w:rPr>
                <w:sz w:val="17"/>
                <w:szCs w:val="17"/>
                <w:color w:val="auto"/>
              </w:rPr>
            </w:pPr>
          </w:p>
        </w:tc>
        <w:tc>
          <w:tcPr>
            <w:tcW w:w="940" w:type="dxa"/>
            <w:vAlign w:val="bottom"/>
            <w:tcBorders>
              <w:bottom w:val="single" w:sz="8" w:color="2360A6"/>
              <w:right w:val="single" w:sz="8" w:color="2360A6"/>
            </w:tcBorders>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480" w:type="dxa"/>
            <w:vAlign w:val="bottom"/>
            <w:tcBorders>
              <w:left w:val="single" w:sz="8" w:color="2360A6"/>
              <w:right w:val="single" w:sz="8" w:color="2360A6"/>
            </w:tcBorders>
          </w:tcPr>
          <w:p>
            <w:pPr>
              <w:spacing w:after="0"/>
              <w:rPr>
                <w:sz w:val="24"/>
                <w:szCs w:val="24"/>
                <w:color w:val="auto"/>
              </w:rPr>
            </w:pPr>
          </w:p>
        </w:tc>
        <w:tc>
          <w:tcPr>
            <w:tcW w:w="1500" w:type="dxa"/>
            <w:vAlign w:val="bottom"/>
            <w:tcBorders>
              <w:right w:val="single" w:sz="8" w:color="2360A6"/>
            </w:tcBorders>
          </w:tcPr>
          <w:p>
            <w:pPr>
              <w:spacing w:after="0"/>
              <w:rPr>
                <w:sz w:val="24"/>
                <w:szCs w:val="24"/>
                <w:color w:val="auto"/>
              </w:rPr>
            </w:pPr>
          </w:p>
        </w:tc>
        <w:tc>
          <w:tcPr>
            <w:tcW w:w="212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Future Salary Increase</w:t>
            </w:r>
          </w:p>
        </w:tc>
        <w:tc>
          <w:tcPr>
            <w:tcW w:w="360" w:type="dxa"/>
            <w:vAlign w:val="bottom"/>
          </w:tcPr>
          <w:p>
            <w:pPr>
              <w:spacing w:after="0"/>
              <w:rPr>
                <w:sz w:val="24"/>
                <w:szCs w:val="24"/>
                <w:color w:val="auto"/>
              </w:rPr>
            </w:pPr>
          </w:p>
        </w:tc>
        <w:tc>
          <w:tcPr>
            <w:tcW w:w="122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Healthcare Cost</w:t>
            </w:r>
          </w:p>
        </w:tc>
        <w:tc>
          <w:tcPr>
            <w:tcW w:w="94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Inflation</w:t>
            </w:r>
          </w:p>
        </w:tc>
        <w:tc>
          <w:tcPr>
            <w:tcW w:w="0" w:type="dxa"/>
            <w:vAlign w:val="bottom"/>
          </w:tcPr>
          <w:p>
            <w:pPr>
              <w:spacing w:after="0"/>
              <w:rPr>
                <w:sz w:val="1"/>
                <w:szCs w:val="1"/>
                <w:color w:val="auto"/>
              </w:rPr>
            </w:pPr>
          </w:p>
        </w:tc>
      </w:tr>
      <w:tr>
        <w:trPr>
          <w:trHeight w:val="196"/>
        </w:trPr>
        <w:tc>
          <w:tcPr>
            <w:tcW w:w="4480" w:type="dxa"/>
            <w:vAlign w:val="bottom"/>
            <w:tcBorders>
              <w:left w:val="single" w:sz="8" w:color="2360A6"/>
              <w:bottom w:val="single" w:sz="8" w:color="2360A6"/>
              <w:right w:val="single" w:sz="8" w:color="2360A6"/>
            </w:tcBorders>
          </w:tcPr>
          <w:p>
            <w:pPr>
              <w:spacing w:after="0"/>
              <w:rPr>
                <w:sz w:val="17"/>
                <w:szCs w:val="17"/>
                <w:color w:val="auto"/>
              </w:rPr>
            </w:pPr>
          </w:p>
        </w:tc>
        <w:tc>
          <w:tcPr>
            <w:tcW w:w="15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Discount Rate</w:t>
            </w:r>
          </w:p>
        </w:tc>
        <w:tc>
          <w:tcPr>
            <w:tcW w:w="21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(above Inflation Rate)</w:t>
            </w:r>
          </w:p>
        </w:tc>
        <w:tc>
          <w:tcPr>
            <w:tcW w:w="360" w:type="dxa"/>
            <w:vAlign w:val="bottom"/>
            <w:tcBorders>
              <w:bottom w:val="single" w:sz="8" w:color="2360A6"/>
            </w:tcBorders>
          </w:tcPr>
          <w:p>
            <w:pPr>
              <w:spacing w:after="0"/>
              <w:rPr>
                <w:sz w:val="17"/>
                <w:szCs w:val="17"/>
                <w:color w:val="auto"/>
              </w:rPr>
            </w:pPr>
          </w:p>
        </w:tc>
        <w:tc>
          <w:tcPr>
            <w:tcW w:w="12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Increase Rate</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Rate</w:t>
            </w:r>
          </w:p>
        </w:tc>
        <w:tc>
          <w:tcPr>
            <w:tcW w:w="0" w:type="dxa"/>
            <w:vAlign w:val="bottom"/>
          </w:tcPr>
          <w:p>
            <w:pPr>
              <w:spacing w:after="0"/>
              <w:rPr>
                <w:sz w:val="1"/>
                <w:szCs w:val="1"/>
                <w:color w:val="auto"/>
              </w:rPr>
            </w:pPr>
          </w:p>
        </w:tc>
      </w:tr>
      <w:tr>
        <w:trPr>
          <w:trHeight w:val="210"/>
        </w:trPr>
        <w:tc>
          <w:tcPr>
            <w:tcW w:w="448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Euroland</w:t>
            </w:r>
          </w:p>
        </w:tc>
        <w:tc>
          <w:tcPr>
            <w:tcW w:w="15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2.20%</w:t>
            </w:r>
          </w:p>
        </w:tc>
        <w:tc>
          <w:tcPr>
            <w:tcW w:w="21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From 1.00% to 5.00%</w:t>
            </w:r>
          </w:p>
        </w:tc>
        <w:tc>
          <w:tcPr>
            <w:tcW w:w="360" w:type="dxa"/>
            <w:vAlign w:val="bottom"/>
            <w:tcBorders>
              <w:bottom w:val="single" w:sz="8" w:color="2360A6"/>
            </w:tcBorders>
          </w:tcPr>
          <w:p>
            <w:pPr>
              <w:spacing w:after="0"/>
              <w:rPr>
                <w:sz w:val="18"/>
                <w:szCs w:val="18"/>
                <w:color w:val="auto"/>
              </w:rPr>
            </w:pPr>
          </w:p>
        </w:tc>
        <w:tc>
          <w:tcPr>
            <w:tcW w:w="12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3.00%</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1.90%</w:t>
            </w:r>
          </w:p>
        </w:tc>
        <w:tc>
          <w:tcPr>
            <w:tcW w:w="0" w:type="dxa"/>
            <w:vAlign w:val="bottom"/>
          </w:tcPr>
          <w:p>
            <w:pPr>
              <w:spacing w:after="0"/>
              <w:rPr>
                <w:sz w:val="1"/>
                <w:szCs w:val="1"/>
                <w:color w:val="auto"/>
              </w:rPr>
            </w:pPr>
          </w:p>
        </w:tc>
      </w:tr>
      <w:tr>
        <w:trPr>
          <w:trHeight w:val="210"/>
        </w:trPr>
        <w:tc>
          <w:tcPr>
            <w:tcW w:w="448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United Kingdom</w:t>
            </w:r>
          </w:p>
        </w:tc>
        <w:tc>
          <w:tcPr>
            <w:tcW w:w="15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3.70%</w:t>
            </w:r>
          </w:p>
        </w:tc>
        <w:tc>
          <w:tcPr>
            <w:tcW w:w="21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0.00%</w:t>
            </w:r>
          </w:p>
        </w:tc>
        <w:tc>
          <w:tcPr>
            <w:tcW w:w="360" w:type="dxa"/>
            <w:vAlign w:val="bottom"/>
            <w:tcBorders>
              <w:bottom w:val="single" w:sz="8" w:color="2360A6"/>
            </w:tcBorders>
          </w:tcPr>
          <w:p>
            <w:pPr>
              <w:spacing w:after="0"/>
              <w:rPr>
                <w:sz w:val="18"/>
                <w:szCs w:val="18"/>
                <w:color w:val="auto"/>
              </w:rPr>
            </w:pPr>
          </w:p>
        </w:tc>
        <w:tc>
          <w:tcPr>
            <w:tcW w:w="12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NA</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3.25%</w:t>
            </w:r>
          </w:p>
        </w:tc>
        <w:tc>
          <w:tcPr>
            <w:tcW w:w="0" w:type="dxa"/>
            <w:vAlign w:val="bottom"/>
          </w:tcPr>
          <w:p>
            <w:pPr>
              <w:spacing w:after="0"/>
              <w:rPr>
                <w:sz w:val="1"/>
                <w:szCs w:val="1"/>
                <w:color w:val="auto"/>
              </w:rPr>
            </w:pPr>
          </w:p>
        </w:tc>
      </w:tr>
      <w:tr>
        <w:trPr>
          <w:trHeight w:val="135"/>
        </w:trPr>
        <w:tc>
          <w:tcPr>
            <w:tcW w:w="4480" w:type="dxa"/>
            <w:vAlign w:val="bottom"/>
            <w:tcBorders>
              <w:bottom w:val="single" w:sz="8" w:color="2360A6"/>
            </w:tcBorders>
          </w:tcPr>
          <w:p>
            <w:pPr>
              <w:spacing w:after="0"/>
              <w:rPr>
                <w:sz w:val="11"/>
                <w:szCs w:val="11"/>
                <w:color w:val="auto"/>
              </w:rPr>
            </w:pPr>
          </w:p>
        </w:tc>
        <w:tc>
          <w:tcPr>
            <w:tcW w:w="1500" w:type="dxa"/>
            <w:vAlign w:val="bottom"/>
            <w:tcBorders>
              <w:bottom w:val="single" w:sz="8" w:color="2360A6"/>
            </w:tcBorders>
          </w:tcPr>
          <w:p>
            <w:pPr>
              <w:spacing w:after="0"/>
              <w:rPr>
                <w:sz w:val="11"/>
                <w:szCs w:val="11"/>
                <w:color w:val="auto"/>
              </w:rPr>
            </w:pPr>
          </w:p>
        </w:tc>
        <w:tc>
          <w:tcPr>
            <w:tcW w:w="2480" w:type="dxa"/>
            <w:vAlign w:val="bottom"/>
            <w:tcBorders>
              <w:bottom w:val="single" w:sz="8" w:color="2360A6"/>
            </w:tcBorders>
            <w:gridSpan w:val="2"/>
          </w:tcPr>
          <w:p>
            <w:pPr>
              <w:spacing w:after="0"/>
              <w:rPr>
                <w:sz w:val="11"/>
                <w:szCs w:val="11"/>
                <w:color w:val="auto"/>
              </w:rPr>
            </w:pPr>
          </w:p>
        </w:tc>
        <w:tc>
          <w:tcPr>
            <w:tcW w:w="1220" w:type="dxa"/>
            <w:vAlign w:val="bottom"/>
            <w:tcBorders>
              <w:bottom w:val="single" w:sz="8" w:color="2360A6"/>
            </w:tcBorders>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480" w:type="dxa"/>
            <w:vAlign w:val="bottom"/>
            <w:tcBorders>
              <w:left w:val="single" w:sz="8" w:color="2360A6"/>
              <w:right w:val="single" w:sz="8" w:color="2360A6"/>
            </w:tcBorders>
          </w:tcPr>
          <w:p>
            <w:pPr>
              <w:spacing w:after="0"/>
              <w:rPr>
                <w:sz w:val="17"/>
                <w:szCs w:val="17"/>
                <w:color w:val="auto"/>
              </w:rPr>
            </w:pPr>
          </w:p>
        </w:tc>
        <w:tc>
          <w:tcPr>
            <w:tcW w:w="1500" w:type="dxa"/>
            <w:vAlign w:val="bottom"/>
            <w:tcBorders>
              <w:bottom w:val="single" w:sz="8" w:color="2360A6"/>
            </w:tcBorders>
          </w:tcPr>
          <w:p>
            <w:pPr>
              <w:spacing w:after="0"/>
              <w:rPr>
                <w:sz w:val="17"/>
                <w:szCs w:val="17"/>
                <w:color w:val="auto"/>
              </w:rPr>
            </w:pPr>
          </w:p>
        </w:tc>
        <w:tc>
          <w:tcPr>
            <w:tcW w:w="2480" w:type="dxa"/>
            <w:vAlign w:val="bottom"/>
            <w:tcBorders>
              <w:bottom w:val="single" w:sz="8" w:color="2360A6"/>
            </w:tcBorders>
            <w:gridSpan w:val="2"/>
          </w:tcPr>
          <w:p>
            <w:pPr>
              <w:ind w:left="700"/>
              <w:spacing w:after="0"/>
              <w:rPr>
                <w:sz w:val="20"/>
                <w:szCs w:val="20"/>
                <w:color w:val="auto"/>
              </w:rPr>
            </w:pPr>
            <w:r>
              <w:rPr>
                <w:rFonts w:ascii="Arial" w:cs="Arial" w:eastAsia="Arial" w:hAnsi="Arial"/>
                <w:sz w:val="14"/>
                <w:szCs w:val="14"/>
                <w:b w:val="1"/>
                <w:bCs w:val="1"/>
                <w:color w:val="2360A6"/>
              </w:rPr>
              <w:t>As of December 31, 2014</w:t>
            </w:r>
          </w:p>
        </w:tc>
        <w:tc>
          <w:tcPr>
            <w:tcW w:w="1220" w:type="dxa"/>
            <w:vAlign w:val="bottom"/>
            <w:tcBorders>
              <w:bottom w:val="single" w:sz="8" w:color="2360A6"/>
            </w:tcBorders>
          </w:tcPr>
          <w:p>
            <w:pPr>
              <w:spacing w:after="0"/>
              <w:rPr>
                <w:sz w:val="17"/>
                <w:szCs w:val="17"/>
                <w:color w:val="auto"/>
              </w:rPr>
            </w:pPr>
          </w:p>
        </w:tc>
        <w:tc>
          <w:tcPr>
            <w:tcW w:w="940" w:type="dxa"/>
            <w:vAlign w:val="bottom"/>
            <w:tcBorders>
              <w:bottom w:val="single" w:sz="8" w:color="2360A6"/>
              <w:right w:val="single" w:sz="8" w:color="2360A6"/>
            </w:tcBorders>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480" w:type="dxa"/>
            <w:vAlign w:val="bottom"/>
            <w:tcBorders>
              <w:left w:val="single" w:sz="8" w:color="2360A6"/>
              <w:right w:val="single" w:sz="8" w:color="2360A6"/>
            </w:tcBorders>
          </w:tcPr>
          <w:p>
            <w:pPr>
              <w:spacing w:after="0"/>
              <w:rPr>
                <w:sz w:val="24"/>
                <w:szCs w:val="24"/>
                <w:color w:val="auto"/>
              </w:rPr>
            </w:pPr>
          </w:p>
        </w:tc>
        <w:tc>
          <w:tcPr>
            <w:tcW w:w="1500" w:type="dxa"/>
            <w:vAlign w:val="bottom"/>
            <w:tcBorders>
              <w:right w:val="single" w:sz="8" w:color="2360A6"/>
            </w:tcBorders>
          </w:tcPr>
          <w:p>
            <w:pPr>
              <w:spacing w:after="0"/>
              <w:rPr>
                <w:sz w:val="24"/>
                <w:szCs w:val="24"/>
                <w:color w:val="auto"/>
              </w:rPr>
            </w:pPr>
          </w:p>
        </w:tc>
        <w:tc>
          <w:tcPr>
            <w:tcW w:w="212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Future Salary Increase</w:t>
            </w:r>
          </w:p>
        </w:tc>
        <w:tc>
          <w:tcPr>
            <w:tcW w:w="360" w:type="dxa"/>
            <w:vAlign w:val="bottom"/>
          </w:tcPr>
          <w:p>
            <w:pPr>
              <w:spacing w:after="0"/>
              <w:rPr>
                <w:sz w:val="24"/>
                <w:szCs w:val="24"/>
                <w:color w:val="auto"/>
              </w:rPr>
            </w:pPr>
          </w:p>
        </w:tc>
        <w:tc>
          <w:tcPr>
            <w:tcW w:w="122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Healthcare Cost</w:t>
            </w:r>
          </w:p>
        </w:tc>
        <w:tc>
          <w:tcPr>
            <w:tcW w:w="94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Inflation</w:t>
            </w:r>
          </w:p>
        </w:tc>
        <w:tc>
          <w:tcPr>
            <w:tcW w:w="0" w:type="dxa"/>
            <w:vAlign w:val="bottom"/>
          </w:tcPr>
          <w:p>
            <w:pPr>
              <w:spacing w:after="0"/>
              <w:rPr>
                <w:sz w:val="1"/>
                <w:szCs w:val="1"/>
                <w:color w:val="auto"/>
              </w:rPr>
            </w:pPr>
          </w:p>
        </w:tc>
      </w:tr>
      <w:tr>
        <w:trPr>
          <w:trHeight w:val="196"/>
        </w:trPr>
        <w:tc>
          <w:tcPr>
            <w:tcW w:w="4480" w:type="dxa"/>
            <w:vAlign w:val="bottom"/>
            <w:tcBorders>
              <w:left w:val="single" w:sz="8" w:color="2360A6"/>
              <w:bottom w:val="single" w:sz="8" w:color="2360A6"/>
              <w:right w:val="single" w:sz="8" w:color="2360A6"/>
            </w:tcBorders>
          </w:tcPr>
          <w:p>
            <w:pPr>
              <w:spacing w:after="0"/>
              <w:rPr>
                <w:sz w:val="17"/>
                <w:szCs w:val="17"/>
                <w:color w:val="auto"/>
              </w:rPr>
            </w:pPr>
          </w:p>
        </w:tc>
        <w:tc>
          <w:tcPr>
            <w:tcW w:w="15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Discount Rate</w:t>
            </w:r>
          </w:p>
        </w:tc>
        <w:tc>
          <w:tcPr>
            <w:tcW w:w="21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(above Inflation Rate)</w:t>
            </w:r>
          </w:p>
        </w:tc>
        <w:tc>
          <w:tcPr>
            <w:tcW w:w="360" w:type="dxa"/>
            <w:vAlign w:val="bottom"/>
            <w:tcBorders>
              <w:bottom w:val="single" w:sz="8" w:color="2360A6"/>
            </w:tcBorders>
          </w:tcPr>
          <w:p>
            <w:pPr>
              <w:spacing w:after="0"/>
              <w:rPr>
                <w:sz w:val="17"/>
                <w:szCs w:val="17"/>
                <w:color w:val="auto"/>
              </w:rPr>
            </w:pPr>
          </w:p>
        </w:tc>
        <w:tc>
          <w:tcPr>
            <w:tcW w:w="12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Increase Rate</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Rate</w:t>
            </w:r>
          </w:p>
        </w:tc>
        <w:tc>
          <w:tcPr>
            <w:tcW w:w="0" w:type="dxa"/>
            <w:vAlign w:val="bottom"/>
          </w:tcPr>
          <w:p>
            <w:pPr>
              <w:spacing w:after="0"/>
              <w:rPr>
                <w:sz w:val="1"/>
                <w:szCs w:val="1"/>
                <w:color w:val="auto"/>
              </w:rPr>
            </w:pPr>
          </w:p>
        </w:tc>
      </w:tr>
      <w:tr>
        <w:trPr>
          <w:trHeight w:val="210"/>
        </w:trPr>
        <w:tc>
          <w:tcPr>
            <w:tcW w:w="448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Euroland</w:t>
            </w:r>
          </w:p>
        </w:tc>
        <w:tc>
          <w:tcPr>
            <w:tcW w:w="15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1.85%</w:t>
            </w:r>
          </w:p>
        </w:tc>
        <w:tc>
          <w:tcPr>
            <w:tcW w:w="21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From 1.00% to 5.00%</w:t>
            </w:r>
          </w:p>
        </w:tc>
        <w:tc>
          <w:tcPr>
            <w:tcW w:w="360" w:type="dxa"/>
            <w:vAlign w:val="bottom"/>
            <w:tcBorders>
              <w:bottom w:val="single" w:sz="8" w:color="2360A6"/>
            </w:tcBorders>
          </w:tcPr>
          <w:p>
            <w:pPr>
              <w:spacing w:after="0"/>
              <w:rPr>
                <w:sz w:val="18"/>
                <w:szCs w:val="18"/>
                <w:color w:val="auto"/>
              </w:rPr>
            </w:pPr>
          </w:p>
        </w:tc>
        <w:tc>
          <w:tcPr>
            <w:tcW w:w="12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3.00%</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1.80%</w:t>
            </w:r>
          </w:p>
        </w:tc>
        <w:tc>
          <w:tcPr>
            <w:tcW w:w="0" w:type="dxa"/>
            <w:vAlign w:val="bottom"/>
          </w:tcPr>
          <w:p>
            <w:pPr>
              <w:spacing w:after="0"/>
              <w:rPr>
                <w:sz w:val="1"/>
                <w:szCs w:val="1"/>
                <w:color w:val="auto"/>
              </w:rPr>
            </w:pPr>
          </w:p>
        </w:tc>
      </w:tr>
      <w:tr>
        <w:trPr>
          <w:trHeight w:val="210"/>
        </w:trPr>
        <w:tc>
          <w:tcPr>
            <w:tcW w:w="448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United Kingdom</w:t>
            </w:r>
          </w:p>
        </w:tc>
        <w:tc>
          <w:tcPr>
            <w:tcW w:w="15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3.80%</w:t>
            </w:r>
          </w:p>
        </w:tc>
        <w:tc>
          <w:tcPr>
            <w:tcW w:w="21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1.50%</w:t>
            </w:r>
          </w:p>
        </w:tc>
        <w:tc>
          <w:tcPr>
            <w:tcW w:w="360" w:type="dxa"/>
            <w:vAlign w:val="bottom"/>
            <w:tcBorders>
              <w:bottom w:val="single" w:sz="8" w:color="2360A6"/>
            </w:tcBorders>
          </w:tcPr>
          <w:p>
            <w:pPr>
              <w:spacing w:after="0"/>
              <w:rPr>
                <w:sz w:val="18"/>
                <w:szCs w:val="18"/>
                <w:color w:val="auto"/>
              </w:rPr>
            </w:pPr>
          </w:p>
        </w:tc>
        <w:tc>
          <w:tcPr>
            <w:tcW w:w="12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NA</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3.25%</w:t>
            </w:r>
          </w:p>
        </w:tc>
        <w:tc>
          <w:tcPr>
            <w:tcW w:w="0" w:type="dxa"/>
            <w:vAlign w:val="bottom"/>
          </w:tcPr>
          <w:p>
            <w:pPr>
              <w:spacing w:after="0"/>
              <w:rPr>
                <w:sz w:val="1"/>
                <w:szCs w:val="1"/>
                <w:color w:val="auto"/>
              </w:rPr>
            </w:pPr>
          </w:p>
        </w:tc>
      </w:tr>
    </w:tbl>
    <w:p>
      <w:pPr>
        <w:spacing w:after="0" w:line="258" w:lineRule="exact"/>
        <w:rPr>
          <w:sz w:val="20"/>
          <w:szCs w:val="20"/>
          <w:color w:val="auto"/>
        </w:rPr>
      </w:pPr>
    </w:p>
    <w:p>
      <w:pPr>
        <w:jc w:val="both"/>
        <w:ind w:left="80" w:right="20"/>
        <w:spacing w:after="0" w:line="251" w:lineRule="auto"/>
        <w:rPr>
          <w:sz w:val="20"/>
          <w:szCs w:val="20"/>
          <w:color w:val="auto"/>
        </w:rPr>
      </w:pPr>
      <w:r>
        <w:rPr>
          <w:rFonts w:ascii="Arial" w:cs="Arial" w:eastAsia="Arial" w:hAnsi="Arial"/>
          <w:sz w:val="16"/>
          <w:szCs w:val="16"/>
          <w:color w:val="231F20"/>
        </w:rPr>
        <w:t>The discount rates as of December 31, 2016 of the Euroland, United Kingdom and the United States zones (including United Arab Emirates) are determined by holding the benefit flows of services expected from the plans and by using a curve of yield built from a wide basket of bonds of companies of high quality (noted AA). Finally, in the countries where the market bonds of companies of high quality is insufficiently deep, the discount rates are measured in reference to governmental rates.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The references used to determine the discount rates in December 31, 2016 remain unchanged compared to 2015.</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A 0.25% decrease in the discount rate would increase the defined benefit obligation by approximately 3.7%.</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A 0.25% increase in the inflation rate would increase the defined benefit obligation by approximately 1.5%.</w:t>
      </w:r>
    </w:p>
    <w:p>
      <w:pPr>
        <w:sectPr>
          <w:pgSz w:w="11900" w:h="16838" w:orient="portrait"/>
          <w:cols w:equalWidth="0" w:num="1">
            <w:col w:w="11440"/>
          </w:cols>
          <w:pgMar w:left="240" w:top="601" w:right="21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b w:val="1"/>
          <w:bCs w:val="1"/>
          <w:color w:val="2360A6"/>
        </w:rPr>
        <w:t>As of December 31, 2015</w:t>
      </w:r>
    </w:p>
    <w:p>
      <w:pPr>
        <w:spacing w:after="0" w:line="6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discount rates as of December 31, 2015 of the Euroland, United Kingdom and the United States zones (including United Arab Emirates) are determined by holding the benefit flows of services expected from the plans and by using a curve of yield built from a wide basket of bonds of companies of high quality (noted AA). Finally, in the countries where the market bonds of companies of high quality is insufficiently deep, the discount rates are measured in reference to governmental rates.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references used to determine the discount rates in December 31, 2015 remain unchanged compared to 2014. A 0.25% decrease in the discount rate would increase the defined benefit obligation by approximately 2.4%. A 0.25% increase in the inflation rate would increase the defined benefit obligation by approximately 1.8%.</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2014</w:t>
      </w:r>
    </w:p>
    <w:p>
      <w:pPr>
        <w:spacing w:after="0" w:line="24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discount rates as of December 31, 2014 and 2013 of the Euroland, United Kingdom and the United States zones (including United Arab Emirates) are determined by holding the benefit flows of services expected from the plans and by using a curve of yield built from a wide basket of bonds of companies of high quality (noted AA). The Norway one refers to the market of covered bonds. Finally, in the countries where the market bonds of companies of high quality is insufficiently deep, the discount rates are measured in reference to governmental rates.</w:t>
      </w:r>
    </w:p>
    <w:p>
      <w:pPr>
        <w:spacing w:after="0" w:line="2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references used to determine the discount rates in December 31, 2014 remain unchanged compared to 2013. A 0.25% decrease in the discount rate would increase the defined benefit obligation by approximately 2.4%. A 0.25% increase in the inflation rate would increase the defined benefit obligation by approximately 1.6%.</w:t>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24 Trade Payables</w:t>
      </w:r>
    </w:p>
    <w:p>
      <w:pPr>
        <w:spacing w:after="0" w:line="154" w:lineRule="exact"/>
        <w:rPr>
          <w:sz w:val="20"/>
          <w:szCs w:val="20"/>
          <w:color w:val="auto"/>
        </w:rPr>
      </w:pPr>
    </w:p>
    <w:p>
      <w:pPr>
        <w:jc w:val="both"/>
        <w:ind w:left="40"/>
        <w:spacing w:after="0" w:line="260" w:lineRule="auto"/>
        <w:rPr>
          <w:sz w:val="20"/>
          <w:szCs w:val="20"/>
          <w:color w:val="auto"/>
        </w:rPr>
      </w:pPr>
      <w:r>
        <w:rPr>
          <w:rFonts w:ascii="Arial" w:cs="Arial" w:eastAsia="Arial" w:hAnsi="Arial"/>
          <w:sz w:val="16"/>
          <w:szCs w:val="16"/>
          <w:color w:val="231F20"/>
        </w:rPr>
        <w:t>Trade payables amounted to €3,684.0 million as of December 31, 2016 as compared to €2,480.4 million as of December 31, 2015 and €2,312.9 million as of December 31, 2014.</w:t>
      </w:r>
    </w:p>
    <w:p>
      <w:pPr>
        <w:spacing w:after="0" w:line="196" w:lineRule="exact"/>
        <w:rPr>
          <w:sz w:val="20"/>
          <w:szCs w:val="20"/>
          <w:color w:val="auto"/>
        </w:rPr>
      </w:pPr>
    </w:p>
    <w:p>
      <w:pPr>
        <w:jc w:val="both"/>
        <w:ind w:left="40"/>
        <w:spacing w:after="0" w:line="253" w:lineRule="auto"/>
        <w:rPr>
          <w:sz w:val="20"/>
          <w:szCs w:val="20"/>
          <w:color w:val="auto"/>
        </w:rPr>
      </w:pPr>
      <w:r>
        <w:rPr>
          <w:rFonts w:ascii="Arial" w:cs="Arial" w:eastAsia="Arial" w:hAnsi="Arial"/>
          <w:sz w:val="16"/>
          <w:szCs w:val="16"/>
          <w:color w:val="231F20"/>
        </w:rPr>
        <w:t>Trade payables are non-interest bearing liabilities. Their maturities are linked to the operating cycle of contracts. As of December 31, 2016, trade payables with a maturity of less than 12 months amounted to €3,668.1 million. As of December 31, 2015, trade payables with a maturity of less than 12 months amounted to €2,479.3 million. As of December 31, 2014, trade payables with a maturity of less than 12 months amounted to €2,287.0 million.</w:t>
      </w:r>
    </w:p>
    <w:p>
      <w:pPr>
        <w:sectPr>
          <w:pgSz w:w="11900" w:h="16838" w:orient="portrait"/>
          <w:cols w:equalWidth="0" w:num="1">
            <w:col w:w="11340"/>
          </w:cols>
          <w:pgMar w:left="320" w:top="580" w:right="239" w:bottom="1440" w:gutter="0" w:footer="0" w:header="0"/>
        </w:sectPr>
      </w:pPr>
    </w:p>
    <w:bookmarkStart w:id="150" w:name="page151"/>
    <w:bookmarkEnd w:id="150"/>
    <w:p>
      <w:pPr>
        <w:spacing w:after="0"/>
        <w:rPr>
          <w:sz w:val="20"/>
          <w:szCs w:val="20"/>
          <w:color w:val="auto"/>
        </w:rPr>
      </w:pPr>
      <w:r>
        <w:rPr>
          <w:rFonts w:ascii="Arial" w:cs="Arial" w:eastAsia="Arial" w:hAnsi="Arial"/>
          <w:sz w:val="29"/>
          <w:szCs w:val="29"/>
          <w:b w:val="1"/>
          <w:bCs w:val="1"/>
          <w:color w:val="2360A6"/>
        </w:rPr>
        <w:t>Note 25 Other Liabilities (Current and Non-Current)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31F20"/>
        </w:rPr>
        <w:t>Other current and non-current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87630</wp:posOffset>
            </wp:positionV>
            <wp:extent cx="6774815" cy="2693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4815" cy="2693035"/>
                    </a:xfrm>
                    <a:prstGeom prst="rect">
                      <a:avLst/>
                    </a:prstGeom>
                    <a:noFill/>
                  </pic:spPr>
                </pic:pic>
              </a:graphicData>
            </a:graphic>
          </wp:anchor>
        </w:drawing>
      </w:r>
    </w:p>
    <w:p>
      <w:pPr>
        <w:spacing w:after="0" w:line="98" w:lineRule="exact"/>
        <w:rPr>
          <w:sz w:val="20"/>
          <w:szCs w:val="20"/>
          <w:color w:val="auto"/>
        </w:rPr>
      </w:pPr>
    </w:p>
    <w:tbl>
      <w:tblPr>
        <w:tblLayout w:type="fixed"/>
        <w:tblInd w:w="300" w:type="dxa"/>
        <w:tblCellMar>
          <w:top w:w="0" w:type="dxa"/>
          <w:left w:w="0" w:type="dxa"/>
          <w:bottom w:w="0" w:type="dxa"/>
          <w:right w:w="0" w:type="dxa"/>
        </w:tblCellMar>
      </w:tblPr>
      <w:tr>
        <w:trPr>
          <w:trHeight w:val="189"/>
        </w:trPr>
        <w:tc>
          <w:tcPr>
            <w:tcW w:w="4920" w:type="dxa"/>
            <w:vAlign w:val="bottom"/>
            <w:tcBorders>
              <w:top w:val="single" w:sz="8" w:color="2360A6"/>
              <w:right w:val="single" w:sz="8" w:color="2360A6"/>
            </w:tcBorders>
          </w:tcPr>
          <w:p>
            <w:pPr>
              <w:spacing w:after="0"/>
              <w:rPr>
                <w:sz w:val="16"/>
                <w:szCs w:val="16"/>
                <w:color w:val="auto"/>
              </w:rPr>
            </w:pPr>
          </w:p>
        </w:tc>
        <w:tc>
          <w:tcPr>
            <w:tcW w:w="1920" w:type="dxa"/>
            <w:vAlign w:val="bottom"/>
            <w:tcBorders>
              <w:top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w:t>
            </w:r>
          </w:p>
        </w:tc>
        <w:tc>
          <w:tcPr>
            <w:tcW w:w="192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As of</w:t>
            </w:r>
          </w:p>
        </w:tc>
        <w:tc>
          <w:tcPr>
            <w:tcW w:w="1900" w:type="dxa"/>
            <w:vAlign w:val="bottom"/>
            <w:tcBorders>
              <w:top w:val="single" w:sz="8" w:color="2360A6"/>
            </w:tcBorders>
          </w:tcPr>
          <w:p>
            <w:pPr>
              <w:jc w:val="right"/>
              <w:spacing w:after="0"/>
              <w:rPr>
                <w:sz w:val="20"/>
                <w:szCs w:val="20"/>
                <w:color w:val="auto"/>
              </w:rPr>
            </w:pPr>
            <w:r>
              <w:rPr>
                <w:rFonts w:ascii="Arial" w:cs="Arial" w:eastAsia="Arial" w:hAnsi="Arial"/>
                <w:sz w:val="14"/>
                <w:szCs w:val="14"/>
                <w:b w:val="1"/>
                <w:bCs w:val="1"/>
                <w:color w:val="2360A6"/>
              </w:rPr>
              <w:t>As of</w:t>
            </w:r>
          </w:p>
        </w:tc>
        <w:tc>
          <w:tcPr>
            <w:tcW w:w="20" w:type="dxa"/>
            <w:vAlign w:val="bottom"/>
            <w:tcBorders>
              <w:top w:val="single" w:sz="8" w:color="2360A6"/>
            </w:tcBorders>
          </w:tcPr>
          <w:p>
            <w:pPr>
              <w:spacing w:after="0"/>
              <w:rPr>
                <w:sz w:val="16"/>
                <w:szCs w:val="16"/>
                <w:color w:val="auto"/>
              </w:rPr>
            </w:pPr>
          </w:p>
        </w:tc>
      </w:tr>
      <w:tr>
        <w:trPr>
          <w:trHeight w:val="162"/>
        </w:trPr>
        <w:tc>
          <w:tcPr>
            <w:tcW w:w="4920" w:type="dxa"/>
            <w:vAlign w:val="bottom"/>
            <w:tcBorders>
              <w:right w:val="single" w:sz="8" w:color="2360A6"/>
            </w:tcBorders>
          </w:tcPr>
          <w:p>
            <w:pPr>
              <w:spacing w:after="0"/>
              <w:rPr>
                <w:sz w:val="14"/>
                <w:szCs w:val="14"/>
                <w:color w:val="auto"/>
              </w:rPr>
            </w:pPr>
          </w:p>
        </w:tc>
        <w:tc>
          <w:tcPr>
            <w:tcW w:w="1920" w:type="dxa"/>
            <w:vAlign w:val="bottom"/>
            <w:tcBorders>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December 31,</w:t>
            </w:r>
          </w:p>
        </w:tc>
        <w:tc>
          <w:tcPr>
            <w:tcW w:w="192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December 31,</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2360A6"/>
              </w:rPr>
              <w:t>December 31,</w:t>
            </w:r>
          </w:p>
        </w:tc>
        <w:tc>
          <w:tcPr>
            <w:tcW w:w="20" w:type="dxa"/>
            <w:vAlign w:val="bottom"/>
          </w:tcPr>
          <w:p>
            <w:pPr>
              <w:spacing w:after="0"/>
              <w:rPr>
                <w:sz w:val="14"/>
                <w:szCs w:val="14"/>
                <w:color w:val="auto"/>
              </w:rPr>
            </w:pPr>
          </w:p>
        </w:tc>
      </w:tr>
      <w:tr>
        <w:trPr>
          <w:trHeight w:val="196"/>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92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2015</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c>
          <w:tcPr>
            <w:tcW w:w="20" w:type="dxa"/>
            <w:vAlign w:val="bottom"/>
            <w:tcBorders>
              <w:bottom w:val="single" w:sz="8" w:color="2360A6"/>
            </w:tcBorders>
          </w:tcPr>
          <w:p>
            <w:pPr>
              <w:spacing w:after="0"/>
              <w:rPr>
                <w:sz w:val="17"/>
                <w:szCs w:val="17"/>
                <w:color w:val="auto"/>
              </w:rPr>
            </w:pPr>
          </w:p>
        </w:tc>
      </w:tr>
      <w:tr>
        <w:trPr>
          <w:trHeight w:val="210"/>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Wages and Salaries</w:t>
            </w:r>
          </w:p>
        </w:tc>
        <w:tc>
          <w:tcPr>
            <w:tcW w:w="19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291.9</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325.9</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322.8</w:t>
            </w:r>
          </w:p>
        </w:tc>
        <w:tc>
          <w:tcPr>
            <w:tcW w:w="20" w:type="dxa"/>
            <w:vAlign w:val="bottom"/>
            <w:tcBorders>
              <w:bottom w:val="single" w:sz="8" w:color="2360A6"/>
            </w:tcBorders>
          </w:tcPr>
          <w:p>
            <w:pPr>
              <w:spacing w:after="0"/>
              <w:rPr>
                <w:sz w:val="18"/>
                <w:szCs w:val="18"/>
                <w:color w:val="auto"/>
              </w:rPr>
            </w:pPr>
          </w:p>
        </w:tc>
      </w:tr>
      <w:tr>
        <w:trPr>
          <w:trHeight w:val="210"/>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Social Security Costs</w:t>
            </w:r>
          </w:p>
        </w:tc>
        <w:tc>
          <w:tcPr>
            <w:tcW w:w="19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62.9</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65.2</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73.9</w:t>
            </w:r>
          </w:p>
        </w:tc>
        <w:tc>
          <w:tcPr>
            <w:tcW w:w="20" w:type="dxa"/>
            <w:vAlign w:val="bottom"/>
            <w:tcBorders>
              <w:bottom w:val="single" w:sz="8" w:color="2360A6"/>
            </w:tcBorders>
          </w:tcPr>
          <w:p>
            <w:pPr>
              <w:spacing w:after="0"/>
              <w:rPr>
                <w:sz w:val="18"/>
                <w:szCs w:val="18"/>
                <w:color w:val="auto"/>
              </w:rPr>
            </w:pPr>
          </w:p>
        </w:tc>
      </w:tr>
      <w:tr>
        <w:trPr>
          <w:trHeight w:val="210"/>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Tax Payables</w:t>
            </w:r>
          </w:p>
        </w:tc>
        <w:tc>
          <w:tcPr>
            <w:tcW w:w="19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136.1</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168.8</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104.6</w:t>
            </w:r>
          </w:p>
        </w:tc>
        <w:tc>
          <w:tcPr>
            <w:tcW w:w="20" w:type="dxa"/>
            <w:vAlign w:val="bottom"/>
            <w:tcBorders>
              <w:bottom w:val="single" w:sz="8" w:color="2360A6"/>
            </w:tcBorders>
          </w:tcPr>
          <w:p>
            <w:pPr>
              <w:spacing w:after="0"/>
              <w:rPr>
                <w:sz w:val="18"/>
                <w:szCs w:val="18"/>
                <w:color w:val="auto"/>
              </w:rPr>
            </w:pPr>
          </w:p>
        </w:tc>
      </w:tr>
      <w:tr>
        <w:trPr>
          <w:trHeight w:val="210"/>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Deferred Income</w:t>
            </w:r>
          </w:p>
        </w:tc>
        <w:tc>
          <w:tcPr>
            <w:tcW w:w="19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17.0</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23.7</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27.8</w:t>
            </w:r>
          </w:p>
        </w:tc>
        <w:tc>
          <w:tcPr>
            <w:tcW w:w="20" w:type="dxa"/>
            <w:vAlign w:val="bottom"/>
            <w:tcBorders>
              <w:bottom w:val="single" w:sz="8" w:color="2360A6"/>
            </w:tcBorders>
          </w:tcPr>
          <w:p>
            <w:pPr>
              <w:spacing w:after="0"/>
              <w:rPr>
                <w:sz w:val="18"/>
                <w:szCs w:val="18"/>
                <w:color w:val="auto"/>
              </w:rPr>
            </w:pPr>
          </w:p>
        </w:tc>
      </w:tr>
      <w:tr>
        <w:trPr>
          <w:trHeight w:val="256"/>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 xml:space="preserve">Accruals on Completed Contracts </w:t>
            </w:r>
            <w:r>
              <w:rPr>
                <w:rFonts w:ascii="Arial" w:cs="Arial" w:eastAsia="Arial" w:hAnsi="Arial"/>
                <w:sz w:val="14"/>
                <w:szCs w:val="14"/>
                <w:color w:val="231F20"/>
                <w:vertAlign w:val="superscript"/>
              </w:rPr>
              <w:t>(1)</w:t>
            </w:r>
          </w:p>
        </w:tc>
        <w:tc>
          <w:tcPr>
            <w:tcW w:w="19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257.9</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170.0</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161.4</w:t>
            </w:r>
          </w:p>
        </w:tc>
        <w:tc>
          <w:tcPr>
            <w:tcW w:w="20" w:type="dxa"/>
            <w:vAlign w:val="bottom"/>
            <w:tcBorders>
              <w:bottom w:val="single" w:sz="8" w:color="2360A6"/>
            </w:tcBorders>
          </w:tcPr>
          <w:p>
            <w:pPr>
              <w:spacing w:after="0"/>
              <w:rPr>
                <w:sz w:val="22"/>
                <w:szCs w:val="22"/>
                <w:color w:val="auto"/>
              </w:rPr>
            </w:pPr>
          </w:p>
        </w:tc>
      </w:tr>
      <w:tr>
        <w:trPr>
          <w:trHeight w:val="204"/>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Current Accounts on Contracts under Joint Arrangements</w:t>
            </w:r>
          </w:p>
        </w:tc>
        <w:tc>
          <w:tcPr>
            <w:tcW w:w="19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22.1</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21.8</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20.7</w:t>
            </w:r>
          </w:p>
        </w:tc>
        <w:tc>
          <w:tcPr>
            <w:tcW w:w="20" w:type="dxa"/>
            <w:vAlign w:val="bottom"/>
            <w:tcBorders>
              <w:bottom w:val="single" w:sz="8" w:color="2360A6"/>
            </w:tcBorders>
          </w:tcPr>
          <w:p>
            <w:pPr>
              <w:spacing w:after="0"/>
              <w:rPr>
                <w:sz w:val="17"/>
                <w:szCs w:val="17"/>
                <w:color w:val="auto"/>
              </w:rPr>
            </w:pPr>
          </w:p>
        </w:tc>
      </w:tr>
      <w:tr>
        <w:trPr>
          <w:trHeight w:val="256"/>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 xml:space="preserve">Advances Received </w:t>
            </w:r>
            <w:r>
              <w:rPr>
                <w:rFonts w:ascii="Arial" w:cs="Arial" w:eastAsia="Arial" w:hAnsi="Arial"/>
                <w:sz w:val="14"/>
                <w:szCs w:val="14"/>
                <w:color w:val="231F20"/>
                <w:vertAlign w:val="superscript"/>
              </w:rPr>
              <w:t>(2)</w:t>
            </w:r>
          </w:p>
        </w:tc>
        <w:tc>
          <w:tcPr>
            <w:tcW w:w="19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776.7</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907.4</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857.8</w:t>
            </w:r>
          </w:p>
        </w:tc>
        <w:tc>
          <w:tcPr>
            <w:tcW w:w="20" w:type="dxa"/>
            <w:vAlign w:val="bottom"/>
            <w:tcBorders>
              <w:bottom w:val="single" w:sz="8" w:color="2360A6"/>
            </w:tcBorders>
          </w:tcPr>
          <w:p>
            <w:pPr>
              <w:spacing w:after="0"/>
              <w:rPr>
                <w:sz w:val="22"/>
                <w:szCs w:val="22"/>
                <w:color w:val="auto"/>
              </w:rPr>
            </w:pPr>
          </w:p>
        </w:tc>
      </w:tr>
      <w:tr>
        <w:trPr>
          <w:trHeight w:val="204"/>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w:t>
            </w:r>
          </w:p>
        </w:tc>
        <w:tc>
          <w:tcPr>
            <w:tcW w:w="19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158.1</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71.7</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60.7</w:t>
            </w:r>
          </w:p>
        </w:tc>
        <w:tc>
          <w:tcPr>
            <w:tcW w:w="20" w:type="dxa"/>
            <w:vAlign w:val="bottom"/>
            <w:tcBorders>
              <w:bottom w:val="single" w:sz="8" w:color="2360A6"/>
            </w:tcBorders>
          </w:tcPr>
          <w:p>
            <w:pPr>
              <w:spacing w:after="0"/>
              <w:rPr>
                <w:sz w:val="17"/>
                <w:szCs w:val="17"/>
                <w:color w:val="auto"/>
              </w:rPr>
            </w:pPr>
          </w:p>
        </w:tc>
      </w:tr>
      <w:tr>
        <w:trPr>
          <w:trHeight w:val="210"/>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Total Other Current Liabilities</w:t>
            </w:r>
          </w:p>
        </w:tc>
        <w:tc>
          <w:tcPr>
            <w:tcW w:w="19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b w:val="1"/>
                <w:bCs w:val="1"/>
                <w:color w:val="1E4BA0"/>
              </w:rPr>
              <w:t>1,722.7</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1,754.5</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1,629.7</w:t>
            </w:r>
          </w:p>
        </w:tc>
        <w:tc>
          <w:tcPr>
            <w:tcW w:w="20" w:type="dxa"/>
            <w:vAlign w:val="bottom"/>
            <w:tcBorders>
              <w:bottom w:val="single" w:sz="8" w:color="2360A6"/>
            </w:tcBorders>
          </w:tcPr>
          <w:p>
            <w:pPr>
              <w:spacing w:after="0"/>
              <w:rPr>
                <w:sz w:val="18"/>
                <w:szCs w:val="18"/>
                <w:color w:val="auto"/>
              </w:rPr>
            </w:pPr>
          </w:p>
        </w:tc>
      </w:tr>
      <w:tr>
        <w:trPr>
          <w:trHeight w:val="210"/>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Payables on Fixed Assets</w:t>
            </w:r>
          </w:p>
        </w:tc>
        <w:tc>
          <w:tcPr>
            <w:tcW w:w="19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13.3</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15.3</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29.6</w:t>
            </w:r>
          </w:p>
        </w:tc>
        <w:tc>
          <w:tcPr>
            <w:tcW w:w="20" w:type="dxa"/>
            <w:vAlign w:val="bottom"/>
            <w:tcBorders>
              <w:bottom w:val="single" w:sz="8" w:color="2360A6"/>
            </w:tcBorders>
          </w:tcPr>
          <w:p>
            <w:pPr>
              <w:spacing w:after="0"/>
              <w:rPr>
                <w:sz w:val="18"/>
                <w:szCs w:val="18"/>
                <w:color w:val="auto"/>
              </w:rPr>
            </w:pPr>
          </w:p>
        </w:tc>
      </w:tr>
      <w:tr>
        <w:trPr>
          <w:trHeight w:val="210"/>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Subsidies</w:t>
            </w:r>
          </w:p>
        </w:tc>
        <w:tc>
          <w:tcPr>
            <w:tcW w:w="19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6.6</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7.6</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9.4</w:t>
            </w:r>
          </w:p>
        </w:tc>
        <w:tc>
          <w:tcPr>
            <w:tcW w:w="20" w:type="dxa"/>
            <w:vAlign w:val="bottom"/>
            <w:tcBorders>
              <w:bottom w:val="single" w:sz="8" w:color="2360A6"/>
            </w:tcBorders>
          </w:tcPr>
          <w:p>
            <w:pPr>
              <w:spacing w:after="0"/>
              <w:rPr>
                <w:sz w:val="18"/>
                <w:szCs w:val="18"/>
                <w:color w:val="auto"/>
              </w:rPr>
            </w:pPr>
          </w:p>
        </w:tc>
      </w:tr>
      <w:tr>
        <w:trPr>
          <w:trHeight w:val="210"/>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w:t>
            </w:r>
          </w:p>
        </w:tc>
        <w:tc>
          <w:tcPr>
            <w:tcW w:w="19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6.9</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9.3</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1.6</w:t>
            </w:r>
          </w:p>
        </w:tc>
        <w:tc>
          <w:tcPr>
            <w:tcW w:w="20" w:type="dxa"/>
            <w:vAlign w:val="bottom"/>
            <w:tcBorders>
              <w:bottom w:val="single" w:sz="8" w:color="2360A6"/>
            </w:tcBorders>
          </w:tcPr>
          <w:p>
            <w:pPr>
              <w:spacing w:after="0"/>
              <w:rPr>
                <w:sz w:val="18"/>
                <w:szCs w:val="18"/>
                <w:color w:val="auto"/>
              </w:rPr>
            </w:pPr>
          </w:p>
        </w:tc>
      </w:tr>
      <w:tr>
        <w:trPr>
          <w:trHeight w:val="210"/>
        </w:trPr>
        <w:tc>
          <w:tcPr>
            <w:tcW w:w="4920" w:type="dxa"/>
            <w:vAlign w:val="bottom"/>
            <w:tcBorders>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Total Other Non-Current Liabilities</w:t>
            </w:r>
          </w:p>
        </w:tc>
        <w:tc>
          <w:tcPr>
            <w:tcW w:w="192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b w:val="1"/>
                <w:bCs w:val="1"/>
                <w:color w:val="1E4BA0"/>
              </w:rPr>
              <w:t>26.8</w:t>
            </w:r>
          </w:p>
        </w:tc>
        <w:tc>
          <w:tcPr>
            <w:tcW w:w="19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1E4BA0"/>
              </w:rPr>
              <w:t>32.2</w:t>
            </w:r>
          </w:p>
        </w:tc>
        <w:tc>
          <w:tcPr>
            <w:tcW w:w="190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1E4BA0"/>
              </w:rPr>
              <w:t>40.6</w:t>
            </w:r>
          </w:p>
        </w:tc>
        <w:tc>
          <w:tcPr>
            <w:tcW w:w="20" w:type="dxa"/>
            <w:vAlign w:val="bottom"/>
            <w:tcBorders>
              <w:bottom w:val="single" w:sz="8" w:color="2360A6"/>
            </w:tcBorders>
          </w:tcPr>
          <w:p>
            <w:pPr>
              <w:spacing w:after="0"/>
              <w:rPr>
                <w:sz w:val="18"/>
                <w:szCs w:val="18"/>
                <w:color w:val="auto"/>
              </w:rPr>
            </w:pPr>
          </w:p>
        </w:tc>
      </w:tr>
      <w:tr>
        <w:trPr>
          <w:trHeight w:val="210"/>
        </w:trPr>
        <w:tc>
          <w:tcPr>
            <w:tcW w:w="4920" w:type="dxa"/>
            <w:vAlign w:val="bottom"/>
            <w:tcBorders>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1E4BA0"/>
              </w:rPr>
              <w:t>TOTAL OTHER LIABILITIES</w:t>
            </w:r>
          </w:p>
        </w:tc>
        <w:tc>
          <w:tcPr>
            <w:tcW w:w="19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1E4BA0"/>
              </w:rPr>
              <w:t>1,749.5</w:t>
            </w:r>
          </w:p>
        </w:tc>
        <w:tc>
          <w:tcPr>
            <w:tcW w:w="19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1E4BA0"/>
              </w:rPr>
              <w:t>1,786.7</w:t>
            </w:r>
          </w:p>
        </w:tc>
        <w:tc>
          <w:tcPr>
            <w:tcW w:w="190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1E4BA0"/>
              </w:rPr>
              <w:t>1,670.3</w:t>
            </w:r>
          </w:p>
        </w:tc>
        <w:tc>
          <w:tcPr>
            <w:tcW w:w="20" w:type="dxa"/>
            <w:vAlign w:val="bottom"/>
            <w:tcBorders>
              <w:bottom w:val="single" w:sz="8" w:color="2360A6"/>
            </w:tcBorders>
          </w:tcPr>
          <w:p>
            <w:pPr>
              <w:spacing w:after="0"/>
              <w:rPr>
                <w:sz w:val="18"/>
                <w:szCs w:val="18"/>
                <w:color w:val="auto"/>
              </w:rPr>
            </w:pPr>
          </w:p>
        </w:tc>
      </w:tr>
    </w:tbl>
    <w:p>
      <w:pPr>
        <w:spacing w:after="0" w:line="21" w:lineRule="exact"/>
        <w:rPr>
          <w:sz w:val="20"/>
          <w:szCs w:val="20"/>
          <w:color w:val="auto"/>
        </w:rPr>
      </w:pPr>
    </w:p>
    <w:p>
      <w:pPr>
        <w:ind w:left="340"/>
        <w:spacing w:after="0"/>
        <w:rPr>
          <w:sz w:val="20"/>
          <w:szCs w:val="20"/>
          <w:color w:val="auto"/>
        </w:rPr>
      </w:pPr>
      <w:r>
        <w:rPr>
          <w:rFonts w:ascii="Arial" w:cs="Arial" w:eastAsia="Arial" w:hAnsi="Arial"/>
          <w:sz w:val="13"/>
          <w:szCs w:val="13"/>
          <w:color w:val="231F20"/>
        </w:rPr>
        <w:t>(1) When the contract is completed, accrued liabilities are recorded to cover pending expenses until the client signs the final acceptance (see Note 1-C (b) - Long-term contracts).</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3"/>
          <w:szCs w:val="13"/>
          <w:color w:val="231F20"/>
        </w:rPr>
        <w:t>(2) Corresponds to advances received and deferred income on contracts recorded in accordance with IAS 18, not identified as construction contracts.</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The breakdown between current and non-current liabilities is detailed in Note 1-C Accounting rules and estimates.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The portion of current liabilities with a maturity of less than 12 months amounted to €1,722.6 million as of December 31, 2016.</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The portion of current liabilities with a maturity of less than 12 months amounted to €1,750.9 million as of December 31, 2015.</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The portion of current liabilities with a maturity of less than 12 months amounted to €1,587.1 million as of December 31, 2014.</w:t>
      </w:r>
    </w:p>
    <w:p>
      <w:pPr>
        <w:sectPr>
          <w:pgSz w:w="11900" w:h="16838" w:orient="portrait"/>
          <w:cols w:equalWidth="0" w:num="1">
            <w:col w:w="10980"/>
          </w:cols>
          <w:pgMar w:left="320" w:top="694" w:right="599" w:bottom="1440" w:gutter="0" w:footer="0" w:header="0"/>
        </w:sectPr>
      </w:pPr>
    </w:p>
    <w:bookmarkStart w:id="151" w:name="page152"/>
    <w:bookmarkEnd w:id="151"/>
    <w:p>
      <w:pPr>
        <w:ind w:left="80"/>
        <w:spacing w:after="0"/>
        <w:rPr>
          <w:sz w:val="20"/>
          <w:szCs w:val="20"/>
          <w:color w:val="auto"/>
        </w:rPr>
      </w:pPr>
      <w:r>
        <w:rPr>
          <w:rFonts w:ascii="Arial" w:cs="Arial" w:eastAsia="Arial" w:hAnsi="Arial"/>
          <w:sz w:val="29"/>
          <w:szCs w:val="29"/>
          <w:b w:val="1"/>
          <w:bCs w:val="1"/>
          <w:color w:val="2360A6"/>
        </w:rPr>
        <w:t>Note 26 Financial Instruments</w:t>
      </w:r>
    </w:p>
    <w:p>
      <w:pPr>
        <w:spacing w:after="0" w:line="235"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In compliance with IFRS 7, information disclosed on financial instruments is as follows:</w:t>
      </w:r>
    </w:p>
    <w:p>
      <w:pPr>
        <w:spacing w:after="0" w:line="297"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Financial Assets and Liabilities by Category</w:t>
      </w:r>
    </w:p>
    <w:p>
      <w:pPr>
        <w:spacing w:after="0" w:line="83"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Financial assets and liabilities break down as follows:</w:t>
      </w:r>
    </w:p>
    <w:p>
      <w:pPr>
        <w:spacing w:after="0" w:line="118" w:lineRule="exact"/>
        <w:rPr>
          <w:sz w:val="20"/>
          <w:szCs w:val="20"/>
          <w:color w:val="auto"/>
        </w:rPr>
      </w:pPr>
    </w:p>
    <w:tbl>
      <w:tblPr>
        <w:tblLayout w:type="fixed"/>
        <w:tblInd w:w="370" w:type="dxa"/>
        <w:tblCellMar>
          <w:top w:w="0" w:type="dxa"/>
          <w:left w:w="0" w:type="dxa"/>
          <w:bottom w:w="0" w:type="dxa"/>
          <w:right w:w="0" w:type="dxa"/>
        </w:tblCellMar>
      </w:tblPr>
      <w:tr>
        <w:trPr>
          <w:trHeight w:val="223"/>
        </w:trPr>
        <w:tc>
          <w:tcPr>
            <w:tcW w:w="2820" w:type="dxa"/>
            <w:vAlign w:val="bottom"/>
            <w:tcBorders>
              <w:top w:val="single" w:sz="8" w:color="2360A6"/>
              <w:left w:val="single" w:sz="8" w:color="2360A6"/>
              <w:right w:val="single" w:sz="8" w:color="2360A6"/>
            </w:tcBorders>
          </w:tcPr>
          <w:p>
            <w:pPr>
              <w:spacing w:after="0"/>
              <w:rPr>
                <w:sz w:val="19"/>
                <w:szCs w:val="19"/>
                <w:color w:val="auto"/>
              </w:rPr>
            </w:pPr>
          </w:p>
        </w:tc>
        <w:tc>
          <w:tcPr>
            <w:tcW w:w="96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98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1160" w:type="dxa"/>
            <w:vAlign w:val="bottom"/>
            <w:tcBorders>
              <w:top w:val="single" w:sz="8" w:color="2360A6"/>
              <w:bottom w:val="single" w:sz="8" w:color="2360A6"/>
            </w:tcBorders>
            <w:shd w:val="clear" w:color="auto" w:fill="2360A6"/>
          </w:tcPr>
          <w:p>
            <w:pPr>
              <w:spacing w:after="0"/>
              <w:rPr>
                <w:sz w:val="19"/>
                <w:szCs w:val="19"/>
                <w:color w:val="auto"/>
              </w:rPr>
            </w:pPr>
          </w:p>
        </w:tc>
        <w:tc>
          <w:tcPr>
            <w:tcW w:w="2500" w:type="dxa"/>
            <w:vAlign w:val="bottom"/>
            <w:tcBorders>
              <w:top w:val="single" w:sz="8" w:color="2360A6"/>
              <w:bottom w:val="single" w:sz="8" w:color="2360A6"/>
              <w:right w:val="single" w:sz="8" w:color="2360A6"/>
            </w:tcBorders>
            <w:gridSpan w:val="3"/>
            <w:shd w:val="clear" w:color="auto" w:fill="2360A6"/>
          </w:tcPr>
          <w:p>
            <w:pPr>
              <w:jc w:val="right"/>
              <w:ind w:right="728"/>
              <w:spacing w:after="0"/>
              <w:rPr>
                <w:sz w:val="20"/>
                <w:szCs w:val="20"/>
                <w:color w:val="auto"/>
              </w:rPr>
            </w:pPr>
            <w:r>
              <w:rPr>
                <w:rFonts w:ascii="Arial" w:cs="Arial" w:eastAsia="Arial" w:hAnsi="Arial"/>
                <w:sz w:val="14"/>
                <w:szCs w:val="14"/>
                <w:b w:val="1"/>
                <w:bCs w:val="1"/>
                <w:color w:val="FFFFFF"/>
              </w:rPr>
              <w:t>As of December 31, 2016</w:t>
            </w:r>
          </w:p>
        </w:tc>
        <w:tc>
          <w:tcPr>
            <w:tcW w:w="126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106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r>
      <w:tr>
        <w:trPr>
          <w:trHeight w:val="210"/>
        </w:trPr>
        <w:tc>
          <w:tcPr>
            <w:tcW w:w="2820" w:type="dxa"/>
            <w:vAlign w:val="bottom"/>
            <w:tcBorders>
              <w:left w:val="single" w:sz="8" w:color="2360A6"/>
              <w:right w:val="single" w:sz="8" w:color="2360A6"/>
            </w:tcBorders>
          </w:tcPr>
          <w:p>
            <w:pPr>
              <w:spacing w:after="0"/>
              <w:rPr>
                <w:sz w:val="18"/>
                <w:szCs w:val="18"/>
                <w:color w:val="auto"/>
              </w:rPr>
            </w:pPr>
          </w:p>
        </w:tc>
        <w:tc>
          <w:tcPr>
            <w:tcW w:w="960" w:type="dxa"/>
            <w:vAlign w:val="bottom"/>
            <w:tcBorders>
              <w:bottom w:val="single" w:sz="8" w:color="2360A6"/>
              <w:right w:val="single" w:sz="8" w:color="DCDDDE"/>
            </w:tcBorders>
            <w:shd w:val="clear" w:color="auto" w:fill="DCDDDE"/>
          </w:tcPr>
          <w:p>
            <w:pPr>
              <w:spacing w:after="0"/>
              <w:rPr>
                <w:sz w:val="18"/>
                <w:szCs w:val="18"/>
                <w:color w:val="auto"/>
              </w:rPr>
            </w:pPr>
          </w:p>
        </w:tc>
        <w:tc>
          <w:tcPr>
            <w:tcW w:w="980" w:type="dxa"/>
            <w:vAlign w:val="bottom"/>
            <w:tcBorders>
              <w:bottom w:val="single" w:sz="8" w:color="2360A6"/>
              <w:right w:val="single" w:sz="8" w:color="DCDDDE"/>
            </w:tcBorders>
            <w:shd w:val="clear" w:color="auto" w:fill="DCDDDE"/>
          </w:tcPr>
          <w:p>
            <w:pPr>
              <w:spacing w:after="0"/>
              <w:rPr>
                <w:sz w:val="18"/>
                <w:szCs w:val="18"/>
                <w:color w:val="auto"/>
              </w:rPr>
            </w:pPr>
          </w:p>
        </w:tc>
        <w:tc>
          <w:tcPr>
            <w:tcW w:w="3660" w:type="dxa"/>
            <w:vAlign w:val="bottom"/>
            <w:tcBorders>
              <w:bottom w:val="single" w:sz="8" w:color="2360A6"/>
              <w:right w:val="single" w:sz="8" w:color="DCDDDE"/>
            </w:tcBorders>
            <w:gridSpan w:val="4"/>
            <w:shd w:val="clear" w:color="auto" w:fill="DCDDDE"/>
          </w:tcPr>
          <w:p>
            <w:pPr>
              <w:jc w:val="right"/>
              <w:spacing w:after="0"/>
              <w:rPr>
                <w:sz w:val="20"/>
                <w:szCs w:val="20"/>
                <w:color w:val="auto"/>
              </w:rPr>
            </w:pPr>
            <w:r>
              <w:rPr>
                <w:rFonts w:ascii="Arial" w:cs="Arial" w:eastAsia="Arial" w:hAnsi="Arial"/>
                <w:sz w:val="14"/>
                <w:szCs w:val="14"/>
                <w:b w:val="1"/>
                <w:bCs w:val="1"/>
                <w:color w:val="2360A6"/>
              </w:rPr>
              <w:t>Analysis by Category of Financial Instruments</w:t>
            </w:r>
          </w:p>
        </w:tc>
        <w:tc>
          <w:tcPr>
            <w:tcW w:w="1260" w:type="dxa"/>
            <w:vAlign w:val="bottom"/>
            <w:tcBorders>
              <w:bottom w:val="single" w:sz="8" w:color="2360A6"/>
              <w:right w:val="single" w:sz="8" w:color="DCDDDE"/>
            </w:tcBorders>
            <w:shd w:val="clear" w:color="auto" w:fill="DCDDDE"/>
          </w:tcPr>
          <w:p>
            <w:pPr>
              <w:spacing w:after="0"/>
              <w:rPr>
                <w:sz w:val="18"/>
                <w:szCs w:val="18"/>
                <w:color w:val="auto"/>
              </w:rPr>
            </w:pPr>
          </w:p>
        </w:tc>
        <w:tc>
          <w:tcPr>
            <w:tcW w:w="1060" w:type="dxa"/>
            <w:vAlign w:val="bottom"/>
            <w:tcBorders>
              <w:bottom w:val="single" w:sz="8" w:color="2360A6"/>
              <w:right w:val="single" w:sz="8" w:color="2360A6"/>
            </w:tcBorders>
            <w:shd w:val="clear" w:color="auto" w:fill="DCDDDE"/>
          </w:tcPr>
          <w:p>
            <w:pPr>
              <w:spacing w:after="0"/>
              <w:rPr>
                <w:sz w:val="18"/>
                <w:szCs w:val="18"/>
                <w:color w:val="auto"/>
              </w:rPr>
            </w:pPr>
          </w:p>
        </w:tc>
      </w:tr>
      <w:tr>
        <w:trPr>
          <w:trHeight w:val="175"/>
        </w:trPr>
        <w:tc>
          <w:tcPr>
            <w:tcW w:w="2820" w:type="dxa"/>
            <w:vAlign w:val="bottom"/>
            <w:tcBorders>
              <w:left w:val="single" w:sz="8" w:color="2360A6"/>
              <w:right w:val="single" w:sz="8" w:color="2360A6"/>
            </w:tcBorders>
          </w:tcPr>
          <w:p>
            <w:pPr>
              <w:spacing w:after="0"/>
              <w:rPr>
                <w:sz w:val="15"/>
                <w:szCs w:val="15"/>
                <w:color w:val="auto"/>
              </w:rPr>
            </w:pPr>
          </w:p>
        </w:tc>
        <w:tc>
          <w:tcPr>
            <w:tcW w:w="960" w:type="dxa"/>
            <w:vAlign w:val="bottom"/>
            <w:tcBorders>
              <w:right w:val="single" w:sz="8" w:color="2360A6"/>
            </w:tcBorders>
            <w:shd w:val="clear" w:color="auto" w:fill="DCDDDE"/>
          </w:tcPr>
          <w:p>
            <w:pPr>
              <w:spacing w:after="0"/>
              <w:rPr>
                <w:sz w:val="15"/>
                <w:szCs w:val="15"/>
                <w:color w:val="auto"/>
              </w:rPr>
            </w:pPr>
          </w:p>
        </w:tc>
        <w:tc>
          <w:tcPr>
            <w:tcW w:w="980" w:type="dxa"/>
            <w:vAlign w:val="bottom"/>
            <w:tcBorders>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At Fair</w:t>
            </w:r>
          </w:p>
        </w:tc>
        <w:tc>
          <w:tcPr>
            <w:tcW w:w="1160" w:type="dxa"/>
            <w:vAlign w:val="bottom"/>
            <w:shd w:val="clear" w:color="auto" w:fill="DCDDDE"/>
          </w:tcPr>
          <w:p>
            <w:pPr>
              <w:spacing w:after="0"/>
              <w:rPr>
                <w:sz w:val="15"/>
                <w:szCs w:val="15"/>
                <w:color w:val="auto"/>
              </w:rPr>
            </w:pPr>
          </w:p>
        </w:tc>
        <w:tc>
          <w:tcPr>
            <w:tcW w:w="140" w:type="dxa"/>
            <w:vAlign w:val="bottom"/>
            <w:tcBorders>
              <w:right w:val="single" w:sz="8" w:color="2360A6"/>
            </w:tcBorders>
            <w:shd w:val="clear" w:color="auto" w:fill="DCDDDE"/>
          </w:tcPr>
          <w:p>
            <w:pPr>
              <w:spacing w:after="0"/>
              <w:rPr>
                <w:sz w:val="15"/>
                <w:szCs w:val="15"/>
                <w:color w:val="auto"/>
              </w:rPr>
            </w:pPr>
          </w:p>
        </w:tc>
        <w:tc>
          <w:tcPr>
            <w:tcW w:w="1080" w:type="dxa"/>
            <w:vAlign w:val="bottom"/>
            <w:tcBorders>
              <w:right w:val="single" w:sz="8" w:color="2360A6"/>
            </w:tcBorders>
            <w:shd w:val="clear" w:color="auto" w:fill="DCDDDE"/>
          </w:tcPr>
          <w:p>
            <w:pPr>
              <w:spacing w:after="0"/>
              <w:rPr>
                <w:sz w:val="15"/>
                <w:szCs w:val="15"/>
                <w:color w:val="auto"/>
              </w:rPr>
            </w:pPr>
          </w:p>
        </w:tc>
        <w:tc>
          <w:tcPr>
            <w:tcW w:w="1280" w:type="dxa"/>
            <w:vAlign w:val="bottom"/>
            <w:tcBorders>
              <w:right w:val="single" w:sz="8" w:color="2360A6"/>
            </w:tcBorders>
            <w:shd w:val="clear" w:color="auto" w:fill="DCDDDE"/>
          </w:tcPr>
          <w:p>
            <w:pPr>
              <w:spacing w:after="0"/>
              <w:rPr>
                <w:sz w:val="15"/>
                <w:szCs w:val="15"/>
                <w:color w:val="auto"/>
              </w:rPr>
            </w:pPr>
          </w:p>
        </w:tc>
        <w:tc>
          <w:tcPr>
            <w:tcW w:w="1260" w:type="dxa"/>
            <w:vAlign w:val="bottom"/>
            <w:tcBorders>
              <w:right w:val="single" w:sz="8" w:color="2360A6"/>
            </w:tcBorders>
            <w:shd w:val="clear" w:color="auto" w:fill="DCDDDE"/>
          </w:tcPr>
          <w:p>
            <w:pPr>
              <w:spacing w:after="0"/>
              <w:rPr>
                <w:sz w:val="15"/>
                <w:szCs w:val="15"/>
                <w:color w:val="auto"/>
              </w:rPr>
            </w:pPr>
          </w:p>
        </w:tc>
        <w:tc>
          <w:tcPr>
            <w:tcW w:w="1060" w:type="dxa"/>
            <w:vAlign w:val="bottom"/>
            <w:tcBorders>
              <w:right w:val="single" w:sz="8" w:color="2360A6"/>
            </w:tcBorders>
            <w:shd w:val="clear" w:color="auto" w:fill="DCDDDE"/>
          </w:tcPr>
          <w:p>
            <w:pPr>
              <w:spacing w:after="0"/>
              <w:rPr>
                <w:sz w:val="15"/>
                <w:szCs w:val="15"/>
                <w:color w:val="auto"/>
              </w:rPr>
            </w:pPr>
          </w:p>
        </w:tc>
      </w:tr>
      <w:tr>
        <w:trPr>
          <w:trHeight w:val="162"/>
        </w:trPr>
        <w:tc>
          <w:tcPr>
            <w:tcW w:w="2820" w:type="dxa"/>
            <w:vAlign w:val="bottom"/>
            <w:tcBorders>
              <w:left w:val="single" w:sz="8" w:color="2360A6"/>
              <w:right w:val="single" w:sz="8" w:color="2360A6"/>
            </w:tcBorders>
          </w:tcPr>
          <w:p>
            <w:pPr>
              <w:spacing w:after="0"/>
              <w:rPr>
                <w:sz w:val="14"/>
                <w:szCs w:val="14"/>
                <w:color w:val="auto"/>
              </w:rPr>
            </w:pPr>
          </w:p>
        </w:tc>
        <w:tc>
          <w:tcPr>
            <w:tcW w:w="960" w:type="dxa"/>
            <w:vAlign w:val="bottom"/>
            <w:tcBorders>
              <w:right w:val="single" w:sz="8" w:color="2360A6"/>
            </w:tcBorders>
            <w:shd w:val="clear" w:color="auto" w:fill="DCDDDE"/>
          </w:tcPr>
          <w:p>
            <w:pPr>
              <w:spacing w:after="0"/>
              <w:rPr>
                <w:sz w:val="14"/>
                <w:szCs w:val="14"/>
                <w:color w:val="auto"/>
              </w:rPr>
            </w:pPr>
          </w:p>
        </w:tc>
        <w:tc>
          <w:tcPr>
            <w:tcW w:w="980" w:type="dxa"/>
            <w:vAlign w:val="bottom"/>
            <w:tcBorders>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Value</w:t>
            </w:r>
          </w:p>
        </w:tc>
        <w:tc>
          <w:tcPr>
            <w:tcW w:w="1160" w:type="dxa"/>
            <w:vAlign w:val="bottom"/>
            <w:shd w:val="clear" w:color="auto" w:fill="DCDDDE"/>
          </w:tcPr>
          <w:p>
            <w:pPr>
              <w:spacing w:after="0"/>
              <w:rPr>
                <w:sz w:val="14"/>
                <w:szCs w:val="14"/>
                <w:color w:val="auto"/>
              </w:rPr>
            </w:pPr>
          </w:p>
        </w:tc>
        <w:tc>
          <w:tcPr>
            <w:tcW w:w="140" w:type="dxa"/>
            <w:vAlign w:val="bottom"/>
            <w:tcBorders>
              <w:right w:val="single" w:sz="8" w:color="2360A6"/>
            </w:tcBorders>
            <w:shd w:val="clear" w:color="auto" w:fill="DCDDDE"/>
          </w:tcPr>
          <w:p>
            <w:pPr>
              <w:spacing w:after="0"/>
              <w:rPr>
                <w:sz w:val="14"/>
                <w:szCs w:val="14"/>
                <w:color w:val="auto"/>
              </w:rPr>
            </w:pPr>
          </w:p>
        </w:tc>
        <w:tc>
          <w:tcPr>
            <w:tcW w:w="1080" w:type="dxa"/>
            <w:vAlign w:val="bottom"/>
            <w:tcBorders>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Available-</w:t>
            </w:r>
          </w:p>
        </w:tc>
        <w:tc>
          <w:tcPr>
            <w:tcW w:w="1280" w:type="dxa"/>
            <w:vAlign w:val="bottom"/>
            <w:tcBorders>
              <w:right w:val="single" w:sz="8" w:color="2360A6"/>
            </w:tcBorders>
            <w:shd w:val="clear" w:color="auto" w:fill="DCDDDE"/>
          </w:tcPr>
          <w:p>
            <w:pPr>
              <w:spacing w:after="0"/>
              <w:rPr>
                <w:sz w:val="14"/>
                <w:szCs w:val="14"/>
                <w:color w:val="auto"/>
              </w:rPr>
            </w:pPr>
          </w:p>
        </w:tc>
        <w:tc>
          <w:tcPr>
            <w:tcW w:w="1260" w:type="dxa"/>
            <w:vAlign w:val="bottom"/>
            <w:tcBorders>
              <w:right w:val="single" w:sz="8" w:color="2360A6"/>
            </w:tcBorders>
            <w:shd w:val="clear" w:color="auto" w:fill="DCDDDE"/>
          </w:tcPr>
          <w:p>
            <w:pPr>
              <w:spacing w:after="0"/>
              <w:rPr>
                <w:sz w:val="14"/>
                <w:szCs w:val="14"/>
                <w:color w:val="auto"/>
              </w:rPr>
            </w:pPr>
          </w:p>
        </w:tc>
        <w:tc>
          <w:tcPr>
            <w:tcW w:w="1060" w:type="dxa"/>
            <w:vAlign w:val="bottom"/>
            <w:tcBorders>
              <w:right w:val="single" w:sz="8" w:color="2360A6"/>
            </w:tcBorders>
            <w:shd w:val="clear" w:color="auto" w:fill="DCDDDE"/>
          </w:tcPr>
          <w:p>
            <w:pPr>
              <w:spacing w:after="0"/>
              <w:rPr>
                <w:sz w:val="14"/>
                <w:szCs w:val="14"/>
                <w:color w:val="auto"/>
              </w:rPr>
            </w:pPr>
          </w:p>
        </w:tc>
      </w:tr>
      <w:tr>
        <w:trPr>
          <w:trHeight w:val="162"/>
        </w:trPr>
        <w:tc>
          <w:tcPr>
            <w:tcW w:w="2820" w:type="dxa"/>
            <w:vAlign w:val="bottom"/>
            <w:tcBorders>
              <w:left w:val="single" w:sz="8" w:color="2360A6"/>
              <w:right w:val="single" w:sz="8" w:color="2360A6"/>
            </w:tcBorders>
          </w:tcPr>
          <w:p>
            <w:pPr>
              <w:spacing w:after="0"/>
              <w:rPr>
                <w:sz w:val="14"/>
                <w:szCs w:val="14"/>
                <w:color w:val="auto"/>
              </w:rPr>
            </w:pPr>
          </w:p>
        </w:tc>
        <w:tc>
          <w:tcPr>
            <w:tcW w:w="960" w:type="dxa"/>
            <w:vAlign w:val="bottom"/>
            <w:tcBorders>
              <w:right w:val="single" w:sz="8" w:color="2360A6"/>
            </w:tcBorders>
            <w:shd w:val="clear" w:color="auto" w:fill="DCDDDE"/>
          </w:tcPr>
          <w:p>
            <w:pPr>
              <w:spacing w:after="0"/>
              <w:rPr>
                <w:sz w:val="14"/>
                <w:szCs w:val="14"/>
                <w:color w:val="auto"/>
              </w:rPr>
            </w:pPr>
          </w:p>
        </w:tc>
        <w:tc>
          <w:tcPr>
            <w:tcW w:w="980" w:type="dxa"/>
            <w:vAlign w:val="bottom"/>
            <w:tcBorders>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through</w:t>
            </w:r>
          </w:p>
        </w:tc>
        <w:tc>
          <w:tcPr>
            <w:tcW w:w="1160" w:type="dxa"/>
            <w:vAlign w:val="bottom"/>
            <w:shd w:val="clear" w:color="auto" w:fill="DCDDDE"/>
          </w:tcPr>
          <w:p>
            <w:pPr>
              <w:spacing w:after="0"/>
              <w:rPr>
                <w:sz w:val="14"/>
                <w:szCs w:val="14"/>
                <w:color w:val="auto"/>
              </w:rPr>
            </w:pPr>
          </w:p>
        </w:tc>
        <w:tc>
          <w:tcPr>
            <w:tcW w:w="140" w:type="dxa"/>
            <w:vAlign w:val="bottom"/>
            <w:tcBorders>
              <w:right w:val="single" w:sz="8" w:color="2360A6"/>
            </w:tcBorders>
            <w:shd w:val="clear" w:color="auto" w:fill="DCDDDE"/>
          </w:tcPr>
          <w:p>
            <w:pPr>
              <w:spacing w:after="0"/>
              <w:rPr>
                <w:sz w:val="14"/>
                <w:szCs w:val="14"/>
                <w:color w:val="auto"/>
              </w:rPr>
            </w:pPr>
          </w:p>
        </w:tc>
        <w:tc>
          <w:tcPr>
            <w:tcW w:w="1080" w:type="dxa"/>
            <w:vAlign w:val="bottom"/>
            <w:tcBorders>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for-Sale</w:t>
            </w:r>
          </w:p>
        </w:tc>
        <w:tc>
          <w:tcPr>
            <w:tcW w:w="1280" w:type="dxa"/>
            <w:vAlign w:val="bottom"/>
            <w:tcBorders>
              <w:right w:val="single" w:sz="8" w:color="2360A6"/>
            </w:tcBorders>
            <w:shd w:val="clear" w:color="auto" w:fill="DCDDDE"/>
          </w:tcPr>
          <w:p>
            <w:pPr>
              <w:spacing w:after="0"/>
              <w:rPr>
                <w:sz w:val="14"/>
                <w:szCs w:val="14"/>
                <w:color w:val="auto"/>
              </w:rPr>
            </w:pPr>
          </w:p>
        </w:tc>
        <w:tc>
          <w:tcPr>
            <w:tcW w:w="1260" w:type="dxa"/>
            <w:vAlign w:val="bottom"/>
            <w:tcBorders>
              <w:right w:val="single" w:sz="8" w:color="2360A6"/>
            </w:tcBorders>
            <w:shd w:val="clear" w:color="auto" w:fill="DCDDDE"/>
          </w:tcPr>
          <w:p>
            <w:pPr>
              <w:spacing w:after="0"/>
              <w:rPr>
                <w:sz w:val="14"/>
                <w:szCs w:val="14"/>
                <w:color w:val="auto"/>
              </w:rPr>
            </w:pPr>
          </w:p>
        </w:tc>
        <w:tc>
          <w:tcPr>
            <w:tcW w:w="1060" w:type="dxa"/>
            <w:vAlign w:val="bottom"/>
            <w:tcBorders>
              <w:right w:val="single" w:sz="8" w:color="2360A6"/>
            </w:tcBorders>
            <w:shd w:val="clear" w:color="auto" w:fill="DCDDDE"/>
          </w:tcPr>
          <w:p>
            <w:pPr>
              <w:spacing w:after="0"/>
              <w:rPr>
                <w:sz w:val="14"/>
                <w:szCs w:val="14"/>
                <w:color w:val="auto"/>
              </w:rPr>
            </w:pPr>
          </w:p>
        </w:tc>
      </w:tr>
      <w:tr>
        <w:trPr>
          <w:trHeight w:val="162"/>
        </w:trPr>
        <w:tc>
          <w:tcPr>
            <w:tcW w:w="2820" w:type="dxa"/>
            <w:vAlign w:val="bottom"/>
            <w:tcBorders>
              <w:left w:val="single" w:sz="8" w:color="2360A6"/>
              <w:right w:val="single" w:sz="8" w:color="2360A6"/>
            </w:tcBorders>
          </w:tcPr>
          <w:p>
            <w:pPr>
              <w:spacing w:after="0"/>
              <w:rPr>
                <w:sz w:val="14"/>
                <w:szCs w:val="14"/>
                <w:color w:val="auto"/>
              </w:rPr>
            </w:pPr>
          </w:p>
        </w:tc>
        <w:tc>
          <w:tcPr>
            <w:tcW w:w="960" w:type="dxa"/>
            <w:vAlign w:val="bottom"/>
            <w:tcBorders>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b w:val="1"/>
                <w:bCs w:val="1"/>
                <w:color w:val="2360A6"/>
              </w:rPr>
              <w:t>Carrying</w:t>
            </w:r>
          </w:p>
        </w:tc>
        <w:tc>
          <w:tcPr>
            <w:tcW w:w="980" w:type="dxa"/>
            <w:vAlign w:val="bottom"/>
            <w:tcBorders>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Profit or</w:t>
            </w:r>
          </w:p>
        </w:tc>
        <w:tc>
          <w:tcPr>
            <w:tcW w:w="116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2360A6"/>
              </w:rPr>
              <w:t>Loans and</w:t>
            </w:r>
          </w:p>
        </w:tc>
        <w:tc>
          <w:tcPr>
            <w:tcW w:w="140" w:type="dxa"/>
            <w:vAlign w:val="bottom"/>
            <w:tcBorders>
              <w:right w:val="single" w:sz="8" w:color="2360A6"/>
            </w:tcBorders>
            <w:shd w:val="clear" w:color="auto" w:fill="DCDDDE"/>
          </w:tcPr>
          <w:p>
            <w:pPr>
              <w:spacing w:after="0"/>
              <w:rPr>
                <w:sz w:val="14"/>
                <w:szCs w:val="14"/>
                <w:color w:val="auto"/>
              </w:rPr>
            </w:pPr>
          </w:p>
        </w:tc>
        <w:tc>
          <w:tcPr>
            <w:tcW w:w="1080" w:type="dxa"/>
            <w:vAlign w:val="bottom"/>
            <w:tcBorders>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Financial</w:t>
            </w:r>
          </w:p>
        </w:tc>
        <w:tc>
          <w:tcPr>
            <w:tcW w:w="1280" w:type="dxa"/>
            <w:vAlign w:val="bottom"/>
            <w:tcBorders>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b w:val="1"/>
                <w:bCs w:val="1"/>
                <w:color w:val="2360A6"/>
              </w:rPr>
              <w:t>Liabilities at</w:t>
            </w:r>
          </w:p>
        </w:tc>
        <w:tc>
          <w:tcPr>
            <w:tcW w:w="1260" w:type="dxa"/>
            <w:vAlign w:val="bottom"/>
            <w:tcBorders>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b w:val="1"/>
                <w:bCs w:val="1"/>
                <w:color w:val="2360A6"/>
              </w:rPr>
              <w:t>Derivative</w:t>
            </w:r>
          </w:p>
        </w:tc>
        <w:tc>
          <w:tcPr>
            <w:tcW w:w="1060" w:type="dxa"/>
            <w:vAlign w:val="bottom"/>
            <w:tcBorders>
              <w:right w:val="single" w:sz="8" w:color="2360A6"/>
            </w:tcBorders>
            <w:shd w:val="clear" w:color="auto" w:fill="DCDDDE"/>
          </w:tcPr>
          <w:p>
            <w:pPr>
              <w:spacing w:after="0"/>
              <w:rPr>
                <w:sz w:val="14"/>
                <w:szCs w:val="14"/>
                <w:color w:val="auto"/>
              </w:rPr>
            </w:pPr>
          </w:p>
        </w:tc>
      </w:tr>
      <w:tr>
        <w:trPr>
          <w:trHeight w:val="196"/>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b w:val="1"/>
                <w:bCs w:val="1"/>
                <w:color w:val="2360A6"/>
              </w:rPr>
              <w:t>Amount</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Loss</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b w:val="1"/>
                <w:bCs w:val="1"/>
                <w:color w:val="2360A6"/>
              </w:rPr>
              <w:t>Receivables</w:t>
            </w:r>
          </w:p>
        </w:tc>
        <w:tc>
          <w:tcPr>
            <w:tcW w:w="140" w:type="dxa"/>
            <w:vAlign w:val="bottom"/>
            <w:tcBorders>
              <w:bottom w:val="single" w:sz="8" w:color="2360A6"/>
              <w:right w:val="single" w:sz="8" w:color="2360A6"/>
            </w:tcBorders>
            <w:shd w:val="clear" w:color="auto" w:fill="DCDDDE"/>
          </w:tcPr>
          <w:p>
            <w:pPr>
              <w:spacing w:after="0"/>
              <w:rPr>
                <w:sz w:val="17"/>
                <w:szCs w:val="17"/>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Assets</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b w:val="1"/>
                <w:bCs w:val="1"/>
                <w:color w:val="2360A6"/>
              </w:rPr>
              <w:t>Amortized Cost</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b w:val="1"/>
                <w:bCs w:val="1"/>
                <w:color w:val="2360A6"/>
              </w:rPr>
              <w:t>Instruments</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b w:val="1"/>
                <w:bCs w:val="1"/>
                <w:color w:val="2360A6"/>
              </w:rPr>
              <w:t>Fair Value</w:t>
            </w:r>
          </w:p>
        </w:tc>
      </w:tr>
      <w:tr>
        <w:trPr>
          <w:trHeight w:val="231"/>
        </w:trPr>
        <w:tc>
          <w:tcPr>
            <w:tcW w:w="282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Investments in Non-Consolidated</w:t>
            </w:r>
          </w:p>
        </w:tc>
        <w:tc>
          <w:tcPr>
            <w:tcW w:w="960" w:type="dxa"/>
            <w:vAlign w:val="bottom"/>
            <w:tcBorders>
              <w:right w:val="single" w:sz="8" w:color="2360A6"/>
            </w:tcBorders>
            <w:shd w:val="clear" w:color="auto" w:fill="DCDDDE"/>
          </w:tcPr>
          <w:p>
            <w:pPr>
              <w:spacing w:after="0"/>
              <w:rPr>
                <w:sz w:val="20"/>
                <w:szCs w:val="20"/>
                <w:color w:val="auto"/>
              </w:rPr>
            </w:pPr>
          </w:p>
        </w:tc>
        <w:tc>
          <w:tcPr>
            <w:tcW w:w="980" w:type="dxa"/>
            <w:vAlign w:val="bottom"/>
            <w:tcBorders>
              <w:right w:val="single" w:sz="8" w:color="2360A6"/>
            </w:tcBorders>
            <w:shd w:val="clear" w:color="auto" w:fill="DCDDDE"/>
          </w:tcPr>
          <w:p>
            <w:pPr>
              <w:spacing w:after="0"/>
              <w:rPr>
                <w:sz w:val="20"/>
                <w:szCs w:val="20"/>
                <w:color w:val="auto"/>
              </w:rPr>
            </w:pPr>
          </w:p>
        </w:tc>
        <w:tc>
          <w:tcPr>
            <w:tcW w:w="1160" w:type="dxa"/>
            <w:vAlign w:val="bottom"/>
            <w:shd w:val="clear" w:color="auto" w:fill="DCDDDE"/>
          </w:tcPr>
          <w:p>
            <w:pPr>
              <w:spacing w:after="0"/>
              <w:rPr>
                <w:sz w:val="20"/>
                <w:szCs w:val="20"/>
                <w:color w:val="auto"/>
              </w:rPr>
            </w:pPr>
          </w:p>
        </w:tc>
        <w:tc>
          <w:tcPr>
            <w:tcW w:w="140" w:type="dxa"/>
            <w:vAlign w:val="bottom"/>
            <w:tcBorders>
              <w:right w:val="single" w:sz="8" w:color="2360A6"/>
            </w:tcBorders>
            <w:shd w:val="clear" w:color="auto" w:fill="DCDDDE"/>
          </w:tcPr>
          <w:p>
            <w:pPr>
              <w:spacing w:after="0"/>
              <w:rPr>
                <w:sz w:val="20"/>
                <w:szCs w:val="20"/>
                <w:color w:val="auto"/>
              </w:rPr>
            </w:pPr>
          </w:p>
        </w:tc>
        <w:tc>
          <w:tcPr>
            <w:tcW w:w="1080" w:type="dxa"/>
            <w:vAlign w:val="bottom"/>
            <w:tcBorders>
              <w:right w:val="single" w:sz="8" w:color="2360A6"/>
            </w:tcBorders>
            <w:shd w:val="clear" w:color="auto" w:fill="DCDDDE"/>
          </w:tcPr>
          <w:p>
            <w:pPr>
              <w:spacing w:after="0"/>
              <w:rPr>
                <w:sz w:val="20"/>
                <w:szCs w:val="20"/>
                <w:color w:val="auto"/>
              </w:rPr>
            </w:pPr>
          </w:p>
        </w:tc>
        <w:tc>
          <w:tcPr>
            <w:tcW w:w="1280" w:type="dxa"/>
            <w:vAlign w:val="bottom"/>
            <w:tcBorders>
              <w:right w:val="single" w:sz="8" w:color="2360A6"/>
            </w:tcBorders>
            <w:shd w:val="clear" w:color="auto" w:fill="DCDDDE"/>
          </w:tcPr>
          <w:p>
            <w:pPr>
              <w:spacing w:after="0"/>
              <w:rPr>
                <w:sz w:val="20"/>
                <w:szCs w:val="20"/>
                <w:color w:val="auto"/>
              </w:rPr>
            </w:pPr>
          </w:p>
        </w:tc>
        <w:tc>
          <w:tcPr>
            <w:tcW w:w="1260" w:type="dxa"/>
            <w:vAlign w:val="bottom"/>
            <w:tcBorders>
              <w:right w:val="single" w:sz="8" w:color="2360A6"/>
            </w:tcBorders>
            <w:shd w:val="clear" w:color="auto" w:fill="DCDDDE"/>
          </w:tcPr>
          <w:p>
            <w:pPr>
              <w:spacing w:after="0"/>
              <w:rPr>
                <w:sz w:val="20"/>
                <w:szCs w:val="20"/>
                <w:color w:val="auto"/>
              </w:rPr>
            </w:pPr>
          </w:p>
        </w:tc>
        <w:tc>
          <w:tcPr>
            <w:tcW w:w="1060" w:type="dxa"/>
            <w:vAlign w:val="bottom"/>
            <w:tcBorders>
              <w:right w:val="single" w:sz="8" w:color="2360A6"/>
            </w:tcBorders>
            <w:shd w:val="clear" w:color="auto" w:fill="DCDDDE"/>
          </w:tcPr>
          <w:p>
            <w:pPr>
              <w:spacing w:after="0"/>
              <w:rPr>
                <w:sz w:val="20"/>
                <w:szCs w:val="20"/>
                <w:color w:val="auto"/>
              </w:rPr>
            </w:pPr>
          </w:p>
        </w:tc>
      </w:tr>
      <w:tr>
        <w:trPr>
          <w:trHeight w:val="182"/>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Companies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13.4</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13.4</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shd w:val="clear" w:color="auto" w:fill="DCDDDE"/>
          </w:tcPr>
          <w:p>
            <w:pPr>
              <w:spacing w:after="0"/>
              <w:rPr>
                <w:sz w:val="15"/>
                <w:szCs w:val="15"/>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13.4</w:t>
            </w:r>
          </w:p>
        </w:tc>
      </w:tr>
      <w:tr>
        <w:trPr>
          <w:trHeight w:val="210"/>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Financial Assets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197.4</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197.4</w:t>
            </w:r>
          </w:p>
        </w:tc>
        <w:tc>
          <w:tcPr>
            <w:tcW w:w="140" w:type="dxa"/>
            <w:vAlign w:val="bottom"/>
            <w:tcBorders>
              <w:bottom w:val="single" w:sz="8" w:color="2360A6"/>
              <w:right w:val="single" w:sz="8" w:color="2360A6"/>
            </w:tcBorders>
            <w:shd w:val="clear" w:color="auto" w:fill="DCDDDE"/>
          </w:tcPr>
          <w:p>
            <w:pPr>
              <w:spacing w:after="0"/>
              <w:rPr>
                <w:sz w:val="18"/>
                <w:szCs w:val="18"/>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197.4</w:t>
            </w:r>
          </w:p>
        </w:tc>
      </w:tr>
      <w:tr>
        <w:trPr>
          <w:trHeight w:val="193"/>
        </w:trPr>
        <w:tc>
          <w:tcPr>
            <w:tcW w:w="282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Available-for-Sale Financial</w:t>
            </w:r>
          </w:p>
        </w:tc>
        <w:tc>
          <w:tcPr>
            <w:tcW w:w="960" w:type="dxa"/>
            <w:vAlign w:val="bottom"/>
            <w:tcBorders>
              <w:right w:val="single" w:sz="8" w:color="2360A6"/>
            </w:tcBorders>
            <w:shd w:val="clear" w:color="auto" w:fill="DCDDDE"/>
          </w:tcPr>
          <w:p>
            <w:pPr>
              <w:spacing w:after="0"/>
              <w:rPr>
                <w:sz w:val="16"/>
                <w:szCs w:val="16"/>
                <w:color w:val="auto"/>
              </w:rPr>
            </w:pPr>
          </w:p>
        </w:tc>
        <w:tc>
          <w:tcPr>
            <w:tcW w:w="980" w:type="dxa"/>
            <w:vAlign w:val="bottom"/>
            <w:tcBorders>
              <w:right w:val="single" w:sz="8" w:color="2360A6"/>
            </w:tcBorders>
            <w:shd w:val="clear" w:color="auto" w:fill="DCDDDE"/>
          </w:tcPr>
          <w:p>
            <w:pPr>
              <w:spacing w:after="0"/>
              <w:rPr>
                <w:sz w:val="16"/>
                <w:szCs w:val="16"/>
                <w:color w:val="auto"/>
              </w:rPr>
            </w:pPr>
          </w:p>
        </w:tc>
        <w:tc>
          <w:tcPr>
            <w:tcW w:w="1160" w:type="dxa"/>
            <w:vAlign w:val="bottom"/>
            <w:shd w:val="clear" w:color="auto" w:fill="DCDDDE"/>
          </w:tcPr>
          <w:p>
            <w:pPr>
              <w:spacing w:after="0"/>
              <w:rPr>
                <w:sz w:val="16"/>
                <w:szCs w:val="16"/>
                <w:color w:val="auto"/>
              </w:rPr>
            </w:pPr>
          </w:p>
        </w:tc>
        <w:tc>
          <w:tcPr>
            <w:tcW w:w="140" w:type="dxa"/>
            <w:vAlign w:val="bottom"/>
            <w:tcBorders>
              <w:right w:val="single" w:sz="8" w:color="2360A6"/>
            </w:tcBorders>
            <w:shd w:val="clear" w:color="auto" w:fill="DCDDDE"/>
          </w:tcPr>
          <w:p>
            <w:pPr>
              <w:spacing w:after="0"/>
              <w:rPr>
                <w:sz w:val="16"/>
                <w:szCs w:val="16"/>
                <w:color w:val="auto"/>
              </w:rPr>
            </w:pPr>
          </w:p>
        </w:tc>
        <w:tc>
          <w:tcPr>
            <w:tcW w:w="1080" w:type="dxa"/>
            <w:vAlign w:val="bottom"/>
            <w:tcBorders>
              <w:right w:val="single" w:sz="8" w:color="2360A6"/>
            </w:tcBorders>
            <w:shd w:val="clear" w:color="auto" w:fill="DCDDDE"/>
          </w:tcPr>
          <w:p>
            <w:pPr>
              <w:spacing w:after="0"/>
              <w:rPr>
                <w:sz w:val="16"/>
                <w:szCs w:val="16"/>
                <w:color w:val="auto"/>
              </w:rPr>
            </w:pPr>
          </w:p>
        </w:tc>
        <w:tc>
          <w:tcPr>
            <w:tcW w:w="1280" w:type="dxa"/>
            <w:vAlign w:val="bottom"/>
            <w:tcBorders>
              <w:right w:val="single" w:sz="8" w:color="2360A6"/>
            </w:tcBorders>
            <w:shd w:val="clear" w:color="auto" w:fill="DCDDDE"/>
          </w:tcPr>
          <w:p>
            <w:pPr>
              <w:spacing w:after="0"/>
              <w:rPr>
                <w:sz w:val="16"/>
                <w:szCs w:val="16"/>
                <w:color w:val="auto"/>
              </w:rPr>
            </w:pPr>
          </w:p>
        </w:tc>
        <w:tc>
          <w:tcPr>
            <w:tcW w:w="1260" w:type="dxa"/>
            <w:vAlign w:val="bottom"/>
            <w:tcBorders>
              <w:right w:val="single" w:sz="8" w:color="2360A6"/>
            </w:tcBorders>
            <w:shd w:val="clear" w:color="auto" w:fill="DCDDDE"/>
          </w:tcPr>
          <w:p>
            <w:pPr>
              <w:spacing w:after="0"/>
              <w:rPr>
                <w:sz w:val="16"/>
                <w:szCs w:val="16"/>
                <w:color w:val="auto"/>
              </w:rPr>
            </w:pPr>
          </w:p>
        </w:tc>
        <w:tc>
          <w:tcPr>
            <w:tcW w:w="1060" w:type="dxa"/>
            <w:vAlign w:val="bottom"/>
            <w:tcBorders>
              <w:right w:val="single" w:sz="8" w:color="2360A6"/>
            </w:tcBorders>
            <w:shd w:val="clear" w:color="auto" w:fill="DCDDDE"/>
          </w:tcPr>
          <w:p>
            <w:pPr>
              <w:spacing w:after="0"/>
              <w:rPr>
                <w:sz w:val="16"/>
                <w:szCs w:val="16"/>
                <w:color w:val="auto"/>
              </w:rPr>
            </w:pPr>
          </w:p>
        </w:tc>
      </w:tr>
      <w:tr>
        <w:trPr>
          <w:trHeight w:val="178"/>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Assets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26.5</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shd w:val="clear" w:color="auto" w:fill="DCDDDE"/>
          </w:tcPr>
          <w:p>
            <w:pPr>
              <w:spacing w:after="0"/>
              <w:rPr>
                <w:sz w:val="15"/>
                <w:szCs w:val="15"/>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26.5</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26.5</w:t>
            </w:r>
          </w:p>
        </w:tc>
      </w:tr>
      <w:tr>
        <w:trPr>
          <w:trHeight w:val="193"/>
        </w:trPr>
        <w:tc>
          <w:tcPr>
            <w:tcW w:w="282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w:t>
            </w:r>
          </w:p>
        </w:tc>
        <w:tc>
          <w:tcPr>
            <w:tcW w:w="960" w:type="dxa"/>
            <w:vAlign w:val="bottom"/>
            <w:tcBorders>
              <w:right w:val="single" w:sz="8" w:color="2360A6"/>
            </w:tcBorders>
            <w:shd w:val="clear" w:color="auto" w:fill="DCDDDE"/>
          </w:tcPr>
          <w:p>
            <w:pPr>
              <w:spacing w:after="0"/>
              <w:rPr>
                <w:sz w:val="16"/>
                <w:szCs w:val="16"/>
                <w:color w:val="auto"/>
              </w:rPr>
            </w:pPr>
          </w:p>
        </w:tc>
        <w:tc>
          <w:tcPr>
            <w:tcW w:w="980" w:type="dxa"/>
            <w:vAlign w:val="bottom"/>
            <w:tcBorders>
              <w:right w:val="single" w:sz="8" w:color="2360A6"/>
            </w:tcBorders>
            <w:shd w:val="clear" w:color="auto" w:fill="DCDDDE"/>
          </w:tcPr>
          <w:p>
            <w:pPr>
              <w:spacing w:after="0"/>
              <w:rPr>
                <w:sz w:val="16"/>
                <w:szCs w:val="16"/>
                <w:color w:val="auto"/>
              </w:rPr>
            </w:pPr>
          </w:p>
        </w:tc>
        <w:tc>
          <w:tcPr>
            <w:tcW w:w="1160" w:type="dxa"/>
            <w:vAlign w:val="bottom"/>
            <w:shd w:val="clear" w:color="auto" w:fill="DCDDDE"/>
          </w:tcPr>
          <w:p>
            <w:pPr>
              <w:spacing w:after="0"/>
              <w:rPr>
                <w:sz w:val="16"/>
                <w:szCs w:val="16"/>
                <w:color w:val="auto"/>
              </w:rPr>
            </w:pPr>
          </w:p>
        </w:tc>
        <w:tc>
          <w:tcPr>
            <w:tcW w:w="140" w:type="dxa"/>
            <w:vAlign w:val="bottom"/>
            <w:tcBorders>
              <w:right w:val="single" w:sz="8" w:color="2360A6"/>
            </w:tcBorders>
            <w:shd w:val="clear" w:color="auto" w:fill="DCDDDE"/>
          </w:tcPr>
          <w:p>
            <w:pPr>
              <w:spacing w:after="0"/>
              <w:rPr>
                <w:sz w:val="16"/>
                <w:szCs w:val="16"/>
                <w:color w:val="auto"/>
              </w:rPr>
            </w:pPr>
          </w:p>
        </w:tc>
        <w:tc>
          <w:tcPr>
            <w:tcW w:w="1080" w:type="dxa"/>
            <w:vAlign w:val="bottom"/>
            <w:tcBorders>
              <w:right w:val="single" w:sz="8" w:color="2360A6"/>
            </w:tcBorders>
            <w:shd w:val="clear" w:color="auto" w:fill="DCDDDE"/>
          </w:tcPr>
          <w:p>
            <w:pPr>
              <w:spacing w:after="0"/>
              <w:rPr>
                <w:sz w:val="16"/>
                <w:szCs w:val="16"/>
                <w:color w:val="auto"/>
              </w:rPr>
            </w:pPr>
          </w:p>
        </w:tc>
        <w:tc>
          <w:tcPr>
            <w:tcW w:w="1280" w:type="dxa"/>
            <w:vAlign w:val="bottom"/>
            <w:tcBorders>
              <w:right w:val="single" w:sz="8" w:color="2360A6"/>
            </w:tcBorders>
            <w:shd w:val="clear" w:color="auto" w:fill="DCDDDE"/>
          </w:tcPr>
          <w:p>
            <w:pPr>
              <w:spacing w:after="0"/>
              <w:rPr>
                <w:sz w:val="16"/>
                <w:szCs w:val="16"/>
                <w:color w:val="auto"/>
              </w:rPr>
            </w:pPr>
          </w:p>
        </w:tc>
        <w:tc>
          <w:tcPr>
            <w:tcW w:w="1260" w:type="dxa"/>
            <w:vAlign w:val="bottom"/>
            <w:tcBorders>
              <w:right w:val="single" w:sz="8" w:color="2360A6"/>
            </w:tcBorders>
            <w:shd w:val="clear" w:color="auto" w:fill="DCDDDE"/>
          </w:tcPr>
          <w:p>
            <w:pPr>
              <w:spacing w:after="0"/>
              <w:rPr>
                <w:sz w:val="16"/>
                <w:szCs w:val="16"/>
                <w:color w:val="auto"/>
              </w:rPr>
            </w:pPr>
          </w:p>
        </w:tc>
        <w:tc>
          <w:tcPr>
            <w:tcW w:w="1060" w:type="dxa"/>
            <w:vAlign w:val="bottom"/>
            <w:tcBorders>
              <w:right w:val="single" w:sz="8" w:color="2360A6"/>
            </w:tcBorders>
            <w:shd w:val="clear" w:color="auto" w:fill="DCDDDE"/>
          </w:tcPr>
          <w:p>
            <w:pPr>
              <w:spacing w:after="0"/>
              <w:rPr>
                <w:sz w:val="16"/>
                <w:szCs w:val="16"/>
                <w:color w:val="auto"/>
              </w:rPr>
            </w:pPr>
          </w:p>
        </w:tc>
      </w:tr>
      <w:tr>
        <w:trPr>
          <w:trHeight w:val="178"/>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Instruments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225.8</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shd w:val="clear" w:color="auto" w:fill="DCDDDE"/>
          </w:tcPr>
          <w:p>
            <w:pPr>
              <w:spacing w:after="0"/>
              <w:rPr>
                <w:sz w:val="15"/>
                <w:szCs w:val="15"/>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225.8</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225.8</w:t>
            </w:r>
          </w:p>
        </w:tc>
      </w:tr>
      <w:tr>
        <w:trPr>
          <w:trHeight w:val="210"/>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Trade Receivables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1,920.6</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1,920.6</w:t>
            </w:r>
          </w:p>
        </w:tc>
        <w:tc>
          <w:tcPr>
            <w:tcW w:w="140" w:type="dxa"/>
            <w:vAlign w:val="bottom"/>
            <w:tcBorders>
              <w:bottom w:val="single" w:sz="8" w:color="2360A6"/>
              <w:right w:val="single" w:sz="8" w:color="2360A6"/>
            </w:tcBorders>
            <w:shd w:val="clear" w:color="auto" w:fill="DCDDDE"/>
          </w:tcPr>
          <w:p>
            <w:pPr>
              <w:spacing w:after="0"/>
              <w:rPr>
                <w:sz w:val="18"/>
                <w:szCs w:val="18"/>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1,920.6</w:t>
            </w:r>
          </w:p>
        </w:tc>
      </w:tr>
      <w:tr>
        <w:trPr>
          <w:trHeight w:val="193"/>
        </w:trPr>
        <w:tc>
          <w:tcPr>
            <w:tcW w:w="282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Current Income Tax</w:t>
            </w:r>
          </w:p>
        </w:tc>
        <w:tc>
          <w:tcPr>
            <w:tcW w:w="960" w:type="dxa"/>
            <w:vAlign w:val="bottom"/>
            <w:tcBorders>
              <w:right w:val="single" w:sz="8" w:color="2360A6"/>
            </w:tcBorders>
            <w:shd w:val="clear" w:color="auto" w:fill="DCDDDE"/>
          </w:tcPr>
          <w:p>
            <w:pPr>
              <w:spacing w:after="0"/>
              <w:rPr>
                <w:sz w:val="16"/>
                <w:szCs w:val="16"/>
                <w:color w:val="auto"/>
              </w:rPr>
            </w:pPr>
          </w:p>
        </w:tc>
        <w:tc>
          <w:tcPr>
            <w:tcW w:w="980" w:type="dxa"/>
            <w:vAlign w:val="bottom"/>
            <w:tcBorders>
              <w:right w:val="single" w:sz="8" w:color="2360A6"/>
            </w:tcBorders>
            <w:shd w:val="clear" w:color="auto" w:fill="DCDDDE"/>
          </w:tcPr>
          <w:p>
            <w:pPr>
              <w:spacing w:after="0"/>
              <w:rPr>
                <w:sz w:val="16"/>
                <w:szCs w:val="16"/>
                <w:color w:val="auto"/>
              </w:rPr>
            </w:pPr>
          </w:p>
        </w:tc>
        <w:tc>
          <w:tcPr>
            <w:tcW w:w="1160" w:type="dxa"/>
            <w:vAlign w:val="bottom"/>
            <w:shd w:val="clear" w:color="auto" w:fill="DCDDDE"/>
          </w:tcPr>
          <w:p>
            <w:pPr>
              <w:spacing w:after="0"/>
              <w:rPr>
                <w:sz w:val="16"/>
                <w:szCs w:val="16"/>
                <w:color w:val="auto"/>
              </w:rPr>
            </w:pPr>
          </w:p>
        </w:tc>
        <w:tc>
          <w:tcPr>
            <w:tcW w:w="140" w:type="dxa"/>
            <w:vAlign w:val="bottom"/>
            <w:tcBorders>
              <w:right w:val="single" w:sz="8" w:color="2360A6"/>
            </w:tcBorders>
            <w:shd w:val="clear" w:color="auto" w:fill="DCDDDE"/>
          </w:tcPr>
          <w:p>
            <w:pPr>
              <w:spacing w:after="0"/>
              <w:rPr>
                <w:sz w:val="16"/>
                <w:szCs w:val="16"/>
                <w:color w:val="auto"/>
              </w:rPr>
            </w:pPr>
          </w:p>
        </w:tc>
        <w:tc>
          <w:tcPr>
            <w:tcW w:w="1080" w:type="dxa"/>
            <w:vAlign w:val="bottom"/>
            <w:tcBorders>
              <w:right w:val="single" w:sz="8" w:color="2360A6"/>
            </w:tcBorders>
            <w:shd w:val="clear" w:color="auto" w:fill="DCDDDE"/>
          </w:tcPr>
          <w:p>
            <w:pPr>
              <w:spacing w:after="0"/>
              <w:rPr>
                <w:sz w:val="16"/>
                <w:szCs w:val="16"/>
                <w:color w:val="auto"/>
              </w:rPr>
            </w:pPr>
          </w:p>
        </w:tc>
        <w:tc>
          <w:tcPr>
            <w:tcW w:w="1280" w:type="dxa"/>
            <w:vAlign w:val="bottom"/>
            <w:tcBorders>
              <w:right w:val="single" w:sz="8" w:color="2360A6"/>
            </w:tcBorders>
            <w:shd w:val="clear" w:color="auto" w:fill="DCDDDE"/>
          </w:tcPr>
          <w:p>
            <w:pPr>
              <w:spacing w:after="0"/>
              <w:rPr>
                <w:sz w:val="16"/>
                <w:szCs w:val="16"/>
                <w:color w:val="auto"/>
              </w:rPr>
            </w:pPr>
          </w:p>
        </w:tc>
        <w:tc>
          <w:tcPr>
            <w:tcW w:w="1260" w:type="dxa"/>
            <w:vAlign w:val="bottom"/>
            <w:tcBorders>
              <w:right w:val="single" w:sz="8" w:color="2360A6"/>
            </w:tcBorders>
            <w:shd w:val="clear" w:color="auto" w:fill="DCDDDE"/>
          </w:tcPr>
          <w:p>
            <w:pPr>
              <w:spacing w:after="0"/>
              <w:rPr>
                <w:sz w:val="16"/>
                <w:szCs w:val="16"/>
                <w:color w:val="auto"/>
              </w:rPr>
            </w:pPr>
          </w:p>
        </w:tc>
        <w:tc>
          <w:tcPr>
            <w:tcW w:w="1060" w:type="dxa"/>
            <w:vAlign w:val="bottom"/>
            <w:tcBorders>
              <w:right w:val="single" w:sz="8" w:color="2360A6"/>
            </w:tcBorders>
            <w:shd w:val="clear" w:color="auto" w:fill="DCDDDE"/>
          </w:tcPr>
          <w:p>
            <w:pPr>
              <w:spacing w:after="0"/>
              <w:rPr>
                <w:sz w:val="16"/>
                <w:szCs w:val="16"/>
                <w:color w:val="auto"/>
              </w:rPr>
            </w:pPr>
          </w:p>
        </w:tc>
      </w:tr>
      <w:tr>
        <w:trPr>
          <w:trHeight w:val="178"/>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Receivables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251.4</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251.4</w:t>
            </w:r>
          </w:p>
        </w:tc>
        <w:tc>
          <w:tcPr>
            <w:tcW w:w="140" w:type="dxa"/>
            <w:vAlign w:val="bottom"/>
            <w:tcBorders>
              <w:bottom w:val="single" w:sz="8" w:color="2360A6"/>
              <w:right w:val="single" w:sz="8" w:color="2360A6"/>
            </w:tcBorders>
            <w:shd w:val="clear" w:color="auto" w:fill="DCDDDE"/>
          </w:tcPr>
          <w:p>
            <w:pPr>
              <w:spacing w:after="0"/>
              <w:rPr>
                <w:sz w:val="15"/>
                <w:szCs w:val="15"/>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251.4</w:t>
            </w:r>
          </w:p>
        </w:tc>
      </w:tr>
      <w:tr>
        <w:trPr>
          <w:trHeight w:val="210"/>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Current Receivables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756.1</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756.1</w:t>
            </w:r>
          </w:p>
        </w:tc>
        <w:tc>
          <w:tcPr>
            <w:tcW w:w="140" w:type="dxa"/>
            <w:vAlign w:val="bottom"/>
            <w:tcBorders>
              <w:bottom w:val="single" w:sz="8" w:color="2360A6"/>
              <w:right w:val="single" w:sz="8" w:color="2360A6"/>
            </w:tcBorders>
            <w:shd w:val="clear" w:color="auto" w:fill="DCDDDE"/>
          </w:tcPr>
          <w:p>
            <w:pPr>
              <w:spacing w:after="0"/>
              <w:rPr>
                <w:sz w:val="18"/>
                <w:szCs w:val="18"/>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756.1</w:t>
            </w:r>
          </w:p>
        </w:tc>
      </w:tr>
      <w:tr>
        <w:trPr>
          <w:trHeight w:val="210"/>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Cash and Cash Equivalents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5,947.6</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5,947.6</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shd w:val="clear" w:color="auto" w:fill="DCDDDE"/>
          </w:tcPr>
          <w:p>
            <w:pPr>
              <w:spacing w:after="0"/>
              <w:rPr>
                <w:sz w:val="18"/>
                <w:szCs w:val="18"/>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5,947.6</w:t>
            </w:r>
          </w:p>
        </w:tc>
      </w:tr>
      <w:tr>
        <w:trPr>
          <w:trHeight w:val="210"/>
        </w:trPr>
        <w:tc>
          <w:tcPr>
            <w:tcW w:w="282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ASSETS</w:t>
            </w:r>
          </w:p>
        </w:tc>
        <w:tc>
          <w:tcPr>
            <w:tcW w:w="9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9,338.8</w:t>
            </w:r>
          </w:p>
        </w:tc>
        <w:tc>
          <w:tcPr>
            <w:tcW w:w="9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5,961.0</w:t>
            </w:r>
          </w:p>
        </w:tc>
        <w:tc>
          <w:tcPr>
            <w:tcW w:w="116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3,125.5</w:t>
            </w:r>
          </w:p>
        </w:tc>
        <w:tc>
          <w:tcPr>
            <w:tcW w:w="140" w:type="dxa"/>
            <w:vAlign w:val="bottom"/>
            <w:tcBorders>
              <w:bottom w:val="single" w:sz="8" w:color="2360A6"/>
              <w:right w:val="single" w:sz="8" w:color="2360A6"/>
            </w:tcBorders>
            <w:shd w:val="clear" w:color="auto" w:fill="D2DEEC"/>
          </w:tcPr>
          <w:p>
            <w:pPr>
              <w:spacing w:after="0"/>
              <w:rPr>
                <w:sz w:val="18"/>
                <w:szCs w:val="18"/>
                <w:color w:val="auto"/>
              </w:rPr>
            </w:pPr>
          </w:p>
        </w:tc>
        <w:tc>
          <w:tcPr>
            <w:tcW w:w="10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26.5</w:t>
            </w:r>
          </w:p>
        </w:tc>
        <w:tc>
          <w:tcPr>
            <w:tcW w:w="12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w:t>
            </w:r>
          </w:p>
        </w:tc>
        <w:tc>
          <w:tcPr>
            <w:tcW w:w="12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225.8</w:t>
            </w:r>
          </w:p>
        </w:tc>
        <w:tc>
          <w:tcPr>
            <w:tcW w:w="10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9,338.8</w:t>
            </w:r>
          </w:p>
        </w:tc>
      </w:tr>
      <w:tr>
        <w:trPr>
          <w:trHeight w:val="193"/>
        </w:trPr>
        <w:tc>
          <w:tcPr>
            <w:tcW w:w="282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Non-Current Financial</w:t>
            </w:r>
          </w:p>
        </w:tc>
        <w:tc>
          <w:tcPr>
            <w:tcW w:w="960" w:type="dxa"/>
            <w:vAlign w:val="bottom"/>
            <w:tcBorders>
              <w:right w:val="single" w:sz="8" w:color="2360A6"/>
            </w:tcBorders>
            <w:shd w:val="clear" w:color="auto" w:fill="DCDDDE"/>
          </w:tcPr>
          <w:p>
            <w:pPr>
              <w:spacing w:after="0"/>
              <w:rPr>
                <w:sz w:val="16"/>
                <w:szCs w:val="16"/>
                <w:color w:val="auto"/>
              </w:rPr>
            </w:pPr>
          </w:p>
        </w:tc>
        <w:tc>
          <w:tcPr>
            <w:tcW w:w="980" w:type="dxa"/>
            <w:vAlign w:val="bottom"/>
            <w:tcBorders>
              <w:right w:val="single" w:sz="8" w:color="2360A6"/>
            </w:tcBorders>
            <w:shd w:val="clear" w:color="auto" w:fill="DCDDDE"/>
          </w:tcPr>
          <w:p>
            <w:pPr>
              <w:spacing w:after="0"/>
              <w:rPr>
                <w:sz w:val="16"/>
                <w:szCs w:val="16"/>
                <w:color w:val="auto"/>
              </w:rPr>
            </w:pPr>
          </w:p>
        </w:tc>
        <w:tc>
          <w:tcPr>
            <w:tcW w:w="1160" w:type="dxa"/>
            <w:vAlign w:val="bottom"/>
            <w:shd w:val="clear" w:color="auto" w:fill="DCDDDE"/>
          </w:tcPr>
          <w:p>
            <w:pPr>
              <w:spacing w:after="0"/>
              <w:rPr>
                <w:sz w:val="16"/>
                <w:szCs w:val="16"/>
                <w:color w:val="auto"/>
              </w:rPr>
            </w:pPr>
          </w:p>
        </w:tc>
        <w:tc>
          <w:tcPr>
            <w:tcW w:w="140" w:type="dxa"/>
            <w:vAlign w:val="bottom"/>
            <w:tcBorders>
              <w:right w:val="single" w:sz="8" w:color="2360A6"/>
            </w:tcBorders>
            <w:shd w:val="clear" w:color="auto" w:fill="DCDDDE"/>
          </w:tcPr>
          <w:p>
            <w:pPr>
              <w:spacing w:after="0"/>
              <w:rPr>
                <w:sz w:val="16"/>
                <w:szCs w:val="16"/>
                <w:color w:val="auto"/>
              </w:rPr>
            </w:pPr>
          </w:p>
        </w:tc>
        <w:tc>
          <w:tcPr>
            <w:tcW w:w="1080" w:type="dxa"/>
            <w:vAlign w:val="bottom"/>
            <w:tcBorders>
              <w:right w:val="single" w:sz="8" w:color="2360A6"/>
            </w:tcBorders>
            <w:shd w:val="clear" w:color="auto" w:fill="DCDDDE"/>
          </w:tcPr>
          <w:p>
            <w:pPr>
              <w:spacing w:after="0"/>
              <w:rPr>
                <w:sz w:val="16"/>
                <w:szCs w:val="16"/>
                <w:color w:val="auto"/>
              </w:rPr>
            </w:pPr>
          </w:p>
        </w:tc>
        <w:tc>
          <w:tcPr>
            <w:tcW w:w="1280" w:type="dxa"/>
            <w:vAlign w:val="bottom"/>
            <w:tcBorders>
              <w:right w:val="single" w:sz="8" w:color="2360A6"/>
            </w:tcBorders>
            <w:shd w:val="clear" w:color="auto" w:fill="DCDDDE"/>
          </w:tcPr>
          <w:p>
            <w:pPr>
              <w:spacing w:after="0"/>
              <w:rPr>
                <w:sz w:val="16"/>
                <w:szCs w:val="16"/>
                <w:color w:val="auto"/>
              </w:rPr>
            </w:pPr>
          </w:p>
        </w:tc>
        <w:tc>
          <w:tcPr>
            <w:tcW w:w="1260" w:type="dxa"/>
            <w:vAlign w:val="bottom"/>
            <w:tcBorders>
              <w:right w:val="single" w:sz="8" w:color="2360A6"/>
            </w:tcBorders>
            <w:shd w:val="clear" w:color="auto" w:fill="DCDDDE"/>
          </w:tcPr>
          <w:p>
            <w:pPr>
              <w:spacing w:after="0"/>
              <w:rPr>
                <w:sz w:val="16"/>
                <w:szCs w:val="16"/>
                <w:color w:val="auto"/>
              </w:rPr>
            </w:pPr>
          </w:p>
        </w:tc>
        <w:tc>
          <w:tcPr>
            <w:tcW w:w="1060" w:type="dxa"/>
            <w:vAlign w:val="bottom"/>
            <w:tcBorders>
              <w:right w:val="single" w:sz="8" w:color="2360A6"/>
            </w:tcBorders>
            <w:shd w:val="clear" w:color="auto" w:fill="DCDDDE"/>
          </w:tcPr>
          <w:p>
            <w:pPr>
              <w:spacing w:after="0"/>
              <w:rPr>
                <w:sz w:val="16"/>
                <w:szCs w:val="16"/>
                <w:color w:val="auto"/>
              </w:rPr>
            </w:pPr>
          </w:p>
        </w:tc>
      </w:tr>
      <w:tr>
        <w:trPr>
          <w:trHeight w:val="178"/>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Debts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1,573.4</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shd w:val="clear" w:color="auto" w:fill="DCDDDE"/>
          </w:tcPr>
          <w:p>
            <w:pPr>
              <w:spacing w:after="0"/>
              <w:rPr>
                <w:sz w:val="15"/>
                <w:szCs w:val="15"/>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1,573.4</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1,899.4</w:t>
            </w:r>
          </w:p>
        </w:tc>
      </w:tr>
      <w:tr>
        <w:trPr>
          <w:trHeight w:val="193"/>
        </w:trPr>
        <w:tc>
          <w:tcPr>
            <w:tcW w:w="282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Non-Current</w:t>
            </w:r>
          </w:p>
        </w:tc>
        <w:tc>
          <w:tcPr>
            <w:tcW w:w="960" w:type="dxa"/>
            <w:vAlign w:val="bottom"/>
            <w:tcBorders>
              <w:right w:val="single" w:sz="8" w:color="2360A6"/>
            </w:tcBorders>
            <w:shd w:val="clear" w:color="auto" w:fill="DCDDDE"/>
          </w:tcPr>
          <w:p>
            <w:pPr>
              <w:spacing w:after="0"/>
              <w:rPr>
                <w:sz w:val="16"/>
                <w:szCs w:val="16"/>
                <w:color w:val="auto"/>
              </w:rPr>
            </w:pPr>
          </w:p>
        </w:tc>
        <w:tc>
          <w:tcPr>
            <w:tcW w:w="980" w:type="dxa"/>
            <w:vAlign w:val="bottom"/>
            <w:tcBorders>
              <w:right w:val="single" w:sz="8" w:color="2360A6"/>
            </w:tcBorders>
            <w:shd w:val="clear" w:color="auto" w:fill="DCDDDE"/>
          </w:tcPr>
          <w:p>
            <w:pPr>
              <w:spacing w:after="0"/>
              <w:rPr>
                <w:sz w:val="16"/>
                <w:szCs w:val="16"/>
                <w:color w:val="auto"/>
              </w:rPr>
            </w:pPr>
          </w:p>
        </w:tc>
        <w:tc>
          <w:tcPr>
            <w:tcW w:w="1160" w:type="dxa"/>
            <w:vAlign w:val="bottom"/>
            <w:shd w:val="clear" w:color="auto" w:fill="DCDDDE"/>
          </w:tcPr>
          <w:p>
            <w:pPr>
              <w:spacing w:after="0"/>
              <w:rPr>
                <w:sz w:val="16"/>
                <w:szCs w:val="16"/>
                <w:color w:val="auto"/>
              </w:rPr>
            </w:pPr>
          </w:p>
        </w:tc>
        <w:tc>
          <w:tcPr>
            <w:tcW w:w="140" w:type="dxa"/>
            <w:vAlign w:val="bottom"/>
            <w:tcBorders>
              <w:right w:val="single" w:sz="8" w:color="2360A6"/>
            </w:tcBorders>
            <w:shd w:val="clear" w:color="auto" w:fill="DCDDDE"/>
          </w:tcPr>
          <w:p>
            <w:pPr>
              <w:spacing w:after="0"/>
              <w:rPr>
                <w:sz w:val="16"/>
                <w:szCs w:val="16"/>
                <w:color w:val="auto"/>
              </w:rPr>
            </w:pPr>
          </w:p>
        </w:tc>
        <w:tc>
          <w:tcPr>
            <w:tcW w:w="1080" w:type="dxa"/>
            <w:vAlign w:val="bottom"/>
            <w:tcBorders>
              <w:right w:val="single" w:sz="8" w:color="2360A6"/>
            </w:tcBorders>
            <w:shd w:val="clear" w:color="auto" w:fill="DCDDDE"/>
          </w:tcPr>
          <w:p>
            <w:pPr>
              <w:spacing w:after="0"/>
              <w:rPr>
                <w:sz w:val="16"/>
                <w:szCs w:val="16"/>
                <w:color w:val="auto"/>
              </w:rPr>
            </w:pPr>
          </w:p>
        </w:tc>
        <w:tc>
          <w:tcPr>
            <w:tcW w:w="1280" w:type="dxa"/>
            <w:vAlign w:val="bottom"/>
            <w:tcBorders>
              <w:right w:val="single" w:sz="8" w:color="2360A6"/>
            </w:tcBorders>
            <w:shd w:val="clear" w:color="auto" w:fill="DCDDDE"/>
          </w:tcPr>
          <w:p>
            <w:pPr>
              <w:spacing w:after="0"/>
              <w:rPr>
                <w:sz w:val="16"/>
                <w:szCs w:val="16"/>
                <w:color w:val="auto"/>
              </w:rPr>
            </w:pPr>
          </w:p>
        </w:tc>
        <w:tc>
          <w:tcPr>
            <w:tcW w:w="1260" w:type="dxa"/>
            <w:vAlign w:val="bottom"/>
            <w:tcBorders>
              <w:right w:val="single" w:sz="8" w:color="2360A6"/>
            </w:tcBorders>
            <w:shd w:val="clear" w:color="auto" w:fill="DCDDDE"/>
          </w:tcPr>
          <w:p>
            <w:pPr>
              <w:spacing w:after="0"/>
              <w:rPr>
                <w:sz w:val="16"/>
                <w:szCs w:val="16"/>
                <w:color w:val="auto"/>
              </w:rPr>
            </w:pPr>
          </w:p>
        </w:tc>
        <w:tc>
          <w:tcPr>
            <w:tcW w:w="1060" w:type="dxa"/>
            <w:vAlign w:val="bottom"/>
            <w:tcBorders>
              <w:right w:val="single" w:sz="8" w:color="2360A6"/>
            </w:tcBorders>
            <w:shd w:val="clear" w:color="auto" w:fill="DCDDDE"/>
          </w:tcPr>
          <w:p>
            <w:pPr>
              <w:spacing w:after="0"/>
              <w:rPr>
                <w:sz w:val="16"/>
                <w:szCs w:val="16"/>
                <w:color w:val="auto"/>
              </w:rPr>
            </w:pPr>
          </w:p>
        </w:tc>
      </w:tr>
      <w:tr>
        <w:trPr>
          <w:trHeight w:val="178"/>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Liabilities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26.8</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shd w:val="clear" w:color="auto" w:fill="DCDDDE"/>
          </w:tcPr>
          <w:p>
            <w:pPr>
              <w:spacing w:after="0"/>
              <w:rPr>
                <w:sz w:val="15"/>
                <w:szCs w:val="15"/>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26.8</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26.8</w:t>
            </w:r>
          </w:p>
        </w:tc>
      </w:tr>
      <w:tr>
        <w:trPr>
          <w:trHeight w:val="210"/>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Current Financial Debts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848.5</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shd w:val="clear" w:color="auto" w:fill="DCDDDE"/>
          </w:tcPr>
          <w:p>
            <w:pPr>
              <w:spacing w:after="0"/>
              <w:rPr>
                <w:sz w:val="18"/>
                <w:szCs w:val="18"/>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848.5</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848.5</w:t>
            </w:r>
          </w:p>
        </w:tc>
      </w:tr>
      <w:tr>
        <w:trPr>
          <w:trHeight w:val="210"/>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Trade Payables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3,684.0</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3,684.0</w:t>
            </w:r>
          </w:p>
        </w:tc>
        <w:tc>
          <w:tcPr>
            <w:tcW w:w="140" w:type="dxa"/>
            <w:vAlign w:val="bottom"/>
            <w:tcBorders>
              <w:bottom w:val="single" w:sz="8" w:color="2360A6"/>
              <w:right w:val="single" w:sz="8" w:color="2360A6"/>
            </w:tcBorders>
            <w:shd w:val="clear" w:color="auto" w:fill="DCDDDE"/>
          </w:tcPr>
          <w:p>
            <w:pPr>
              <w:spacing w:after="0"/>
              <w:rPr>
                <w:sz w:val="18"/>
                <w:szCs w:val="18"/>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3,684.0</w:t>
            </w:r>
          </w:p>
        </w:tc>
      </w:tr>
      <w:tr>
        <w:trPr>
          <w:trHeight w:val="193"/>
        </w:trPr>
        <w:tc>
          <w:tcPr>
            <w:tcW w:w="282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w:t>
            </w:r>
          </w:p>
        </w:tc>
        <w:tc>
          <w:tcPr>
            <w:tcW w:w="960" w:type="dxa"/>
            <w:vAlign w:val="bottom"/>
            <w:tcBorders>
              <w:right w:val="single" w:sz="8" w:color="2360A6"/>
            </w:tcBorders>
            <w:shd w:val="clear" w:color="auto" w:fill="DCDDDE"/>
          </w:tcPr>
          <w:p>
            <w:pPr>
              <w:spacing w:after="0"/>
              <w:rPr>
                <w:sz w:val="16"/>
                <w:szCs w:val="16"/>
                <w:color w:val="auto"/>
              </w:rPr>
            </w:pPr>
          </w:p>
        </w:tc>
        <w:tc>
          <w:tcPr>
            <w:tcW w:w="980" w:type="dxa"/>
            <w:vAlign w:val="bottom"/>
            <w:tcBorders>
              <w:right w:val="single" w:sz="8" w:color="2360A6"/>
            </w:tcBorders>
            <w:shd w:val="clear" w:color="auto" w:fill="DCDDDE"/>
          </w:tcPr>
          <w:p>
            <w:pPr>
              <w:spacing w:after="0"/>
              <w:rPr>
                <w:sz w:val="16"/>
                <w:szCs w:val="16"/>
                <w:color w:val="auto"/>
              </w:rPr>
            </w:pPr>
          </w:p>
        </w:tc>
        <w:tc>
          <w:tcPr>
            <w:tcW w:w="1160" w:type="dxa"/>
            <w:vAlign w:val="bottom"/>
            <w:shd w:val="clear" w:color="auto" w:fill="DCDDDE"/>
          </w:tcPr>
          <w:p>
            <w:pPr>
              <w:spacing w:after="0"/>
              <w:rPr>
                <w:sz w:val="16"/>
                <w:szCs w:val="16"/>
                <w:color w:val="auto"/>
              </w:rPr>
            </w:pPr>
          </w:p>
        </w:tc>
        <w:tc>
          <w:tcPr>
            <w:tcW w:w="140" w:type="dxa"/>
            <w:vAlign w:val="bottom"/>
            <w:tcBorders>
              <w:right w:val="single" w:sz="8" w:color="2360A6"/>
            </w:tcBorders>
            <w:shd w:val="clear" w:color="auto" w:fill="DCDDDE"/>
          </w:tcPr>
          <w:p>
            <w:pPr>
              <w:spacing w:after="0"/>
              <w:rPr>
                <w:sz w:val="16"/>
                <w:szCs w:val="16"/>
                <w:color w:val="auto"/>
              </w:rPr>
            </w:pPr>
          </w:p>
        </w:tc>
        <w:tc>
          <w:tcPr>
            <w:tcW w:w="1080" w:type="dxa"/>
            <w:vAlign w:val="bottom"/>
            <w:tcBorders>
              <w:right w:val="single" w:sz="8" w:color="2360A6"/>
            </w:tcBorders>
            <w:shd w:val="clear" w:color="auto" w:fill="DCDDDE"/>
          </w:tcPr>
          <w:p>
            <w:pPr>
              <w:spacing w:after="0"/>
              <w:rPr>
                <w:sz w:val="16"/>
                <w:szCs w:val="16"/>
                <w:color w:val="auto"/>
              </w:rPr>
            </w:pPr>
          </w:p>
        </w:tc>
        <w:tc>
          <w:tcPr>
            <w:tcW w:w="1280" w:type="dxa"/>
            <w:vAlign w:val="bottom"/>
            <w:tcBorders>
              <w:right w:val="single" w:sz="8" w:color="2360A6"/>
            </w:tcBorders>
            <w:shd w:val="clear" w:color="auto" w:fill="DCDDDE"/>
          </w:tcPr>
          <w:p>
            <w:pPr>
              <w:spacing w:after="0"/>
              <w:rPr>
                <w:sz w:val="16"/>
                <w:szCs w:val="16"/>
                <w:color w:val="auto"/>
              </w:rPr>
            </w:pPr>
          </w:p>
        </w:tc>
        <w:tc>
          <w:tcPr>
            <w:tcW w:w="1260" w:type="dxa"/>
            <w:vAlign w:val="bottom"/>
            <w:tcBorders>
              <w:right w:val="single" w:sz="8" w:color="2360A6"/>
            </w:tcBorders>
            <w:shd w:val="clear" w:color="auto" w:fill="DCDDDE"/>
          </w:tcPr>
          <w:p>
            <w:pPr>
              <w:spacing w:after="0"/>
              <w:rPr>
                <w:sz w:val="16"/>
                <w:szCs w:val="16"/>
                <w:color w:val="auto"/>
              </w:rPr>
            </w:pPr>
          </w:p>
        </w:tc>
        <w:tc>
          <w:tcPr>
            <w:tcW w:w="1060" w:type="dxa"/>
            <w:vAlign w:val="bottom"/>
            <w:tcBorders>
              <w:right w:val="single" w:sz="8" w:color="2360A6"/>
            </w:tcBorders>
            <w:shd w:val="clear" w:color="auto" w:fill="DCDDDE"/>
          </w:tcPr>
          <w:p>
            <w:pPr>
              <w:spacing w:after="0"/>
              <w:rPr>
                <w:sz w:val="16"/>
                <w:szCs w:val="16"/>
                <w:color w:val="auto"/>
              </w:rPr>
            </w:pPr>
          </w:p>
        </w:tc>
      </w:tr>
      <w:tr>
        <w:trPr>
          <w:trHeight w:val="178"/>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Instruments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556.6</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167.0</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shd w:val="clear" w:color="auto" w:fill="DCDDDE"/>
          </w:tcPr>
          <w:p>
            <w:pPr>
              <w:spacing w:after="0"/>
              <w:rPr>
                <w:sz w:val="15"/>
                <w:szCs w:val="15"/>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389.6</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556.6</w:t>
            </w:r>
          </w:p>
        </w:tc>
      </w:tr>
      <w:tr>
        <w:trPr>
          <w:trHeight w:val="193"/>
        </w:trPr>
        <w:tc>
          <w:tcPr>
            <w:tcW w:w="282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Current Income Tax</w:t>
            </w:r>
          </w:p>
        </w:tc>
        <w:tc>
          <w:tcPr>
            <w:tcW w:w="960" w:type="dxa"/>
            <w:vAlign w:val="bottom"/>
            <w:tcBorders>
              <w:right w:val="single" w:sz="8" w:color="2360A6"/>
            </w:tcBorders>
            <w:shd w:val="clear" w:color="auto" w:fill="DCDDDE"/>
          </w:tcPr>
          <w:p>
            <w:pPr>
              <w:spacing w:after="0"/>
              <w:rPr>
                <w:sz w:val="16"/>
                <w:szCs w:val="16"/>
                <w:color w:val="auto"/>
              </w:rPr>
            </w:pPr>
          </w:p>
        </w:tc>
        <w:tc>
          <w:tcPr>
            <w:tcW w:w="980" w:type="dxa"/>
            <w:vAlign w:val="bottom"/>
            <w:tcBorders>
              <w:right w:val="single" w:sz="8" w:color="2360A6"/>
            </w:tcBorders>
            <w:shd w:val="clear" w:color="auto" w:fill="DCDDDE"/>
          </w:tcPr>
          <w:p>
            <w:pPr>
              <w:spacing w:after="0"/>
              <w:rPr>
                <w:sz w:val="16"/>
                <w:szCs w:val="16"/>
                <w:color w:val="auto"/>
              </w:rPr>
            </w:pPr>
          </w:p>
        </w:tc>
        <w:tc>
          <w:tcPr>
            <w:tcW w:w="1160" w:type="dxa"/>
            <w:vAlign w:val="bottom"/>
            <w:shd w:val="clear" w:color="auto" w:fill="DCDDDE"/>
          </w:tcPr>
          <w:p>
            <w:pPr>
              <w:spacing w:after="0"/>
              <w:rPr>
                <w:sz w:val="16"/>
                <w:szCs w:val="16"/>
                <w:color w:val="auto"/>
              </w:rPr>
            </w:pPr>
          </w:p>
        </w:tc>
        <w:tc>
          <w:tcPr>
            <w:tcW w:w="140" w:type="dxa"/>
            <w:vAlign w:val="bottom"/>
            <w:tcBorders>
              <w:right w:val="single" w:sz="8" w:color="2360A6"/>
            </w:tcBorders>
            <w:shd w:val="clear" w:color="auto" w:fill="DCDDDE"/>
          </w:tcPr>
          <w:p>
            <w:pPr>
              <w:spacing w:after="0"/>
              <w:rPr>
                <w:sz w:val="16"/>
                <w:szCs w:val="16"/>
                <w:color w:val="auto"/>
              </w:rPr>
            </w:pPr>
          </w:p>
        </w:tc>
        <w:tc>
          <w:tcPr>
            <w:tcW w:w="1080" w:type="dxa"/>
            <w:vAlign w:val="bottom"/>
            <w:tcBorders>
              <w:right w:val="single" w:sz="8" w:color="2360A6"/>
            </w:tcBorders>
            <w:shd w:val="clear" w:color="auto" w:fill="DCDDDE"/>
          </w:tcPr>
          <w:p>
            <w:pPr>
              <w:spacing w:after="0"/>
              <w:rPr>
                <w:sz w:val="16"/>
                <w:szCs w:val="16"/>
                <w:color w:val="auto"/>
              </w:rPr>
            </w:pPr>
          </w:p>
        </w:tc>
        <w:tc>
          <w:tcPr>
            <w:tcW w:w="1280" w:type="dxa"/>
            <w:vAlign w:val="bottom"/>
            <w:tcBorders>
              <w:right w:val="single" w:sz="8" w:color="2360A6"/>
            </w:tcBorders>
            <w:shd w:val="clear" w:color="auto" w:fill="DCDDDE"/>
          </w:tcPr>
          <w:p>
            <w:pPr>
              <w:spacing w:after="0"/>
              <w:rPr>
                <w:sz w:val="16"/>
                <w:szCs w:val="16"/>
                <w:color w:val="auto"/>
              </w:rPr>
            </w:pPr>
          </w:p>
        </w:tc>
        <w:tc>
          <w:tcPr>
            <w:tcW w:w="1260" w:type="dxa"/>
            <w:vAlign w:val="bottom"/>
            <w:tcBorders>
              <w:right w:val="single" w:sz="8" w:color="2360A6"/>
            </w:tcBorders>
            <w:shd w:val="clear" w:color="auto" w:fill="DCDDDE"/>
          </w:tcPr>
          <w:p>
            <w:pPr>
              <w:spacing w:after="0"/>
              <w:rPr>
                <w:sz w:val="16"/>
                <w:szCs w:val="16"/>
                <w:color w:val="auto"/>
              </w:rPr>
            </w:pPr>
          </w:p>
        </w:tc>
        <w:tc>
          <w:tcPr>
            <w:tcW w:w="1060" w:type="dxa"/>
            <w:vAlign w:val="bottom"/>
            <w:tcBorders>
              <w:right w:val="single" w:sz="8" w:color="2360A6"/>
            </w:tcBorders>
            <w:shd w:val="clear" w:color="auto" w:fill="DCDDDE"/>
          </w:tcPr>
          <w:p>
            <w:pPr>
              <w:spacing w:after="0"/>
              <w:rPr>
                <w:sz w:val="16"/>
                <w:szCs w:val="16"/>
                <w:color w:val="auto"/>
              </w:rPr>
            </w:pPr>
          </w:p>
        </w:tc>
      </w:tr>
      <w:tr>
        <w:trPr>
          <w:trHeight w:val="178"/>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Payables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301.2</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301.2</w:t>
            </w:r>
          </w:p>
        </w:tc>
        <w:tc>
          <w:tcPr>
            <w:tcW w:w="140" w:type="dxa"/>
            <w:vAlign w:val="bottom"/>
            <w:tcBorders>
              <w:bottom w:val="single" w:sz="8" w:color="2360A6"/>
              <w:right w:val="single" w:sz="8" w:color="2360A6"/>
            </w:tcBorders>
            <w:shd w:val="clear" w:color="auto" w:fill="DCDDDE"/>
          </w:tcPr>
          <w:p>
            <w:pPr>
              <w:spacing w:after="0"/>
              <w:rPr>
                <w:sz w:val="15"/>
                <w:szCs w:val="15"/>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301.2</w:t>
            </w:r>
          </w:p>
        </w:tc>
      </w:tr>
      <w:tr>
        <w:trPr>
          <w:trHeight w:val="210"/>
        </w:trPr>
        <w:tc>
          <w:tcPr>
            <w:tcW w:w="2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Current Liabilities</w:t>
            </w:r>
          </w:p>
        </w:tc>
        <w:tc>
          <w:tcPr>
            <w:tcW w:w="9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1,722.7</w:t>
            </w:r>
          </w:p>
        </w:tc>
        <w:tc>
          <w:tcPr>
            <w:tcW w:w="9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1,722.7</w:t>
            </w:r>
          </w:p>
        </w:tc>
        <w:tc>
          <w:tcPr>
            <w:tcW w:w="140" w:type="dxa"/>
            <w:vAlign w:val="bottom"/>
            <w:tcBorders>
              <w:bottom w:val="single" w:sz="8" w:color="2360A6"/>
              <w:right w:val="single" w:sz="8" w:color="2360A6"/>
            </w:tcBorders>
            <w:shd w:val="clear" w:color="auto" w:fill="DCDDDE"/>
          </w:tcPr>
          <w:p>
            <w:pPr>
              <w:spacing w:after="0"/>
              <w:rPr>
                <w:sz w:val="18"/>
                <w:szCs w:val="18"/>
                <w:color w:val="auto"/>
              </w:rPr>
            </w:pPr>
          </w:p>
        </w:tc>
        <w:tc>
          <w:tcPr>
            <w:tcW w:w="10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1,722.7</w:t>
            </w:r>
          </w:p>
        </w:tc>
      </w:tr>
      <w:tr>
        <w:trPr>
          <w:trHeight w:val="210"/>
        </w:trPr>
        <w:tc>
          <w:tcPr>
            <w:tcW w:w="282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LIABILITIES</w:t>
            </w:r>
          </w:p>
        </w:tc>
        <w:tc>
          <w:tcPr>
            <w:tcW w:w="9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8,713.2</w:t>
            </w:r>
          </w:p>
        </w:tc>
        <w:tc>
          <w:tcPr>
            <w:tcW w:w="9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167.0</w:t>
            </w:r>
          </w:p>
        </w:tc>
        <w:tc>
          <w:tcPr>
            <w:tcW w:w="116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5,707.9</w:t>
            </w:r>
          </w:p>
        </w:tc>
        <w:tc>
          <w:tcPr>
            <w:tcW w:w="140" w:type="dxa"/>
            <w:vAlign w:val="bottom"/>
            <w:tcBorders>
              <w:bottom w:val="single" w:sz="8" w:color="2360A6"/>
              <w:right w:val="single" w:sz="8" w:color="2360A6"/>
            </w:tcBorders>
            <w:shd w:val="clear" w:color="auto" w:fill="D2DEEC"/>
          </w:tcPr>
          <w:p>
            <w:pPr>
              <w:spacing w:after="0"/>
              <w:rPr>
                <w:sz w:val="18"/>
                <w:szCs w:val="18"/>
                <w:color w:val="auto"/>
              </w:rPr>
            </w:pPr>
          </w:p>
        </w:tc>
        <w:tc>
          <w:tcPr>
            <w:tcW w:w="10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w:t>
            </w:r>
          </w:p>
        </w:tc>
        <w:tc>
          <w:tcPr>
            <w:tcW w:w="12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2,448.7</w:t>
            </w:r>
          </w:p>
        </w:tc>
        <w:tc>
          <w:tcPr>
            <w:tcW w:w="12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389.6</w:t>
            </w:r>
          </w:p>
        </w:tc>
        <w:tc>
          <w:tcPr>
            <w:tcW w:w="10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9,039.2</w:t>
            </w:r>
          </w:p>
        </w:tc>
      </w:tr>
    </w:tbl>
    <w:p>
      <w:pPr>
        <w:sectPr>
          <w:pgSz w:w="11900" w:h="16838" w:orient="portrait"/>
          <w:cols w:equalWidth="0" w:num="1">
            <w:col w:w="11100"/>
          </w:cols>
          <w:pgMar w:left="240" w:top="693" w:right="559" w:bottom="1440" w:gutter="0" w:footer="0" w:header="0"/>
        </w:sectPr>
      </w:pPr>
    </w:p>
    <w:bookmarkStart w:id="152" w:name="page153"/>
    <w:bookmarkEnd w:id="1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780" w:type="dxa"/>
            <w:vAlign w:val="bottom"/>
            <w:tcBorders>
              <w:top w:val="single" w:sz="8" w:color="2360A6"/>
              <w:left w:val="single" w:sz="8" w:color="2360A6"/>
              <w:right w:val="single" w:sz="8" w:color="2360A6"/>
            </w:tcBorders>
          </w:tcPr>
          <w:p>
            <w:pPr>
              <w:spacing w:after="0"/>
              <w:rPr>
                <w:sz w:val="19"/>
                <w:szCs w:val="19"/>
                <w:color w:val="auto"/>
              </w:rPr>
            </w:pPr>
          </w:p>
        </w:tc>
        <w:tc>
          <w:tcPr>
            <w:tcW w:w="960" w:type="dxa"/>
            <w:vAlign w:val="bottom"/>
            <w:tcBorders>
              <w:top w:val="single" w:sz="8" w:color="2360A6"/>
              <w:bottom w:val="single" w:sz="8" w:color="2360A6"/>
            </w:tcBorders>
          </w:tcPr>
          <w:p>
            <w:pPr>
              <w:spacing w:after="0"/>
              <w:rPr>
                <w:sz w:val="19"/>
                <w:szCs w:val="19"/>
                <w:color w:val="auto"/>
              </w:rPr>
            </w:pPr>
          </w:p>
        </w:tc>
        <w:tc>
          <w:tcPr>
            <w:tcW w:w="960" w:type="dxa"/>
            <w:vAlign w:val="bottom"/>
            <w:tcBorders>
              <w:top w:val="single" w:sz="8" w:color="2360A6"/>
              <w:bottom w:val="single" w:sz="8" w:color="2360A6"/>
            </w:tcBorders>
          </w:tcPr>
          <w:p>
            <w:pPr>
              <w:spacing w:after="0"/>
              <w:rPr>
                <w:sz w:val="19"/>
                <w:szCs w:val="19"/>
                <w:color w:val="auto"/>
              </w:rPr>
            </w:pPr>
          </w:p>
        </w:tc>
        <w:tc>
          <w:tcPr>
            <w:tcW w:w="1180" w:type="dxa"/>
            <w:vAlign w:val="bottom"/>
            <w:tcBorders>
              <w:top w:val="single" w:sz="8" w:color="2360A6"/>
              <w:bottom w:val="single" w:sz="8" w:color="2360A6"/>
            </w:tcBorders>
          </w:tcPr>
          <w:p>
            <w:pPr>
              <w:spacing w:after="0"/>
              <w:rPr>
                <w:sz w:val="19"/>
                <w:szCs w:val="19"/>
                <w:color w:val="auto"/>
              </w:rPr>
            </w:pPr>
          </w:p>
        </w:tc>
        <w:tc>
          <w:tcPr>
            <w:tcW w:w="2520" w:type="dxa"/>
            <w:vAlign w:val="bottom"/>
            <w:tcBorders>
              <w:top w:val="single" w:sz="8" w:color="2360A6"/>
              <w:bottom w:val="single" w:sz="8" w:color="2360A6"/>
            </w:tcBorders>
            <w:gridSpan w:val="3"/>
          </w:tcPr>
          <w:p>
            <w:pPr>
              <w:jc w:val="center"/>
              <w:ind w:right="860"/>
              <w:spacing w:after="0"/>
              <w:rPr>
                <w:sz w:val="20"/>
                <w:szCs w:val="20"/>
                <w:color w:val="auto"/>
              </w:rPr>
            </w:pPr>
            <w:r>
              <w:rPr>
                <w:rFonts w:ascii="Arial" w:cs="Arial" w:eastAsia="Arial" w:hAnsi="Arial"/>
                <w:sz w:val="14"/>
                <w:szCs w:val="14"/>
                <w:b w:val="1"/>
                <w:bCs w:val="1"/>
                <w:color w:val="2360A6"/>
              </w:rPr>
              <w:t>As of December 31, 2015</w:t>
            </w:r>
          </w:p>
        </w:tc>
        <w:tc>
          <w:tcPr>
            <w:tcW w:w="1060" w:type="dxa"/>
            <w:vAlign w:val="bottom"/>
            <w:tcBorders>
              <w:top w:val="single" w:sz="8" w:color="2360A6"/>
              <w:bottom w:val="single" w:sz="8" w:color="2360A6"/>
            </w:tcBorders>
          </w:tcPr>
          <w:p>
            <w:pPr>
              <w:spacing w:after="0"/>
              <w:rPr>
                <w:sz w:val="19"/>
                <w:szCs w:val="19"/>
                <w:color w:val="auto"/>
              </w:rPr>
            </w:pPr>
          </w:p>
        </w:tc>
        <w:tc>
          <w:tcPr>
            <w:tcW w:w="1140" w:type="dxa"/>
            <w:vAlign w:val="bottom"/>
            <w:tcBorders>
              <w:top w:val="single" w:sz="8" w:color="2360A6"/>
              <w:bottom w:val="single" w:sz="8" w:color="2360A6"/>
              <w:right w:val="single" w:sz="8" w:color="2360A6"/>
            </w:tcBorders>
          </w:tcPr>
          <w:p>
            <w:pPr>
              <w:spacing w:after="0"/>
              <w:rPr>
                <w:sz w:val="19"/>
                <w:szCs w:val="19"/>
                <w:color w:val="auto"/>
              </w:rPr>
            </w:pPr>
          </w:p>
        </w:tc>
      </w:tr>
      <w:tr>
        <w:trPr>
          <w:trHeight w:val="210"/>
        </w:trPr>
        <w:tc>
          <w:tcPr>
            <w:tcW w:w="2780" w:type="dxa"/>
            <w:vAlign w:val="bottom"/>
            <w:tcBorders>
              <w:left w:val="single" w:sz="8" w:color="2360A6"/>
              <w:right w:val="single" w:sz="8" w:color="2360A6"/>
            </w:tcBorders>
          </w:tcPr>
          <w:p>
            <w:pPr>
              <w:spacing w:after="0"/>
              <w:rPr>
                <w:sz w:val="18"/>
                <w:szCs w:val="18"/>
                <w:color w:val="auto"/>
              </w:rPr>
            </w:pPr>
          </w:p>
        </w:tc>
        <w:tc>
          <w:tcPr>
            <w:tcW w:w="960" w:type="dxa"/>
            <w:vAlign w:val="bottom"/>
            <w:tcBorders>
              <w:bottom w:val="single" w:sz="8" w:color="2360A6"/>
            </w:tcBorders>
          </w:tcPr>
          <w:p>
            <w:pPr>
              <w:spacing w:after="0"/>
              <w:rPr>
                <w:sz w:val="18"/>
                <w:szCs w:val="18"/>
                <w:color w:val="auto"/>
              </w:rPr>
            </w:pPr>
          </w:p>
        </w:tc>
        <w:tc>
          <w:tcPr>
            <w:tcW w:w="960" w:type="dxa"/>
            <w:vAlign w:val="bottom"/>
            <w:tcBorders>
              <w:bottom w:val="single" w:sz="8" w:color="2360A6"/>
            </w:tcBorders>
          </w:tcPr>
          <w:p>
            <w:pPr>
              <w:spacing w:after="0"/>
              <w:rPr>
                <w:sz w:val="18"/>
                <w:szCs w:val="18"/>
                <w:color w:val="auto"/>
              </w:rPr>
            </w:pPr>
          </w:p>
        </w:tc>
        <w:tc>
          <w:tcPr>
            <w:tcW w:w="3700" w:type="dxa"/>
            <w:vAlign w:val="bottom"/>
            <w:tcBorders>
              <w:bottom w:val="single" w:sz="8" w:color="2360A6"/>
            </w:tcBorders>
            <w:gridSpan w:val="4"/>
          </w:tcPr>
          <w:p>
            <w:pPr>
              <w:jc w:val="center"/>
              <w:ind w:left="208"/>
              <w:spacing w:after="0"/>
              <w:rPr>
                <w:sz w:val="20"/>
                <w:szCs w:val="20"/>
                <w:color w:val="auto"/>
              </w:rPr>
            </w:pPr>
            <w:r>
              <w:rPr>
                <w:rFonts w:ascii="Arial" w:cs="Arial" w:eastAsia="Arial" w:hAnsi="Arial"/>
                <w:sz w:val="14"/>
                <w:szCs w:val="14"/>
                <w:b w:val="1"/>
                <w:bCs w:val="1"/>
                <w:color w:val="2360A6"/>
              </w:rPr>
              <w:t>Analysis by Category of Financial Instruments</w:t>
            </w:r>
          </w:p>
        </w:tc>
        <w:tc>
          <w:tcPr>
            <w:tcW w:w="1060" w:type="dxa"/>
            <w:vAlign w:val="bottom"/>
            <w:tcBorders>
              <w:bottom w:val="single" w:sz="8" w:color="2360A6"/>
            </w:tcBorders>
          </w:tcPr>
          <w:p>
            <w:pPr>
              <w:spacing w:after="0"/>
              <w:rPr>
                <w:sz w:val="18"/>
                <w:szCs w:val="18"/>
                <w:color w:val="auto"/>
              </w:rPr>
            </w:pPr>
          </w:p>
        </w:tc>
        <w:tc>
          <w:tcPr>
            <w:tcW w:w="1140" w:type="dxa"/>
            <w:vAlign w:val="bottom"/>
            <w:tcBorders>
              <w:bottom w:val="single" w:sz="8" w:color="2360A6"/>
              <w:right w:val="single" w:sz="8" w:color="2360A6"/>
            </w:tcBorders>
          </w:tcPr>
          <w:p>
            <w:pPr>
              <w:spacing w:after="0"/>
              <w:rPr>
                <w:sz w:val="18"/>
                <w:szCs w:val="18"/>
                <w:color w:val="auto"/>
              </w:rPr>
            </w:pPr>
          </w:p>
        </w:tc>
      </w:tr>
      <w:tr>
        <w:trPr>
          <w:trHeight w:val="175"/>
        </w:trPr>
        <w:tc>
          <w:tcPr>
            <w:tcW w:w="2780" w:type="dxa"/>
            <w:vAlign w:val="bottom"/>
            <w:tcBorders>
              <w:left w:val="single" w:sz="8" w:color="2360A6"/>
              <w:right w:val="single" w:sz="8" w:color="2360A6"/>
            </w:tcBorders>
          </w:tcPr>
          <w:p>
            <w:pPr>
              <w:spacing w:after="0"/>
              <w:rPr>
                <w:sz w:val="15"/>
                <w:szCs w:val="15"/>
                <w:color w:val="auto"/>
              </w:rPr>
            </w:pPr>
          </w:p>
        </w:tc>
        <w:tc>
          <w:tcPr>
            <w:tcW w:w="960" w:type="dxa"/>
            <w:vAlign w:val="bottom"/>
            <w:tcBorders>
              <w:right w:val="single" w:sz="8" w:color="2360A6"/>
            </w:tcBorders>
          </w:tcPr>
          <w:p>
            <w:pPr>
              <w:spacing w:after="0"/>
              <w:rPr>
                <w:sz w:val="15"/>
                <w:szCs w:val="15"/>
                <w:color w:val="auto"/>
              </w:rPr>
            </w:pPr>
          </w:p>
        </w:tc>
        <w:tc>
          <w:tcPr>
            <w:tcW w:w="9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At Fair</w:t>
            </w:r>
          </w:p>
        </w:tc>
        <w:tc>
          <w:tcPr>
            <w:tcW w:w="1180" w:type="dxa"/>
            <w:vAlign w:val="bottom"/>
            <w:tcBorders>
              <w:right w:val="single" w:sz="8" w:color="2360A6"/>
            </w:tcBorders>
          </w:tcPr>
          <w:p>
            <w:pPr>
              <w:spacing w:after="0"/>
              <w:rPr>
                <w:sz w:val="15"/>
                <w:szCs w:val="15"/>
                <w:color w:val="auto"/>
              </w:rPr>
            </w:pPr>
          </w:p>
        </w:tc>
        <w:tc>
          <w:tcPr>
            <w:tcW w:w="1060" w:type="dxa"/>
            <w:vAlign w:val="bottom"/>
            <w:tcBorders>
              <w:right w:val="single" w:sz="8" w:color="2360A6"/>
            </w:tcBorders>
          </w:tcPr>
          <w:p>
            <w:pPr>
              <w:spacing w:after="0"/>
              <w:rPr>
                <w:sz w:val="15"/>
                <w:szCs w:val="15"/>
                <w:color w:val="auto"/>
              </w:rPr>
            </w:pPr>
          </w:p>
        </w:tc>
        <w:tc>
          <w:tcPr>
            <w:tcW w:w="1260" w:type="dxa"/>
            <w:vAlign w:val="bottom"/>
            <w:tcBorders>
              <w:right w:val="single" w:sz="8" w:color="2360A6"/>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right w:val="single" w:sz="8" w:color="2360A6"/>
            </w:tcBorders>
          </w:tcPr>
          <w:p>
            <w:pPr>
              <w:spacing w:after="0"/>
              <w:rPr>
                <w:sz w:val="15"/>
                <w:szCs w:val="15"/>
                <w:color w:val="auto"/>
              </w:rPr>
            </w:pPr>
          </w:p>
        </w:tc>
        <w:tc>
          <w:tcPr>
            <w:tcW w:w="1140" w:type="dxa"/>
            <w:vAlign w:val="bottom"/>
            <w:tcBorders>
              <w:right w:val="single" w:sz="8" w:color="2360A6"/>
            </w:tcBorders>
          </w:tcPr>
          <w:p>
            <w:pPr>
              <w:spacing w:after="0"/>
              <w:rPr>
                <w:sz w:val="15"/>
                <w:szCs w:val="15"/>
                <w:color w:val="auto"/>
              </w:rPr>
            </w:pPr>
          </w:p>
        </w:tc>
      </w:tr>
      <w:tr>
        <w:trPr>
          <w:trHeight w:val="162"/>
        </w:trPr>
        <w:tc>
          <w:tcPr>
            <w:tcW w:w="2780" w:type="dxa"/>
            <w:vAlign w:val="bottom"/>
            <w:tcBorders>
              <w:left w:val="single" w:sz="8" w:color="2360A6"/>
              <w:right w:val="single" w:sz="8" w:color="2360A6"/>
            </w:tcBorders>
          </w:tcPr>
          <w:p>
            <w:pPr>
              <w:spacing w:after="0"/>
              <w:rPr>
                <w:sz w:val="14"/>
                <w:szCs w:val="14"/>
                <w:color w:val="auto"/>
              </w:rPr>
            </w:pPr>
          </w:p>
        </w:tc>
        <w:tc>
          <w:tcPr>
            <w:tcW w:w="960" w:type="dxa"/>
            <w:vAlign w:val="bottom"/>
            <w:tcBorders>
              <w:right w:val="single" w:sz="8" w:color="2360A6"/>
            </w:tcBorders>
          </w:tcPr>
          <w:p>
            <w:pPr>
              <w:spacing w:after="0"/>
              <w:rPr>
                <w:sz w:val="14"/>
                <w:szCs w:val="14"/>
                <w:color w:val="auto"/>
              </w:rPr>
            </w:pPr>
          </w:p>
        </w:tc>
        <w:tc>
          <w:tcPr>
            <w:tcW w:w="9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Value</w:t>
            </w:r>
          </w:p>
        </w:tc>
        <w:tc>
          <w:tcPr>
            <w:tcW w:w="1180" w:type="dxa"/>
            <w:vAlign w:val="bottom"/>
            <w:tcBorders>
              <w:right w:val="single" w:sz="8" w:color="2360A6"/>
            </w:tcBorders>
          </w:tcPr>
          <w:p>
            <w:pPr>
              <w:spacing w:after="0"/>
              <w:rPr>
                <w:sz w:val="14"/>
                <w:szCs w:val="14"/>
                <w:color w:val="auto"/>
              </w:rPr>
            </w:pPr>
          </w:p>
        </w:tc>
        <w:tc>
          <w:tcPr>
            <w:tcW w:w="10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Available-</w:t>
            </w:r>
          </w:p>
        </w:tc>
        <w:tc>
          <w:tcPr>
            <w:tcW w:w="1260" w:type="dxa"/>
            <w:vAlign w:val="bottom"/>
            <w:tcBorders>
              <w:right w:val="single" w:sz="8" w:color="2360A6"/>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right w:val="single" w:sz="8" w:color="2360A6"/>
            </w:tcBorders>
          </w:tcPr>
          <w:p>
            <w:pPr>
              <w:spacing w:after="0"/>
              <w:rPr>
                <w:sz w:val="14"/>
                <w:szCs w:val="14"/>
                <w:color w:val="auto"/>
              </w:rPr>
            </w:pPr>
          </w:p>
        </w:tc>
        <w:tc>
          <w:tcPr>
            <w:tcW w:w="1140" w:type="dxa"/>
            <w:vAlign w:val="bottom"/>
            <w:tcBorders>
              <w:right w:val="single" w:sz="8" w:color="2360A6"/>
            </w:tcBorders>
          </w:tcPr>
          <w:p>
            <w:pPr>
              <w:spacing w:after="0"/>
              <w:rPr>
                <w:sz w:val="14"/>
                <w:szCs w:val="14"/>
                <w:color w:val="auto"/>
              </w:rPr>
            </w:pPr>
          </w:p>
        </w:tc>
      </w:tr>
      <w:tr>
        <w:trPr>
          <w:trHeight w:val="162"/>
        </w:trPr>
        <w:tc>
          <w:tcPr>
            <w:tcW w:w="2780" w:type="dxa"/>
            <w:vAlign w:val="bottom"/>
            <w:tcBorders>
              <w:left w:val="single" w:sz="8" w:color="2360A6"/>
              <w:right w:val="single" w:sz="8" w:color="2360A6"/>
            </w:tcBorders>
          </w:tcPr>
          <w:p>
            <w:pPr>
              <w:spacing w:after="0"/>
              <w:rPr>
                <w:sz w:val="14"/>
                <w:szCs w:val="14"/>
                <w:color w:val="auto"/>
              </w:rPr>
            </w:pPr>
          </w:p>
        </w:tc>
        <w:tc>
          <w:tcPr>
            <w:tcW w:w="960" w:type="dxa"/>
            <w:vAlign w:val="bottom"/>
            <w:tcBorders>
              <w:right w:val="single" w:sz="8" w:color="2360A6"/>
            </w:tcBorders>
          </w:tcPr>
          <w:p>
            <w:pPr>
              <w:spacing w:after="0"/>
              <w:rPr>
                <w:sz w:val="14"/>
                <w:szCs w:val="14"/>
                <w:color w:val="auto"/>
              </w:rPr>
            </w:pPr>
          </w:p>
        </w:tc>
        <w:tc>
          <w:tcPr>
            <w:tcW w:w="9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through</w:t>
            </w:r>
          </w:p>
        </w:tc>
        <w:tc>
          <w:tcPr>
            <w:tcW w:w="1180" w:type="dxa"/>
            <w:vAlign w:val="bottom"/>
            <w:tcBorders>
              <w:right w:val="single" w:sz="8" w:color="2360A6"/>
            </w:tcBorders>
          </w:tcPr>
          <w:p>
            <w:pPr>
              <w:spacing w:after="0"/>
              <w:rPr>
                <w:sz w:val="14"/>
                <w:szCs w:val="14"/>
                <w:color w:val="auto"/>
              </w:rPr>
            </w:pPr>
          </w:p>
        </w:tc>
        <w:tc>
          <w:tcPr>
            <w:tcW w:w="10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for-Sale</w:t>
            </w:r>
          </w:p>
        </w:tc>
        <w:tc>
          <w:tcPr>
            <w:tcW w:w="1260" w:type="dxa"/>
            <w:vAlign w:val="bottom"/>
            <w:tcBorders>
              <w:right w:val="single" w:sz="8" w:color="2360A6"/>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right w:val="single" w:sz="8" w:color="2360A6"/>
            </w:tcBorders>
          </w:tcPr>
          <w:p>
            <w:pPr>
              <w:spacing w:after="0"/>
              <w:rPr>
                <w:sz w:val="14"/>
                <w:szCs w:val="14"/>
                <w:color w:val="auto"/>
              </w:rPr>
            </w:pPr>
          </w:p>
        </w:tc>
        <w:tc>
          <w:tcPr>
            <w:tcW w:w="1140" w:type="dxa"/>
            <w:vAlign w:val="bottom"/>
            <w:tcBorders>
              <w:right w:val="single" w:sz="8" w:color="2360A6"/>
            </w:tcBorders>
          </w:tcPr>
          <w:p>
            <w:pPr>
              <w:spacing w:after="0"/>
              <w:rPr>
                <w:sz w:val="14"/>
                <w:szCs w:val="14"/>
                <w:color w:val="auto"/>
              </w:rPr>
            </w:pPr>
          </w:p>
        </w:tc>
      </w:tr>
      <w:tr>
        <w:trPr>
          <w:trHeight w:val="162"/>
        </w:trPr>
        <w:tc>
          <w:tcPr>
            <w:tcW w:w="2780" w:type="dxa"/>
            <w:vAlign w:val="bottom"/>
            <w:tcBorders>
              <w:left w:val="single" w:sz="8" w:color="2360A6"/>
              <w:right w:val="single" w:sz="8" w:color="2360A6"/>
            </w:tcBorders>
          </w:tcPr>
          <w:p>
            <w:pPr>
              <w:spacing w:after="0"/>
              <w:rPr>
                <w:sz w:val="14"/>
                <w:szCs w:val="14"/>
                <w:color w:val="auto"/>
              </w:rPr>
            </w:pPr>
          </w:p>
        </w:tc>
        <w:tc>
          <w:tcPr>
            <w:tcW w:w="9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Carrying</w:t>
            </w:r>
          </w:p>
        </w:tc>
        <w:tc>
          <w:tcPr>
            <w:tcW w:w="9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Profit or</w:t>
            </w:r>
          </w:p>
        </w:tc>
        <w:tc>
          <w:tcPr>
            <w:tcW w:w="11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Loans and</w:t>
            </w:r>
          </w:p>
        </w:tc>
        <w:tc>
          <w:tcPr>
            <w:tcW w:w="10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Financial</w:t>
            </w:r>
          </w:p>
        </w:tc>
        <w:tc>
          <w:tcPr>
            <w:tcW w:w="12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Liabilities at</w:t>
            </w:r>
          </w:p>
        </w:tc>
        <w:tc>
          <w:tcPr>
            <w:tcW w:w="200" w:type="dxa"/>
            <w:vAlign w:val="bottom"/>
          </w:tcPr>
          <w:p>
            <w:pPr>
              <w:spacing w:after="0"/>
              <w:rPr>
                <w:sz w:val="14"/>
                <w:szCs w:val="14"/>
                <w:color w:val="auto"/>
              </w:rPr>
            </w:pPr>
          </w:p>
        </w:tc>
        <w:tc>
          <w:tcPr>
            <w:tcW w:w="10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Derivative</w:t>
            </w:r>
          </w:p>
        </w:tc>
        <w:tc>
          <w:tcPr>
            <w:tcW w:w="1140" w:type="dxa"/>
            <w:vAlign w:val="bottom"/>
            <w:tcBorders>
              <w:right w:val="single" w:sz="8" w:color="2360A6"/>
            </w:tcBorders>
          </w:tcPr>
          <w:p>
            <w:pPr>
              <w:spacing w:after="0"/>
              <w:rPr>
                <w:sz w:val="14"/>
                <w:szCs w:val="14"/>
                <w:color w:val="auto"/>
              </w:rPr>
            </w:pPr>
          </w:p>
        </w:tc>
      </w:tr>
      <w:tr>
        <w:trPr>
          <w:trHeight w:val="196"/>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Amount</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Loss</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Receivables</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Assets</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Amortized Cost</w:t>
            </w:r>
          </w:p>
        </w:tc>
        <w:tc>
          <w:tcPr>
            <w:tcW w:w="200" w:type="dxa"/>
            <w:vAlign w:val="bottom"/>
            <w:tcBorders>
              <w:bottom w:val="single" w:sz="8" w:color="2360A6"/>
            </w:tcBorders>
          </w:tcPr>
          <w:p>
            <w:pPr>
              <w:spacing w:after="0"/>
              <w:rPr>
                <w:sz w:val="17"/>
                <w:szCs w:val="17"/>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Instruments</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Fair Value</w:t>
            </w:r>
          </w:p>
        </w:tc>
      </w:tr>
      <w:tr>
        <w:trPr>
          <w:trHeight w:val="193"/>
        </w:trPr>
        <w:tc>
          <w:tcPr>
            <w:tcW w:w="27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Investments in Non- Consolidated</w:t>
            </w:r>
          </w:p>
        </w:tc>
        <w:tc>
          <w:tcPr>
            <w:tcW w:w="960" w:type="dxa"/>
            <w:vAlign w:val="bottom"/>
            <w:tcBorders>
              <w:right w:val="single" w:sz="8" w:color="2360A6"/>
            </w:tcBorders>
          </w:tcPr>
          <w:p>
            <w:pPr>
              <w:spacing w:after="0"/>
              <w:rPr>
                <w:sz w:val="16"/>
                <w:szCs w:val="16"/>
                <w:color w:val="auto"/>
              </w:rPr>
            </w:pPr>
          </w:p>
        </w:tc>
        <w:tc>
          <w:tcPr>
            <w:tcW w:w="960" w:type="dxa"/>
            <w:vAlign w:val="bottom"/>
            <w:tcBorders>
              <w:right w:val="single" w:sz="8" w:color="2360A6"/>
            </w:tcBorders>
          </w:tcPr>
          <w:p>
            <w:pPr>
              <w:spacing w:after="0"/>
              <w:rPr>
                <w:sz w:val="16"/>
                <w:szCs w:val="16"/>
                <w:color w:val="auto"/>
              </w:rPr>
            </w:pPr>
          </w:p>
        </w:tc>
        <w:tc>
          <w:tcPr>
            <w:tcW w:w="1180" w:type="dxa"/>
            <w:vAlign w:val="bottom"/>
            <w:tcBorders>
              <w:right w:val="single" w:sz="8" w:color="2360A6"/>
            </w:tcBorders>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260" w:type="dxa"/>
            <w:vAlign w:val="bottom"/>
            <w:tcBorders>
              <w:right w:val="single" w:sz="8" w:color="2360A6"/>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140" w:type="dxa"/>
            <w:vAlign w:val="bottom"/>
            <w:tcBorders>
              <w:right w:val="single" w:sz="8" w:color="2360A6"/>
            </w:tcBorders>
          </w:tcPr>
          <w:p>
            <w:pPr>
              <w:spacing w:after="0"/>
              <w:rPr>
                <w:sz w:val="16"/>
                <w:szCs w:val="16"/>
                <w:color w:val="auto"/>
              </w:rPr>
            </w:pPr>
          </w:p>
        </w:tc>
      </w:tr>
      <w:tr>
        <w:trPr>
          <w:trHeight w:val="178"/>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Companies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6.5</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6.5</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200" w:type="dxa"/>
            <w:vAlign w:val="bottom"/>
            <w:tcBorders>
              <w:bottom w:val="single" w:sz="8" w:color="2360A6"/>
            </w:tcBorders>
          </w:tcPr>
          <w:p>
            <w:pPr>
              <w:spacing w:after="0"/>
              <w:rPr>
                <w:sz w:val="15"/>
                <w:szCs w:val="15"/>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6.5</w:t>
            </w:r>
          </w:p>
        </w:tc>
      </w:tr>
      <w:tr>
        <w:trPr>
          <w:trHeight w:val="210"/>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Financial Assets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214.7</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214.7</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200" w:type="dxa"/>
            <w:vAlign w:val="bottom"/>
            <w:tcBorders>
              <w:bottom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214.7</w:t>
            </w:r>
          </w:p>
        </w:tc>
      </w:tr>
      <w:tr>
        <w:trPr>
          <w:trHeight w:val="193"/>
        </w:trPr>
        <w:tc>
          <w:tcPr>
            <w:tcW w:w="27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Available-for-Sale Financial</w:t>
            </w:r>
          </w:p>
        </w:tc>
        <w:tc>
          <w:tcPr>
            <w:tcW w:w="960" w:type="dxa"/>
            <w:vAlign w:val="bottom"/>
            <w:tcBorders>
              <w:right w:val="single" w:sz="8" w:color="2360A6"/>
            </w:tcBorders>
          </w:tcPr>
          <w:p>
            <w:pPr>
              <w:spacing w:after="0"/>
              <w:rPr>
                <w:sz w:val="16"/>
                <w:szCs w:val="16"/>
                <w:color w:val="auto"/>
              </w:rPr>
            </w:pPr>
          </w:p>
        </w:tc>
        <w:tc>
          <w:tcPr>
            <w:tcW w:w="960" w:type="dxa"/>
            <w:vAlign w:val="bottom"/>
            <w:tcBorders>
              <w:right w:val="single" w:sz="8" w:color="2360A6"/>
            </w:tcBorders>
          </w:tcPr>
          <w:p>
            <w:pPr>
              <w:spacing w:after="0"/>
              <w:rPr>
                <w:sz w:val="16"/>
                <w:szCs w:val="16"/>
                <w:color w:val="auto"/>
              </w:rPr>
            </w:pPr>
          </w:p>
        </w:tc>
        <w:tc>
          <w:tcPr>
            <w:tcW w:w="1180" w:type="dxa"/>
            <w:vAlign w:val="bottom"/>
            <w:tcBorders>
              <w:right w:val="single" w:sz="8" w:color="2360A6"/>
            </w:tcBorders>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260" w:type="dxa"/>
            <w:vAlign w:val="bottom"/>
            <w:tcBorders>
              <w:right w:val="single" w:sz="8" w:color="2360A6"/>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140" w:type="dxa"/>
            <w:vAlign w:val="bottom"/>
            <w:tcBorders>
              <w:right w:val="single" w:sz="8" w:color="2360A6"/>
            </w:tcBorders>
          </w:tcPr>
          <w:p>
            <w:pPr>
              <w:spacing w:after="0"/>
              <w:rPr>
                <w:sz w:val="16"/>
                <w:szCs w:val="16"/>
                <w:color w:val="auto"/>
              </w:rPr>
            </w:pPr>
          </w:p>
        </w:tc>
      </w:tr>
      <w:tr>
        <w:trPr>
          <w:trHeight w:val="178"/>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Assets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29.0</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29.0</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200" w:type="dxa"/>
            <w:vAlign w:val="bottom"/>
            <w:tcBorders>
              <w:bottom w:val="single" w:sz="8" w:color="2360A6"/>
            </w:tcBorders>
          </w:tcPr>
          <w:p>
            <w:pPr>
              <w:spacing w:after="0"/>
              <w:rPr>
                <w:sz w:val="15"/>
                <w:szCs w:val="15"/>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29.0</w:t>
            </w:r>
          </w:p>
        </w:tc>
      </w:tr>
      <w:tr>
        <w:trPr>
          <w:trHeight w:val="193"/>
        </w:trPr>
        <w:tc>
          <w:tcPr>
            <w:tcW w:w="27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w:t>
            </w:r>
          </w:p>
        </w:tc>
        <w:tc>
          <w:tcPr>
            <w:tcW w:w="960" w:type="dxa"/>
            <w:vAlign w:val="bottom"/>
            <w:tcBorders>
              <w:right w:val="single" w:sz="8" w:color="2360A6"/>
            </w:tcBorders>
          </w:tcPr>
          <w:p>
            <w:pPr>
              <w:spacing w:after="0"/>
              <w:rPr>
                <w:sz w:val="16"/>
                <w:szCs w:val="16"/>
                <w:color w:val="auto"/>
              </w:rPr>
            </w:pPr>
          </w:p>
        </w:tc>
        <w:tc>
          <w:tcPr>
            <w:tcW w:w="960" w:type="dxa"/>
            <w:vAlign w:val="bottom"/>
            <w:tcBorders>
              <w:right w:val="single" w:sz="8" w:color="2360A6"/>
            </w:tcBorders>
          </w:tcPr>
          <w:p>
            <w:pPr>
              <w:spacing w:after="0"/>
              <w:rPr>
                <w:sz w:val="16"/>
                <w:szCs w:val="16"/>
                <w:color w:val="auto"/>
              </w:rPr>
            </w:pPr>
          </w:p>
        </w:tc>
        <w:tc>
          <w:tcPr>
            <w:tcW w:w="1180" w:type="dxa"/>
            <w:vAlign w:val="bottom"/>
            <w:tcBorders>
              <w:right w:val="single" w:sz="8" w:color="2360A6"/>
            </w:tcBorders>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260" w:type="dxa"/>
            <w:vAlign w:val="bottom"/>
            <w:tcBorders>
              <w:right w:val="single" w:sz="8" w:color="2360A6"/>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140" w:type="dxa"/>
            <w:vAlign w:val="bottom"/>
            <w:tcBorders>
              <w:right w:val="single" w:sz="8" w:color="2360A6"/>
            </w:tcBorders>
          </w:tcPr>
          <w:p>
            <w:pPr>
              <w:spacing w:after="0"/>
              <w:rPr>
                <w:sz w:val="16"/>
                <w:szCs w:val="16"/>
                <w:color w:val="auto"/>
              </w:rPr>
            </w:pPr>
          </w:p>
        </w:tc>
      </w:tr>
      <w:tr>
        <w:trPr>
          <w:trHeight w:val="178"/>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Instruments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47.1</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200" w:type="dxa"/>
            <w:vAlign w:val="bottom"/>
            <w:tcBorders>
              <w:bottom w:val="single" w:sz="8" w:color="2360A6"/>
            </w:tcBorders>
          </w:tcPr>
          <w:p>
            <w:pPr>
              <w:spacing w:after="0"/>
              <w:rPr>
                <w:sz w:val="15"/>
                <w:szCs w:val="15"/>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47.1</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47.1</w:t>
            </w:r>
          </w:p>
        </w:tc>
      </w:tr>
      <w:tr>
        <w:trPr>
          <w:trHeight w:val="210"/>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Trade Receivables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1,668.2</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1,668.2</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200" w:type="dxa"/>
            <w:vAlign w:val="bottom"/>
            <w:tcBorders>
              <w:bottom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1,668.2</w:t>
            </w:r>
          </w:p>
        </w:tc>
      </w:tr>
      <w:tr>
        <w:trPr>
          <w:trHeight w:val="193"/>
        </w:trPr>
        <w:tc>
          <w:tcPr>
            <w:tcW w:w="27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Current Income Tax</w:t>
            </w:r>
          </w:p>
        </w:tc>
        <w:tc>
          <w:tcPr>
            <w:tcW w:w="960" w:type="dxa"/>
            <w:vAlign w:val="bottom"/>
            <w:tcBorders>
              <w:right w:val="single" w:sz="8" w:color="2360A6"/>
            </w:tcBorders>
          </w:tcPr>
          <w:p>
            <w:pPr>
              <w:spacing w:after="0"/>
              <w:rPr>
                <w:sz w:val="16"/>
                <w:szCs w:val="16"/>
                <w:color w:val="auto"/>
              </w:rPr>
            </w:pPr>
          </w:p>
        </w:tc>
        <w:tc>
          <w:tcPr>
            <w:tcW w:w="960" w:type="dxa"/>
            <w:vAlign w:val="bottom"/>
            <w:tcBorders>
              <w:right w:val="single" w:sz="8" w:color="2360A6"/>
            </w:tcBorders>
          </w:tcPr>
          <w:p>
            <w:pPr>
              <w:spacing w:after="0"/>
              <w:rPr>
                <w:sz w:val="16"/>
                <w:szCs w:val="16"/>
                <w:color w:val="auto"/>
              </w:rPr>
            </w:pPr>
          </w:p>
        </w:tc>
        <w:tc>
          <w:tcPr>
            <w:tcW w:w="1180" w:type="dxa"/>
            <w:vAlign w:val="bottom"/>
            <w:tcBorders>
              <w:right w:val="single" w:sz="8" w:color="2360A6"/>
            </w:tcBorders>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260" w:type="dxa"/>
            <w:vAlign w:val="bottom"/>
            <w:tcBorders>
              <w:right w:val="single" w:sz="8" w:color="2360A6"/>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140" w:type="dxa"/>
            <w:vAlign w:val="bottom"/>
            <w:tcBorders>
              <w:right w:val="single" w:sz="8" w:color="2360A6"/>
            </w:tcBorders>
          </w:tcPr>
          <w:p>
            <w:pPr>
              <w:spacing w:after="0"/>
              <w:rPr>
                <w:sz w:val="16"/>
                <w:szCs w:val="16"/>
                <w:color w:val="auto"/>
              </w:rPr>
            </w:pPr>
          </w:p>
        </w:tc>
      </w:tr>
      <w:tr>
        <w:trPr>
          <w:trHeight w:val="178"/>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Receivables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220.3</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220.3</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200" w:type="dxa"/>
            <w:vAlign w:val="bottom"/>
            <w:tcBorders>
              <w:bottom w:val="single" w:sz="8" w:color="2360A6"/>
            </w:tcBorders>
          </w:tcPr>
          <w:p>
            <w:pPr>
              <w:spacing w:after="0"/>
              <w:rPr>
                <w:sz w:val="15"/>
                <w:szCs w:val="15"/>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220.3</w:t>
            </w:r>
          </w:p>
        </w:tc>
      </w:tr>
      <w:tr>
        <w:trPr>
          <w:trHeight w:val="210"/>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Current Receivables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589.2</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589.2</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200" w:type="dxa"/>
            <w:vAlign w:val="bottom"/>
            <w:tcBorders>
              <w:bottom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589.2</w:t>
            </w:r>
          </w:p>
        </w:tc>
      </w:tr>
      <w:tr>
        <w:trPr>
          <w:trHeight w:val="193"/>
        </w:trPr>
        <w:tc>
          <w:tcPr>
            <w:tcW w:w="27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Cash and Cash</w:t>
            </w:r>
          </w:p>
        </w:tc>
        <w:tc>
          <w:tcPr>
            <w:tcW w:w="960" w:type="dxa"/>
            <w:vAlign w:val="bottom"/>
            <w:tcBorders>
              <w:right w:val="single" w:sz="8" w:color="2360A6"/>
            </w:tcBorders>
          </w:tcPr>
          <w:p>
            <w:pPr>
              <w:spacing w:after="0"/>
              <w:rPr>
                <w:sz w:val="16"/>
                <w:szCs w:val="16"/>
                <w:color w:val="auto"/>
              </w:rPr>
            </w:pPr>
          </w:p>
        </w:tc>
        <w:tc>
          <w:tcPr>
            <w:tcW w:w="960" w:type="dxa"/>
            <w:vAlign w:val="bottom"/>
            <w:tcBorders>
              <w:right w:val="single" w:sz="8" w:color="2360A6"/>
            </w:tcBorders>
          </w:tcPr>
          <w:p>
            <w:pPr>
              <w:spacing w:after="0"/>
              <w:rPr>
                <w:sz w:val="16"/>
                <w:szCs w:val="16"/>
                <w:color w:val="auto"/>
              </w:rPr>
            </w:pPr>
          </w:p>
        </w:tc>
        <w:tc>
          <w:tcPr>
            <w:tcW w:w="1180" w:type="dxa"/>
            <w:vAlign w:val="bottom"/>
            <w:tcBorders>
              <w:right w:val="single" w:sz="8" w:color="2360A6"/>
            </w:tcBorders>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260" w:type="dxa"/>
            <w:vAlign w:val="bottom"/>
            <w:tcBorders>
              <w:right w:val="single" w:sz="8" w:color="2360A6"/>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140" w:type="dxa"/>
            <w:vAlign w:val="bottom"/>
            <w:tcBorders>
              <w:right w:val="single" w:sz="8" w:color="2360A6"/>
            </w:tcBorders>
          </w:tcPr>
          <w:p>
            <w:pPr>
              <w:spacing w:after="0"/>
              <w:rPr>
                <w:sz w:val="16"/>
                <w:szCs w:val="16"/>
                <w:color w:val="auto"/>
              </w:rPr>
            </w:pPr>
          </w:p>
        </w:tc>
      </w:tr>
      <w:tr>
        <w:trPr>
          <w:trHeight w:val="178"/>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Equivalents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2,919.1</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2,919.1</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200" w:type="dxa"/>
            <w:vAlign w:val="bottom"/>
            <w:tcBorders>
              <w:bottom w:val="single" w:sz="8" w:color="2360A6"/>
            </w:tcBorders>
          </w:tcPr>
          <w:p>
            <w:pPr>
              <w:spacing w:after="0"/>
              <w:rPr>
                <w:sz w:val="15"/>
                <w:szCs w:val="15"/>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2,919.1</w:t>
            </w:r>
          </w:p>
        </w:tc>
      </w:tr>
      <w:tr>
        <w:trPr>
          <w:trHeight w:val="210"/>
        </w:trPr>
        <w:tc>
          <w:tcPr>
            <w:tcW w:w="278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ASSETS</w:t>
            </w:r>
          </w:p>
        </w:tc>
        <w:tc>
          <w:tcPr>
            <w:tcW w:w="9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5,694.1</w:t>
            </w:r>
          </w:p>
        </w:tc>
        <w:tc>
          <w:tcPr>
            <w:tcW w:w="9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2,925.6</w:t>
            </w:r>
          </w:p>
        </w:tc>
        <w:tc>
          <w:tcPr>
            <w:tcW w:w="11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2,692.4</w:t>
            </w:r>
          </w:p>
        </w:tc>
        <w:tc>
          <w:tcPr>
            <w:tcW w:w="10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29.0</w:t>
            </w:r>
          </w:p>
        </w:tc>
        <w:tc>
          <w:tcPr>
            <w:tcW w:w="12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w:t>
            </w:r>
          </w:p>
        </w:tc>
        <w:tc>
          <w:tcPr>
            <w:tcW w:w="200" w:type="dxa"/>
            <w:vAlign w:val="bottom"/>
            <w:tcBorders>
              <w:bottom w:val="single" w:sz="8" w:color="2360A6"/>
            </w:tcBorders>
            <w:shd w:val="clear" w:color="auto" w:fill="D2DEEC"/>
          </w:tcPr>
          <w:p>
            <w:pPr>
              <w:spacing w:after="0"/>
              <w:rPr>
                <w:sz w:val="18"/>
                <w:szCs w:val="18"/>
                <w:color w:val="auto"/>
              </w:rPr>
            </w:pPr>
          </w:p>
        </w:tc>
        <w:tc>
          <w:tcPr>
            <w:tcW w:w="10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47.1</w:t>
            </w:r>
          </w:p>
        </w:tc>
        <w:tc>
          <w:tcPr>
            <w:tcW w:w="114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5,694.1</w:t>
            </w:r>
          </w:p>
        </w:tc>
      </w:tr>
      <w:tr>
        <w:trPr>
          <w:trHeight w:val="193"/>
        </w:trPr>
        <w:tc>
          <w:tcPr>
            <w:tcW w:w="27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Non-Current Financial</w:t>
            </w:r>
          </w:p>
        </w:tc>
        <w:tc>
          <w:tcPr>
            <w:tcW w:w="960" w:type="dxa"/>
            <w:vAlign w:val="bottom"/>
            <w:tcBorders>
              <w:right w:val="single" w:sz="8" w:color="2360A6"/>
            </w:tcBorders>
          </w:tcPr>
          <w:p>
            <w:pPr>
              <w:spacing w:after="0"/>
              <w:rPr>
                <w:sz w:val="16"/>
                <w:szCs w:val="16"/>
                <w:color w:val="auto"/>
              </w:rPr>
            </w:pPr>
          </w:p>
        </w:tc>
        <w:tc>
          <w:tcPr>
            <w:tcW w:w="960" w:type="dxa"/>
            <w:vAlign w:val="bottom"/>
            <w:tcBorders>
              <w:right w:val="single" w:sz="8" w:color="2360A6"/>
            </w:tcBorders>
          </w:tcPr>
          <w:p>
            <w:pPr>
              <w:spacing w:after="0"/>
              <w:rPr>
                <w:sz w:val="16"/>
                <w:szCs w:val="16"/>
                <w:color w:val="auto"/>
              </w:rPr>
            </w:pPr>
          </w:p>
        </w:tc>
        <w:tc>
          <w:tcPr>
            <w:tcW w:w="1180" w:type="dxa"/>
            <w:vAlign w:val="bottom"/>
            <w:tcBorders>
              <w:right w:val="single" w:sz="8" w:color="2360A6"/>
            </w:tcBorders>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260" w:type="dxa"/>
            <w:vAlign w:val="bottom"/>
            <w:tcBorders>
              <w:right w:val="single" w:sz="8" w:color="2360A6"/>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140" w:type="dxa"/>
            <w:vAlign w:val="bottom"/>
            <w:tcBorders>
              <w:right w:val="single" w:sz="8" w:color="2360A6"/>
            </w:tcBorders>
          </w:tcPr>
          <w:p>
            <w:pPr>
              <w:spacing w:after="0"/>
              <w:rPr>
                <w:sz w:val="16"/>
                <w:szCs w:val="16"/>
                <w:color w:val="auto"/>
              </w:rPr>
            </w:pPr>
          </w:p>
        </w:tc>
      </w:tr>
      <w:tr>
        <w:trPr>
          <w:trHeight w:val="178"/>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Debts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1,626.0</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1,626.0</w:t>
            </w:r>
          </w:p>
        </w:tc>
        <w:tc>
          <w:tcPr>
            <w:tcW w:w="200" w:type="dxa"/>
            <w:vAlign w:val="bottom"/>
            <w:tcBorders>
              <w:bottom w:val="single" w:sz="8" w:color="2360A6"/>
            </w:tcBorders>
          </w:tcPr>
          <w:p>
            <w:pPr>
              <w:spacing w:after="0"/>
              <w:rPr>
                <w:sz w:val="15"/>
                <w:szCs w:val="15"/>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1,716.5</w:t>
            </w:r>
          </w:p>
        </w:tc>
      </w:tr>
      <w:tr>
        <w:trPr>
          <w:trHeight w:val="193"/>
        </w:trPr>
        <w:tc>
          <w:tcPr>
            <w:tcW w:w="27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Non-Current</w:t>
            </w:r>
          </w:p>
        </w:tc>
        <w:tc>
          <w:tcPr>
            <w:tcW w:w="960" w:type="dxa"/>
            <w:vAlign w:val="bottom"/>
            <w:tcBorders>
              <w:right w:val="single" w:sz="8" w:color="2360A6"/>
            </w:tcBorders>
          </w:tcPr>
          <w:p>
            <w:pPr>
              <w:spacing w:after="0"/>
              <w:rPr>
                <w:sz w:val="16"/>
                <w:szCs w:val="16"/>
                <w:color w:val="auto"/>
              </w:rPr>
            </w:pPr>
          </w:p>
        </w:tc>
        <w:tc>
          <w:tcPr>
            <w:tcW w:w="960" w:type="dxa"/>
            <w:vAlign w:val="bottom"/>
            <w:tcBorders>
              <w:right w:val="single" w:sz="8" w:color="2360A6"/>
            </w:tcBorders>
          </w:tcPr>
          <w:p>
            <w:pPr>
              <w:spacing w:after="0"/>
              <w:rPr>
                <w:sz w:val="16"/>
                <w:szCs w:val="16"/>
                <w:color w:val="auto"/>
              </w:rPr>
            </w:pPr>
          </w:p>
        </w:tc>
        <w:tc>
          <w:tcPr>
            <w:tcW w:w="1180" w:type="dxa"/>
            <w:vAlign w:val="bottom"/>
            <w:tcBorders>
              <w:right w:val="single" w:sz="8" w:color="2360A6"/>
            </w:tcBorders>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260" w:type="dxa"/>
            <w:vAlign w:val="bottom"/>
            <w:tcBorders>
              <w:right w:val="single" w:sz="8" w:color="2360A6"/>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140" w:type="dxa"/>
            <w:vAlign w:val="bottom"/>
            <w:tcBorders>
              <w:right w:val="single" w:sz="8" w:color="2360A6"/>
            </w:tcBorders>
          </w:tcPr>
          <w:p>
            <w:pPr>
              <w:spacing w:after="0"/>
              <w:rPr>
                <w:sz w:val="16"/>
                <w:szCs w:val="16"/>
                <w:color w:val="auto"/>
              </w:rPr>
            </w:pPr>
          </w:p>
        </w:tc>
      </w:tr>
      <w:tr>
        <w:trPr>
          <w:trHeight w:val="178"/>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Liabilities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32.2</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32.2</w:t>
            </w:r>
          </w:p>
        </w:tc>
        <w:tc>
          <w:tcPr>
            <w:tcW w:w="200" w:type="dxa"/>
            <w:vAlign w:val="bottom"/>
            <w:tcBorders>
              <w:bottom w:val="single" w:sz="8" w:color="2360A6"/>
            </w:tcBorders>
          </w:tcPr>
          <w:p>
            <w:pPr>
              <w:spacing w:after="0"/>
              <w:rPr>
                <w:sz w:val="15"/>
                <w:szCs w:val="15"/>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32.2</w:t>
            </w:r>
          </w:p>
        </w:tc>
      </w:tr>
      <w:tr>
        <w:trPr>
          <w:trHeight w:val="210"/>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Current Financial Debts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937.1</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937.1</w:t>
            </w:r>
          </w:p>
        </w:tc>
        <w:tc>
          <w:tcPr>
            <w:tcW w:w="200" w:type="dxa"/>
            <w:vAlign w:val="bottom"/>
            <w:tcBorders>
              <w:bottom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937.2</w:t>
            </w:r>
          </w:p>
        </w:tc>
      </w:tr>
      <w:tr>
        <w:trPr>
          <w:trHeight w:val="210"/>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Trade Payables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2,480.4</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2,480.4</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200" w:type="dxa"/>
            <w:vAlign w:val="bottom"/>
            <w:tcBorders>
              <w:bottom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2,480.4</w:t>
            </w:r>
          </w:p>
        </w:tc>
      </w:tr>
      <w:tr>
        <w:trPr>
          <w:trHeight w:val="193"/>
        </w:trPr>
        <w:tc>
          <w:tcPr>
            <w:tcW w:w="27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w:t>
            </w:r>
          </w:p>
        </w:tc>
        <w:tc>
          <w:tcPr>
            <w:tcW w:w="960" w:type="dxa"/>
            <w:vAlign w:val="bottom"/>
            <w:tcBorders>
              <w:right w:val="single" w:sz="8" w:color="2360A6"/>
            </w:tcBorders>
          </w:tcPr>
          <w:p>
            <w:pPr>
              <w:spacing w:after="0"/>
              <w:rPr>
                <w:sz w:val="16"/>
                <w:szCs w:val="16"/>
                <w:color w:val="auto"/>
              </w:rPr>
            </w:pPr>
          </w:p>
        </w:tc>
        <w:tc>
          <w:tcPr>
            <w:tcW w:w="960" w:type="dxa"/>
            <w:vAlign w:val="bottom"/>
            <w:tcBorders>
              <w:right w:val="single" w:sz="8" w:color="2360A6"/>
            </w:tcBorders>
          </w:tcPr>
          <w:p>
            <w:pPr>
              <w:spacing w:after="0"/>
              <w:rPr>
                <w:sz w:val="16"/>
                <w:szCs w:val="16"/>
                <w:color w:val="auto"/>
              </w:rPr>
            </w:pPr>
          </w:p>
        </w:tc>
        <w:tc>
          <w:tcPr>
            <w:tcW w:w="1180" w:type="dxa"/>
            <w:vAlign w:val="bottom"/>
            <w:tcBorders>
              <w:right w:val="single" w:sz="8" w:color="2360A6"/>
            </w:tcBorders>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260" w:type="dxa"/>
            <w:vAlign w:val="bottom"/>
            <w:tcBorders>
              <w:right w:val="single" w:sz="8" w:color="2360A6"/>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140" w:type="dxa"/>
            <w:vAlign w:val="bottom"/>
            <w:tcBorders>
              <w:right w:val="single" w:sz="8" w:color="2360A6"/>
            </w:tcBorders>
          </w:tcPr>
          <w:p>
            <w:pPr>
              <w:spacing w:after="0"/>
              <w:rPr>
                <w:sz w:val="16"/>
                <w:szCs w:val="16"/>
                <w:color w:val="auto"/>
              </w:rPr>
            </w:pPr>
          </w:p>
        </w:tc>
      </w:tr>
      <w:tr>
        <w:trPr>
          <w:trHeight w:val="178"/>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Instruments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334.4</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200" w:type="dxa"/>
            <w:vAlign w:val="bottom"/>
            <w:tcBorders>
              <w:bottom w:val="single" w:sz="8" w:color="2360A6"/>
            </w:tcBorders>
          </w:tcPr>
          <w:p>
            <w:pPr>
              <w:spacing w:after="0"/>
              <w:rPr>
                <w:sz w:val="15"/>
                <w:szCs w:val="15"/>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334.4</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334.4</w:t>
            </w:r>
          </w:p>
        </w:tc>
      </w:tr>
      <w:tr>
        <w:trPr>
          <w:trHeight w:val="193"/>
        </w:trPr>
        <w:tc>
          <w:tcPr>
            <w:tcW w:w="278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Current Income Tax</w:t>
            </w:r>
          </w:p>
        </w:tc>
        <w:tc>
          <w:tcPr>
            <w:tcW w:w="960" w:type="dxa"/>
            <w:vAlign w:val="bottom"/>
            <w:tcBorders>
              <w:right w:val="single" w:sz="8" w:color="2360A6"/>
            </w:tcBorders>
          </w:tcPr>
          <w:p>
            <w:pPr>
              <w:spacing w:after="0"/>
              <w:rPr>
                <w:sz w:val="16"/>
                <w:szCs w:val="16"/>
                <w:color w:val="auto"/>
              </w:rPr>
            </w:pPr>
          </w:p>
        </w:tc>
        <w:tc>
          <w:tcPr>
            <w:tcW w:w="960" w:type="dxa"/>
            <w:vAlign w:val="bottom"/>
            <w:tcBorders>
              <w:right w:val="single" w:sz="8" w:color="2360A6"/>
            </w:tcBorders>
          </w:tcPr>
          <w:p>
            <w:pPr>
              <w:spacing w:after="0"/>
              <w:rPr>
                <w:sz w:val="16"/>
                <w:szCs w:val="16"/>
                <w:color w:val="auto"/>
              </w:rPr>
            </w:pPr>
          </w:p>
        </w:tc>
        <w:tc>
          <w:tcPr>
            <w:tcW w:w="1180" w:type="dxa"/>
            <w:vAlign w:val="bottom"/>
            <w:tcBorders>
              <w:right w:val="single" w:sz="8" w:color="2360A6"/>
            </w:tcBorders>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260" w:type="dxa"/>
            <w:vAlign w:val="bottom"/>
            <w:tcBorders>
              <w:right w:val="single" w:sz="8" w:color="2360A6"/>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right w:val="single" w:sz="8" w:color="2360A6"/>
            </w:tcBorders>
          </w:tcPr>
          <w:p>
            <w:pPr>
              <w:spacing w:after="0"/>
              <w:rPr>
                <w:sz w:val="16"/>
                <w:szCs w:val="16"/>
                <w:color w:val="auto"/>
              </w:rPr>
            </w:pPr>
          </w:p>
        </w:tc>
        <w:tc>
          <w:tcPr>
            <w:tcW w:w="1140" w:type="dxa"/>
            <w:vAlign w:val="bottom"/>
            <w:tcBorders>
              <w:right w:val="single" w:sz="8" w:color="2360A6"/>
            </w:tcBorders>
          </w:tcPr>
          <w:p>
            <w:pPr>
              <w:spacing w:after="0"/>
              <w:rPr>
                <w:sz w:val="16"/>
                <w:szCs w:val="16"/>
                <w:color w:val="auto"/>
              </w:rPr>
            </w:pPr>
          </w:p>
        </w:tc>
      </w:tr>
      <w:tr>
        <w:trPr>
          <w:trHeight w:val="178"/>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Payables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200.0</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200.0</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200" w:type="dxa"/>
            <w:vAlign w:val="bottom"/>
            <w:tcBorders>
              <w:bottom w:val="single" w:sz="8" w:color="2360A6"/>
            </w:tcBorders>
          </w:tcPr>
          <w:p>
            <w:pPr>
              <w:spacing w:after="0"/>
              <w:rPr>
                <w:sz w:val="15"/>
                <w:szCs w:val="15"/>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200.0</w:t>
            </w:r>
          </w:p>
        </w:tc>
      </w:tr>
      <w:tr>
        <w:trPr>
          <w:trHeight w:val="210"/>
        </w:trPr>
        <w:tc>
          <w:tcPr>
            <w:tcW w:w="27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Current Liabilities</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1,754.5</w:t>
            </w:r>
          </w:p>
        </w:tc>
        <w:tc>
          <w:tcPr>
            <w:tcW w:w="9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1,754.5</w:t>
            </w: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200" w:type="dxa"/>
            <w:vAlign w:val="bottom"/>
            <w:tcBorders>
              <w:bottom w:val="single" w:sz="8" w:color="2360A6"/>
            </w:tcBorders>
          </w:tcPr>
          <w:p>
            <w:pPr>
              <w:spacing w:after="0"/>
              <w:rPr>
                <w:sz w:val="18"/>
                <w:szCs w:val="18"/>
                <w:color w:val="auto"/>
              </w:rPr>
            </w:pPr>
          </w:p>
        </w:tc>
        <w:tc>
          <w:tcPr>
            <w:tcW w:w="10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1,754.5</w:t>
            </w:r>
          </w:p>
        </w:tc>
      </w:tr>
      <w:tr>
        <w:trPr>
          <w:trHeight w:val="210"/>
        </w:trPr>
        <w:tc>
          <w:tcPr>
            <w:tcW w:w="278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LIABILITIES</w:t>
            </w:r>
          </w:p>
        </w:tc>
        <w:tc>
          <w:tcPr>
            <w:tcW w:w="9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7,364.6</w:t>
            </w:r>
          </w:p>
        </w:tc>
        <w:tc>
          <w:tcPr>
            <w:tcW w:w="9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w:t>
            </w:r>
          </w:p>
        </w:tc>
        <w:tc>
          <w:tcPr>
            <w:tcW w:w="11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4,434.9</w:t>
            </w:r>
          </w:p>
        </w:tc>
        <w:tc>
          <w:tcPr>
            <w:tcW w:w="10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w:t>
            </w:r>
          </w:p>
        </w:tc>
        <w:tc>
          <w:tcPr>
            <w:tcW w:w="12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2,595.3</w:t>
            </w:r>
          </w:p>
        </w:tc>
        <w:tc>
          <w:tcPr>
            <w:tcW w:w="200" w:type="dxa"/>
            <w:vAlign w:val="bottom"/>
            <w:tcBorders>
              <w:bottom w:val="single" w:sz="8" w:color="2360A6"/>
            </w:tcBorders>
            <w:shd w:val="clear" w:color="auto" w:fill="D2DEEC"/>
          </w:tcPr>
          <w:p>
            <w:pPr>
              <w:spacing w:after="0"/>
              <w:rPr>
                <w:sz w:val="18"/>
                <w:szCs w:val="18"/>
                <w:color w:val="auto"/>
              </w:rPr>
            </w:pPr>
          </w:p>
        </w:tc>
        <w:tc>
          <w:tcPr>
            <w:tcW w:w="10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334.4</w:t>
            </w:r>
          </w:p>
        </w:tc>
        <w:tc>
          <w:tcPr>
            <w:tcW w:w="114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7,455.2</w:t>
            </w:r>
          </w:p>
        </w:tc>
      </w:tr>
    </w:tbl>
    <w:p>
      <w:pPr>
        <w:sectPr>
          <w:pgSz w:w="11900" w:h="16838" w:orient="portrait"/>
          <w:cols w:equalWidth="0" w:num="1">
            <w:col w:w="10600"/>
          </w:cols>
          <w:pgMar w:left="660" w:top="930" w:right="639" w:bottom="1440" w:gutter="0" w:footer="0" w:header="0"/>
        </w:sectPr>
      </w:pPr>
    </w:p>
    <w:bookmarkStart w:id="153" w:name="page154"/>
    <w:bookmarkEnd w:id="153"/>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24"/>
        </w:trPr>
        <w:tc>
          <w:tcPr>
            <w:tcW w:w="2840" w:type="dxa"/>
            <w:vAlign w:val="bottom"/>
            <w:tcBorders>
              <w:top w:val="single" w:sz="8" w:color="2360A6"/>
              <w:left w:val="single" w:sz="8" w:color="2360A6"/>
              <w:right w:val="single" w:sz="8" w:color="2360A6"/>
            </w:tcBorders>
          </w:tcPr>
          <w:p>
            <w:pPr>
              <w:spacing w:after="0"/>
              <w:rPr>
                <w:sz w:val="19"/>
                <w:szCs w:val="19"/>
                <w:color w:val="auto"/>
              </w:rPr>
            </w:pPr>
          </w:p>
        </w:tc>
        <w:tc>
          <w:tcPr>
            <w:tcW w:w="980" w:type="dxa"/>
            <w:vAlign w:val="bottom"/>
            <w:tcBorders>
              <w:top w:val="single" w:sz="8" w:color="2360A6"/>
              <w:bottom w:val="single" w:sz="8" w:color="2360A6"/>
            </w:tcBorders>
          </w:tcPr>
          <w:p>
            <w:pPr>
              <w:spacing w:after="0"/>
              <w:rPr>
                <w:sz w:val="19"/>
                <w:szCs w:val="19"/>
                <w:color w:val="auto"/>
              </w:rPr>
            </w:pPr>
          </w:p>
        </w:tc>
        <w:tc>
          <w:tcPr>
            <w:tcW w:w="980" w:type="dxa"/>
            <w:vAlign w:val="bottom"/>
            <w:tcBorders>
              <w:top w:val="single" w:sz="8" w:color="2360A6"/>
              <w:bottom w:val="single" w:sz="8" w:color="2360A6"/>
            </w:tcBorders>
          </w:tcPr>
          <w:p>
            <w:pPr>
              <w:spacing w:after="0"/>
              <w:rPr>
                <w:sz w:val="19"/>
                <w:szCs w:val="19"/>
                <w:color w:val="auto"/>
              </w:rPr>
            </w:pPr>
          </w:p>
        </w:tc>
        <w:tc>
          <w:tcPr>
            <w:tcW w:w="1180" w:type="dxa"/>
            <w:vAlign w:val="bottom"/>
            <w:tcBorders>
              <w:top w:val="single" w:sz="8" w:color="2360A6"/>
              <w:bottom w:val="single" w:sz="8" w:color="2360A6"/>
            </w:tcBorders>
          </w:tcPr>
          <w:p>
            <w:pPr>
              <w:spacing w:after="0"/>
              <w:rPr>
                <w:sz w:val="19"/>
                <w:szCs w:val="19"/>
                <w:color w:val="auto"/>
              </w:rPr>
            </w:pPr>
          </w:p>
        </w:tc>
        <w:tc>
          <w:tcPr>
            <w:tcW w:w="2480" w:type="dxa"/>
            <w:vAlign w:val="bottom"/>
            <w:tcBorders>
              <w:top w:val="single" w:sz="8" w:color="2360A6"/>
              <w:bottom w:val="single" w:sz="8" w:color="2360A6"/>
            </w:tcBorders>
            <w:gridSpan w:val="3"/>
          </w:tcPr>
          <w:p>
            <w:pPr>
              <w:jc w:val="right"/>
              <w:ind w:right="688"/>
              <w:spacing w:after="0"/>
              <w:rPr>
                <w:sz w:val="20"/>
                <w:szCs w:val="20"/>
                <w:color w:val="auto"/>
              </w:rPr>
            </w:pPr>
            <w:r>
              <w:rPr>
                <w:rFonts w:ascii="Arial" w:cs="Arial" w:eastAsia="Arial" w:hAnsi="Arial"/>
                <w:sz w:val="14"/>
                <w:szCs w:val="14"/>
                <w:b w:val="1"/>
                <w:bCs w:val="1"/>
                <w:color w:val="2360A6"/>
              </w:rPr>
              <w:t>As of December 31, 2014</w:t>
            </w:r>
          </w:p>
        </w:tc>
        <w:tc>
          <w:tcPr>
            <w:tcW w:w="1300" w:type="dxa"/>
            <w:vAlign w:val="bottom"/>
            <w:tcBorders>
              <w:top w:val="single" w:sz="8" w:color="2360A6"/>
              <w:bottom w:val="single" w:sz="8" w:color="2360A6"/>
            </w:tcBorders>
          </w:tcPr>
          <w:p>
            <w:pPr>
              <w:spacing w:after="0"/>
              <w:rPr>
                <w:sz w:val="19"/>
                <w:szCs w:val="19"/>
                <w:color w:val="auto"/>
              </w:rPr>
            </w:pPr>
          </w:p>
        </w:tc>
        <w:tc>
          <w:tcPr>
            <w:tcW w:w="1080" w:type="dxa"/>
            <w:vAlign w:val="bottom"/>
            <w:tcBorders>
              <w:top w:val="single" w:sz="8" w:color="2360A6"/>
              <w:bottom w:val="single" w:sz="8" w:color="2360A6"/>
              <w:right w:val="single" w:sz="8" w:color="2360A6"/>
            </w:tcBorders>
          </w:tcPr>
          <w:p>
            <w:pPr>
              <w:spacing w:after="0"/>
              <w:rPr>
                <w:sz w:val="19"/>
                <w:szCs w:val="19"/>
                <w:color w:val="auto"/>
              </w:rPr>
            </w:pPr>
          </w:p>
        </w:tc>
      </w:tr>
      <w:tr>
        <w:trPr>
          <w:trHeight w:val="210"/>
        </w:trPr>
        <w:tc>
          <w:tcPr>
            <w:tcW w:w="2840" w:type="dxa"/>
            <w:vAlign w:val="bottom"/>
            <w:tcBorders>
              <w:left w:val="single" w:sz="8" w:color="2360A6"/>
              <w:right w:val="single" w:sz="8" w:color="2360A6"/>
            </w:tcBorders>
          </w:tcPr>
          <w:p>
            <w:pPr>
              <w:spacing w:after="0"/>
              <w:rPr>
                <w:sz w:val="18"/>
                <w:szCs w:val="18"/>
                <w:color w:val="auto"/>
              </w:rPr>
            </w:pPr>
          </w:p>
        </w:tc>
        <w:tc>
          <w:tcPr>
            <w:tcW w:w="980" w:type="dxa"/>
            <w:vAlign w:val="bottom"/>
            <w:tcBorders>
              <w:bottom w:val="single" w:sz="8" w:color="2360A6"/>
            </w:tcBorders>
          </w:tcPr>
          <w:p>
            <w:pPr>
              <w:spacing w:after="0"/>
              <w:rPr>
                <w:sz w:val="18"/>
                <w:szCs w:val="18"/>
                <w:color w:val="auto"/>
              </w:rPr>
            </w:pPr>
          </w:p>
        </w:tc>
        <w:tc>
          <w:tcPr>
            <w:tcW w:w="980" w:type="dxa"/>
            <w:vAlign w:val="bottom"/>
            <w:tcBorders>
              <w:bottom w:val="single" w:sz="8" w:color="2360A6"/>
            </w:tcBorders>
          </w:tcPr>
          <w:p>
            <w:pPr>
              <w:spacing w:after="0"/>
              <w:rPr>
                <w:sz w:val="18"/>
                <w:szCs w:val="18"/>
                <w:color w:val="auto"/>
              </w:rPr>
            </w:pPr>
          </w:p>
        </w:tc>
        <w:tc>
          <w:tcPr>
            <w:tcW w:w="3660" w:type="dxa"/>
            <w:vAlign w:val="bottom"/>
            <w:tcBorders>
              <w:bottom w:val="single" w:sz="8" w:color="2360A6"/>
            </w:tcBorders>
            <w:gridSpan w:val="4"/>
          </w:tcPr>
          <w:p>
            <w:pPr>
              <w:jc w:val="right"/>
              <w:spacing w:after="0"/>
              <w:rPr>
                <w:sz w:val="20"/>
                <w:szCs w:val="20"/>
                <w:color w:val="auto"/>
              </w:rPr>
            </w:pPr>
            <w:r>
              <w:rPr>
                <w:rFonts w:ascii="Arial" w:cs="Arial" w:eastAsia="Arial" w:hAnsi="Arial"/>
                <w:sz w:val="14"/>
                <w:szCs w:val="14"/>
                <w:b w:val="1"/>
                <w:bCs w:val="1"/>
                <w:color w:val="2360A6"/>
              </w:rPr>
              <w:t>Analysis by Category of Financial Instruments</w:t>
            </w:r>
          </w:p>
        </w:tc>
        <w:tc>
          <w:tcPr>
            <w:tcW w:w="1300" w:type="dxa"/>
            <w:vAlign w:val="bottom"/>
            <w:tcBorders>
              <w:bottom w:val="single" w:sz="8" w:color="2360A6"/>
            </w:tcBorders>
          </w:tcPr>
          <w:p>
            <w:pPr>
              <w:spacing w:after="0"/>
              <w:rPr>
                <w:sz w:val="18"/>
                <w:szCs w:val="18"/>
                <w:color w:val="auto"/>
              </w:rPr>
            </w:pPr>
          </w:p>
        </w:tc>
        <w:tc>
          <w:tcPr>
            <w:tcW w:w="1080" w:type="dxa"/>
            <w:vAlign w:val="bottom"/>
            <w:tcBorders>
              <w:bottom w:val="single" w:sz="8" w:color="2360A6"/>
              <w:right w:val="single" w:sz="8" w:color="2360A6"/>
            </w:tcBorders>
          </w:tcPr>
          <w:p>
            <w:pPr>
              <w:spacing w:after="0"/>
              <w:rPr>
                <w:sz w:val="18"/>
                <w:szCs w:val="18"/>
                <w:color w:val="auto"/>
              </w:rPr>
            </w:pPr>
          </w:p>
        </w:tc>
      </w:tr>
      <w:tr>
        <w:trPr>
          <w:trHeight w:val="175"/>
        </w:trPr>
        <w:tc>
          <w:tcPr>
            <w:tcW w:w="2840" w:type="dxa"/>
            <w:vAlign w:val="bottom"/>
            <w:tcBorders>
              <w:left w:val="single" w:sz="8" w:color="2360A6"/>
              <w:right w:val="single" w:sz="8" w:color="2360A6"/>
            </w:tcBorders>
          </w:tcPr>
          <w:p>
            <w:pPr>
              <w:spacing w:after="0"/>
              <w:rPr>
                <w:sz w:val="15"/>
                <w:szCs w:val="15"/>
                <w:color w:val="auto"/>
              </w:rPr>
            </w:pPr>
          </w:p>
        </w:tc>
        <w:tc>
          <w:tcPr>
            <w:tcW w:w="980" w:type="dxa"/>
            <w:vAlign w:val="bottom"/>
            <w:tcBorders>
              <w:right w:val="single" w:sz="8" w:color="2360A6"/>
            </w:tcBorders>
          </w:tcPr>
          <w:p>
            <w:pPr>
              <w:spacing w:after="0"/>
              <w:rPr>
                <w:sz w:val="15"/>
                <w:szCs w:val="15"/>
                <w:color w:val="auto"/>
              </w:rPr>
            </w:pPr>
          </w:p>
        </w:tc>
        <w:tc>
          <w:tcPr>
            <w:tcW w:w="9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At Fair</w:t>
            </w:r>
          </w:p>
        </w:tc>
        <w:tc>
          <w:tcPr>
            <w:tcW w:w="1180" w:type="dxa"/>
            <w:vAlign w:val="bottom"/>
          </w:tcPr>
          <w:p>
            <w:pPr>
              <w:spacing w:after="0"/>
              <w:rPr>
                <w:sz w:val="15"/>
                <w:szCs w:val="15"/>
                <w:color w:val="auto"/>
              </w:rPr>
            </w:pPr>
          </w:p>
        </w:tc>
        <w:tc>
          <w:tcPr>
            <w:tcW w:w="100" w:type="dxa"/>
            <w:vAlign w:val="bottom"/>
            <w:tcBorders>
              <w:right w:val="single" w:sz="8" w:color="2360A6"/>
            </w:tcBorders>
          </w:tcPr>
          <w:p>
            <w:pPr>
              <w:spacing w:after="0"/>
              <w:rPr>
                <w:sz w:val="15"/>
                <w:szCs w:val="15"/>
                <w:color w:val="auto"/>
              </w:rPr>
            </w:pPr>
          </w:p>
        </w:tc>
        <w:tc>
          <w:tcPr>
            <w:tcW w:w="1080" w:type="dxa"/>
            <w:vAlign w:val="bottom"/>
            <w:tcBorders>
              <w:right w:val="single" w:sz="8" w:color="2360A6"/>
            </w:tcBorders>
          </w:tcPr>
          <w:p>
            <w:pPr>
              <w:spacing w:after="0"/>
              <w:rPr>
                <w:sz w:val="15"/>
                <w:szCs w:val="15"/>
                <w:color w:val="auto"/>
              </w:rPr>
            </w:pPr>
          </w:p>
        </w:tc>
        <w:tc>
          <w:tcPr>
            <w:tcW w:w="1300" w:type="dxa"/>
            <w:vAlign w:val="bottom"/>
            <w:tcBorders>
              <w:right w:val="single" w:sz="8" w:color="2360A6"/>
            </w:tcBorders>
          </w:tcPr>
          <w:p>
            <w:pPr>
              <w:spacing w:after="0"/>
              <w:rPr>
                <w:sz w:val="15"/>
                <w:szCs w:val="15"/>
                <w:color w:val="auto"/>
              </w:rPr>
            </w:pPr>
          </w:p>
        </w:tc>
        <w:tc>
          <w:tcPr>
            <w:tcW w:w="1300" w:type="dxa"/>
            <w:vAlign w:val="bottom"/>
            <w:tcBorders>
              <w:right w:val="single" w:sz="8" w:color="2360A6"/>
            </w:tcBorders>
          </w:tcPr>
          <w:p>
            <w:pPr>
              <w:spacing w:after="0"/>
              <w:rPr>
                <w:sz w:val="15"/>
                <w:szCs w:val="15"/>
                <w:color w:val="auto"/>
              </w:rPr>
            </w:pPr>
          </w:p>
        </w:tc>
        <w:tc>
          <w:tcPr>
            <w:tcW w:w="1080" w:type="dxa"/>
            <w:vAlign w:val="bottom"/>
            <w:tcBorders>
              <w:right w:val="single" w:sz="8" w:color="2360A6"/>
            </w:tcBorders>
          </w:tcPr>
          <w:p>
            <w:pPr>
              <w:spacing w:after="0"/>
              <w:rPr>
                <w:sz w:val="15"/>
                <w:szCs w:val="15"/>
                <w:color w:val="auto"/>
              </w:rPr>
            </w:pPr>
          </w:p>
        </w:tc>
      </w:tr>
      <w:tr>
        <w:trPr>
          <w:trHeight w:val="162"/>
        </w:trPr>
        <w:tc>
          <w:tcPr>
            <w:tcW w:w="2840" w:type="dxa"/>
            <w:vAlign w:val="bottom"/>
            <w:tcBorders>
              <w:left w:val="single" w:sz="8" w:color="2360A6"/>
              <w:right w:val="single" w:sz="8" w:color="2360A6"/>
            </w:tcBorders>
          </w:tcPr>
          <w:p>
            <w:pPr>
              <w:spacing w:after="0"/>
              <w:rPr>
                <w:sz w:val="14"/>
                <w:szCs w:val="14"/>
                <w:color w:val="auto"/>
              </w:rPr>
            </w:pPr>
          </w:p>
        </w:tc>
        <w:tc>
          <w:tcPr>
            <w:tcW w:w="980" w:type="dxa"/>
            <w:vAlign w:val="bottom"/>
            <w:tcBorders>
              <w:right w:val="single" w:sz="8" w:color="2360A6"/>
            </w:tcBorders>
          </w:tcPr>
          <w:p>
            <w:pPr>
              <w:spacing w:after="0"/>
              <w:rPr>
                <w:sz w:val="14"/>
                <w:szCs w:val="14"/>
                <w:color w:val="auto"/>
              </w:rPr>
            </w:pPr>
          </w:p>
        </w:tc>
        <w:tc>
          <w:tcPr>
            <w:tcW w:w="9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Value</w:t>
            </w:r>
          </w:p>
        </w:tc>
        <w:tc>
          <w:tcPr>
            <w:tcW w:w="1180" w:type="dxa"/>
            <w:vAlign w:val="bottom"/>
          </w:tcPr>
          <w:p>
            <w:pPr>
              <w:spacing w:after="0"/>
              <w:rPr>
                <w:sz w:val="14"/>
                <w:szCs w:val="14"/>
                <w:color w:val="auto"/>
              </w:rPr>
            </w:pPr>
          </w:p>
        </w:tc>
        <w:tc>
          <w:tcPr>
            <w:tcW w:w="100" w:type="dxa"/>
            <w:vAlign w:val="bottom"/>
            <w:tcBorders>
              <w:right w:val="single" w:sz="8" w:color="2360A6"/>
            </w:tcBorders>
          </w:tcPr>
          <w:p>
            <w:pPr>
              <w:spacing w:after="0"/>
              <w:rPr>
                <w:sz w:val="14"/>
                <w:szCs w:val="14"/>
                <w:color w:val="auto"/>
              </w:rPr>
            </w:pPr>
          </w:p>
        </w:tc>
        <w:tc>
          <w:tcPr>
            <w:tcW w:w="108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Available-</w:t>
            </w:r>
          </w:p>
        </w:tc>
        <w:tc>
          <w:tcPr>
            <w:tcW w:w="1300" w:type="dxa"/>
            <w:vAlign w:val="bottom"/>
            <w:tcBorders>
              <w:right w:val="single" w:sz="8" w:color="2360A6"/>
            </w:tcBorders>
          </w:tcPr>
          <w:p>
            <w:pPr>
              <w:spacing w:after="0"/>
              <w:rPr>
                <w:sz w:val="14"/>
                <w:szCs w:val="14"/>
                <w:color w:val="auto"/>
              </w:rPr>
            </w:pPr>
          </w:p>
        </w:tc>
        <w:tc>
          <w:tcPr>
            <w:tcW w:w="1300" w:type="dxa"/>
            <w:vAlign w:val="bottom"/>
            <w:tcBorders>
              <w:right w:val="single" w:sz="8" w:color="2360A6"/>
            </w:tcBorders>
          </w:tcPr>
          <w:p>
            <w:pPr>
              <w:spacing w:after="0"/>
              <w:rPr>
                <w:sz w:val="14"/>
                <w:szCs w:val="14"/>
                <w:color w:val="auto"/>
              </w:rPr>
            </w:pPr>
          </w:p>
        </w:tc>
        <w:tc>
          <w:tcPr>
            <w:tcW w:w="1080" w:type="dxa"/>
            <w:vAlign w:val="bottom"/>
            <w:tcBorders>
              <w:right w:val="single" w:sz="8" w:color="2360A6"/>
            </w:tcBorders>
          </w:tcPr>
          <w:p>
            <w:pPr>
              <w:spacing w:after="0"/>
              <w:rPr>
                <w:sz w:val="14"/>
                <w:szCs w:val="14"/>
                <w:color w:val="auto"/>
              </w:rPr>
            </w:pPr>
          </w:p>
        </w:tc>
      </w:tr>
      <w:tr>
        <w:trPr>
          <w:trHeight w:val="162"/>
        </w:trPr>
        <w:tc>
          <w:tcPr>
            <w:tcW w:w="2840" w:type="dxa"/>
            <w:vAlign w:val="bottom"/>
            <w:tcBorders>
              <w:left w:val="single" w:sz="8" w:color="2360A6"/>
              <w:right w:val="single" w:sz="8" w:color="2360A6"/>
            </w:tcBorders>
          </w:tcPr>
          <w:p>
            <w:pPr>
              <w:spacing w:after="0"/>
              <w:rPr>
                <w:sz w:val="14"/>
                <w:szCs w:val="14"/>
                <w:color w:val="auto"/>
              </w:rPr>
            </w:pPr>
          </w:p>
        </w:tc>
        <w:tc>
          <w:tcPr>
            <w:tcW w:w="980" w:type="dxa"/>
            <w:vAlign w:val="bottom"/>
            <w:tcBorders>
              <w:right w:val="single" w:sz="8" w:color="2360A6"/>
            </w:tcBorders>
          </w:tcPr>
          <w:p>
            <w:pPr>
              <w:spacing w:after="0"/>
              <w:rPr>
                <w:sz w:val="14"/>
                <w:szCs w:val="14"/>
                <w:color w:val="auto"/>
              </w:rPr>
            </w:pPr>
          </w:p>
        </w:tc>
        <w:tc>
          <w:tcPr>
            <w:tcW w:w="9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through</w:t>
            </w:r>
          </w:p>
        </w:tc>
        <w:tc>
          <w:tcPr>
            <w:tcW w:w="1180" w:type="dxa"/>
            <w:vAlign w:val="bottom"/>
          </w:tcPr>
          <w:p>
            <w:pPr>
              <w:spacing w:after="0"/>
              <w:rPr>
                <w:sz w:val="14"/>
                <w:szCs w:val="14"/>
                <w:color w:val="auto"/>
              </w:rPr>
            </w:pPr>
          </w:p>
        </w:tc>
        <w:tc>
          <w:tcPr>
            <w:tcW w:w="100" w:type="dxa"/>
            <w:vAlign w:val="bottom"/>
            <w:tcBorders>
              <w:right w:val="single" w:sz="8" w:color="2360A6"/>
            </w:tcBorders>
          </w:tcPr>
          <w:p>
            <w:pPr>
              <w:spacing w:after="0"/>
              <w:rPr>
                <w:sz w:val="14"/>
                <w:szCs w:val="14"/>
                <w:color w:val="auto"/>
              </w:rPr>
            </w:pPr>
          </w:p>
        </w:tc>
        <w:tc>
          <w:tcPr>
            <w:tcW w:w="108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for-Sale</w:t>
            </w:r>
          </w:p>
        </w:tc>
        <w:tc>
          <w:tcPr>
            <w:tcW w:w="1300" w:type="dxa"/>
            <w:vAlign w:val="bottom"/>
            <w:tcBorders>
              <w:right w:val="single" w:sz="8" w:color="2360A6"/>
            </w:tcBorders>
          </w:tcPr>
          <w:p>
            <w:pPr>
              <w:spacing w:after="0"/>
              <w:rPr>
                <w:sz w:val="14"/>
                <w:szCs w:val="14"/>
                <w:color w:val="auto"/>
              </w:rPr>
            </w:pPr>
          </w:p>
        </w:tc>
        <w:tc>
          <w:tcPr>
            <w:tcW w:w="1300" w:type="dxa"/>
            <w:vAlign w:val="bottom"/>
            <w:tcBorders>
              <w:right w:val="single" w:sz="8" w:color="2360A6"/>
            </w:tcBorders>
          </w:tcPr>
          <w:p>
            <w:pPr>
              <w:spacing w:after="0"/>
              <w:rPr>
                <w:sz w:val="14"/>
                <w:szCs w:val="14"/>
                <w:color w:val="auto"/>
              </w:rPr>
            </w:pPr>
          </w:p>
        </w:tc>
        <w:tc>
          <w:tcPr>
            <w:tcW w:w="1080" w:type="dxa"/>
            <w:vAlign w:val="bottom"/>
            <w:tcBorders>
              <w:right w:val="single" w:sz="8" w:color="2360A6"/>
            </w:tcBorders>
          </w:tcPr>
          <w:p>
            <w:pPr>
              <w:spacing w:after="0"/>
              <w:rPr>
                <w:sz w:val="14"/>
                <w:szCs w:val="14"/>
                <w:color w:val="auto"/>
              </w:rPr>
            </w:pPr>
          </w:p>
        </w:tc>
      </w:tr>
      <w:tr>
        <w:trPr>
          <w:trHeight w:val="162"/>
        </w:trPr>
        <w:tc>
          <w:tcPr>
            <w:tcW w:w="2840" w:type="dxa"/>
            <w:vAlign w:val="bottom"/>
            <w:tcBorders>
              <w:left w:val="single" w:sz="8" w:color="2360A6"/>
              <w:right w:val="single" w:sz="8" w:color="2360A6"/>
            </w:tcBorders>
          </w:tcPr>
          <w:p>
            <w:pPr>
              <w:spacing w:after="0"/>
              <w:rPr>
                <w:sz w:val="14"/>
                <w:szCs w:val="14"/>
                <w:color w:val="auto"/>
              </w:rPr>
            </w:pPr>
          </w:p>
        </w:tc>
        <w:tc>
          <w:tcPr>
            <w:tcW w:w="98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Carrying</w:t>
            </w:r>
          </w:p>
        </w:tc>
        <w:tc>
          <w:tcPr>
            <w:tcW w:w="9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Profit or</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2360A6"/>
              </w:rPr>
              <w:t>Loans and</w:t>
            </w:r>
          </w:p>
        </w:tc>
        <w:tc>
          <w:tcPr>
            <w:tcW w:w="100" w:type="dxa"/>
            <w:vAlign w:val="bottom"/>
            <w:tcBorders>
              <w:right w:val="single" w:sz="8" w:color="2360A6"/>
            </w:tcBorders>
          </w:tcPr>
          <w:p>
            <w:pPr>
              <w:spacing w:after="0"/>
              <w:rPr>
                <w:sz w:val="14"/>
                <w:szCs w:val="14"/>
                <w:color w:val="auto"/>
              </w:rPr>
            </w:pPr>
          </w:p>
        </w:tc>
        <w:tc>
          <w:tcPr>
            <w:tcW w:w="108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Financial</w:t>
            </w:r>
          </w:p>
        </w:tc>
        <w:tc>
          <w:tcPr>
            <w:tcW w:w="130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Liabilities at</w:t>
            </w:r>
          </w:p>
        </w:tc>
        <w:tc>
          <w:tcPr>
            <w:tcW w:w="130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Derivative</w:t>
            </w:r>
          </w:p>
        </w:tc>
        <w:tc>
          <w:tcPr>
            <w:tcW w:w="1080" w:type="dxa"/>
            <w:vAlign w:val="bottom"/>
            <w:tcBorders>
              <w:right w:val="single" w:sz="8" w:color="2360A6"/>
            </w:tcBorders>
          </w:tcPr>
          <w:p>
            <w:pPr>
              <w:spacing w:after="0"/>
              <w:rPr>
                <w:sz w:val="14"/>
                <w:szCs w:val="14"/>
                <w:color w:val="auto"/>
              </w:rPr>
            </w:pPr>
          </w:p>
        </w:tc>
      </w:tr>
      <w:tr>
        <w:trPr>
          <w:trHeight w:val="196"/>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Amount</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Loss</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Receivables</w:t>
            </w:r>
          </w:p>
        </w:tc>
        <w:tc>
          <w:tcPr>
            <w:tcW w:w="100" w:type="dxa"/>
            <w:vAlign w:val="bottom"/>
            <w:tcBorders>
              <w:bottom w:val="single" w:sz="8" w:color="2360A6"/>
              <w:right w:val="single" w:sz="8" w:color="2360A6"/>
            </w:tcBorders>
          </w:tcPr>
          <w:p>
            <w:pPr>
              <w:spacing w:after="0"/>
              <w:rPr>
                <w:sz w:val="17"/>
                <w:szCs w:val="17"/>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Assets</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Amortized Cost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Instruments</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Fair Value</w:t>
            </w:r>
          </w:p>
        </w:tc>
      </w:tr>
      <w:tr>
        <w:trPr>
          <w:trHeight w:val="193"/>
        </w:trPr>
        <w:tc>
          <w:tcPr>
            <w:tcW w:w="28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Investments in Non- Consolidated</w:t>
            </w:r>
          </w:p>
        </w:tc>
        <w:tc>
          <w:tcPr>
            <w:tcW w:w="980" w:type="dxa"/>
            <w:vAlign w:val="bottom"/>
            <w:tcBorders>
              <w:right w:val="single" w:sz="8" w:color="2360A6"/>
            </w:tcBorders>
          </w:tcPr>
          <w:p>
            <w:pPr>
              <w:spacing w:after="0"/>
              <w:rPr>
                <w:sz w:val="16"/>
                <w:szCs w:val="16"/>
                <w:color w:val="auto"/>
              </w:rPr>
            </w:pPr>
          </w:p>
        </w:tc>
        <w:tc>
          <w:tcPr>
            <w:tcW w:w="980" w:type="dxa"/>
            <w:vAlign w:val="bottom"/>
            <w:tcBorders>
              <w:right w:val="single" w:sz="8" w:color="2360A6"/>
            </w:tcBorders>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r>
      <w:tr>
        <w:trPr>
          <w:trHeight w:val="178"/>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Companies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6.8</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6.8</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00" w:type="dxa"/>
            <w:vAlign w:val="bottom"/>
            <w:tcBorders>
              <w:bottom w:val="single" w:sz="8" w:color="2360A6"/>
              <w:right w:val="single" w:sz="8" w:color="2360A6"/>
            </w:tcBorders>
          </w:tcPr>
          <w:p>
            <w:pPr>
              <w:spacing w:after="0"/>
              <w:rPr>
                <w:sz w:val="15"/>
                <w:szCs w:val="15"/>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6.8</w:t>
            </w:r>
          </w:p>
        </w:tc>
      </w:tr>
      <w:tr>
        <w:trPr>
          <w:trHeight w:val="210"/>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Financial Assets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195.8</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195.8</w:t>
            </w:r>
          </w:p>
        </w:tc>
        <w:tc>
          <w:tcPr>
            <w:tcW w:w="100" w:type="dxa"/>
            <w:vAlign w:val="bottom"/>
            <w:tcBorders>
              <w:bottom w:val="single" w:sz="8" w:color="2360A6"/>
              <w:right w:val="single" w:sz="8" w:color="2360A6"/>
            </w:tcBorders>
          </w:tcPr>
          <w:p>
            <w:pPr>
              <w:spacing w:after="0"/>
              <w:rPr>
                <w:sz w:val="18"/>
                <w:szCs w:val="18"/>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195.8</w:t>
            </w:r>
          </w:p>
        </w:tc>
      </w:tr>
      <w:tr>
        <w:trPr>
          <w:trHeight w:val="193"/>
        </w:trPr>
        <w:tc>
          <w:tcPr>
            <w:tcW w:w="28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Available-for-Sale Financial</w:t>
            </w:r>
          </w:p>
        </w:tc>
        <w:tc>
          <w:tcPr>
            <w:tcW w:w="980" w:type="dxa"/>
            <w:vAlign w:val="bottom"/>
            <w:tcBorders>
              <w:right w:val="single" w:sz="8" w:color="2360A6"/>
            </w:tcBorders>
          </w:tcPr>
          <w:p>
            <w:pPr>
              <w:spacing w:after="0"/>
              <w:rPr>
                <w:sz w:val="16"/>
                <w:szCs w:val="16"/>
                <w:color w:val="auto"/>
              </w:rPr>
            </w:pPr>
          </w:p>
        </w:tc>
        <w:tc>
          <w:tcPr>
            <w:tcW w:w="980" w:type="dxa"/>
            <w:vAlign w:val="bottom"/>
            <w:tcBorders>
              <w:right w:val="single" w:sz="8" w:color="2360A6"/>
            </w:tcBorders>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r>
      <w:tr>
        <w:trPr>
          <w:trHeight w:val="178"/>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Assets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57.0</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00" w:type="dxa"/>
            <w:vAlign w:val="bottom"/>
            <w:tcBorders>
              <w:bottom w:val="single" w:sz="8" w:color="2360A6"/>
              <w:right w:val="single" w:sz="8" w:color="2360A6"/>
            </w:tcBorders>
          </w:tcPr>
          <w:p>
            <w:pPr>
              <w:spacing w:after="0"/>
              <w:rPr>
                <w:sz w:val="15"/>
                <w:szCs w:val="15"/>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57.0</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57.0</w:t>
            </w:r>
          </w:p>
        </w:tc>
      </w:tr>
      <w:tr>
        <w:trPr>
          <w:trHeight w:val="193"/>
        </w:trPr>
        <w:tc>
          <w:tcPr>
            <w:tcW w:w="28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w:t>
            </w:r>
          </w:p>
        </w:tc>
        <w:tc>
          <w:tcPr>
            <w:tcW w:w="980" w:type="dxa"/>
            <w:vAlign w:val="bottom"/>
            <w:tcBorders>
              <w:right w:val="single" w:sz="8" w:color="2360A6"/>
            </w:tcBorders>
          </w:tcPr>
          <w:p>
            <w:pPr>
              <w:spacing w:after="0"/>
              <w:rPr>
                <w:sz w:val="16"/>
                <w:szCs w:val="16"/>
                <w:color w:val="auto"/>
              </w:rPr>
            </w:pPr>
          </w:p>
        </w:tc>
        <w:tc>
          <w:tcPr>
            <w:tcW w:w="980" w:type="dxa"/>
            <w:vAlign w:val="bottom"/>
            <w:tcBorders>
              <w:right w:val="single" w:sz="8" w:color="2360A6"/>
            </w:tcBorders>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r>
      <w:tr>
        <w:trPr>
          <w:trHeight w:val="178"/>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Instruments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46.6</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00" w:type="dxa"/>
            <w:vAlign w:val="bottom"/>
            <w:tcBorders>
              <w:bottom w:val="single" w:sz="8" w:color="2360A6"/>
              <w:right w:val="single" w:sz="8" w:color="2360A6"/>
            </w:tcBorders>
          </w:tcPr>
          <w:p>
            <w:pPr>
              <w:spacing w:after="0"/>
              <w:rPr>
                <w:sz w:val="15"/>
                <w:szCs w:val="15"/>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46.6</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46.6</w:t>
            </w:r>
          </w:p>
        </w:tc>
      </w:tr>
      <w:tr>
        <w:trPr>
          <w:trHeight w:val="210"/>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Trade Receivables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1,719.9</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1,719.9</w:t>
            </w:r>
          </w:p>
        </w:tc>
        <w:tc>
          <w:tcPr>
            <w:tcW w:w="100" w:type="dxa"/>
            <w:vAlign w:val="bottom"/>
            <w:tcBorders>
              <w:bottom w:val="single" w:sz="8" w:color="2360A6"/>
              <w:right w:val="single" w:sz="8" w:color="2360A6"/>
            </w:tcBorders>
          </w:tcPr>
          <w:p>
            <w:pPr>
              <w:spacing w:after="0"/>
              <w:rPr>
                <w:sz w:val="18"/>
                <w:szCs w:val="18"/>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1,719.9</w:t>
            </w:r>
          </w:p>
        </w:tc>
      </w:tr>
      <w:tr>
        <w:trPr>
          <w:trHeight w:val="193"/>
        </w:trPr>
        <w:tc>
          <w:tcPr>
            <w:tcW w:w="28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Current Income Tax</w:t>
            </w:r>
          </w:p>
        </w:tc>
        <w:tc>
          <w:tcPr>
            <w:tcW w:w="980" w:type="dxa"/>
            <w:vAlign w:val="bottom"/>
            <w:tcBorders>
              <w:right w:val="single" w:sz="8" w:color="2360A6"/>
            </w:tcBorders>
          </w:tcPr>
          <w:p>
            <w:pPr>
              <w:spacing w:after="0"/>
              <w:rPr>
                <w:sz w:val="16"/>
                <w:szCs w:val="16"/>
                <w:color w:val="auto"/>
              </w:rPr>
            </w:pPr>
          </w:p>
        </w:tc>
        <w:tc>
          <w:tcPr>
            <w:tcW w:w="980" w:type="dxa"/>
            <w:vAlign w:val="bottom"/>
            <w:tcBorders>
              <w:right w:val="single" w:sz="8" w:color="2360A6"/>
            </w:tcBorders>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r>
      <w:tr>
        <w:trPr>
          <w:trHeight w:val="178"/>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Receivables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158.9</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158.9</w:t>
            </w:r>
          </w:p>
        </w:tc>
        <w:tc>
          <w:tcPr>
            <w:tcW w:w="100" w:type="dxa"/>
            <w:vAlign w:val="bottom"/>
            <w:tcBorders>
              <w:bottom w:val="single" w:sz="8" w:color="2360A6"/>
              <w:right w:val="single" w:sz="8" w:color="2360A6"/>
            </w:tcBorders>
          </w:tcPr>
          <w:p>
            <w:pPr>
              <w:spacing w:after="0"/>
              <w:rPr>
                <w:sz w:val="15"/>
                <w:szCs w:val="15"/>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158.9</w:t>
            </w:r>
          </w:p>
        </w:tc>
      </w:tr>
      <w:tr>
        <w:trPr>
          <w:trHeight w:val="210"/>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Current Receivables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581.6</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581.6</w:t>
            </w:r>
          </w:p>
        </w:tc>
        <w:tc>
          <w:tcPr>
            <w:tcW w:w="100" w:type="dxa"/>
            <w:vAlign w:val="bottom"/>
            <w:tcBorders>
              <w:bottom w:val="single" w:sz="8" w:color="2360A6"/>
              <w:right w:val="single" w:sz="8" w:color="2360A6"/>
            </w:tcBorders>
          </w:tcPr>
          <w:p>
            <w:pPr>
              <w:spacing w:after="0"/>
              <w:rPr>
                <w:sz w:val="18"/>
                <w:szCs w:val="18"/>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581.6</w:t>
            </w:r>
          </w:p>
        </w:tc>
      </w:tr>
      <w:tr>
        <w:trPr>
          <w:trHeight w:val="193"/>
        </w:trPr>
        <w:tc>
          <w:tcPr>
            <w:tcW w:w="28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Cash and Cash</w:t>
            </w:r>
          </w:p>
        </w:tc>
        <w:tc>
          <w:tcPr>
            <w:tcW w:w="980" w:type="dxa"/>
            <w:vAlign w:val="bottom"/>
            <w:tcBorders>
              <w:right w:val="single" w:sz="8" w:color="2360A6"/>
            </w:tcBorders>
          </w:tcPr>
          <w:p>
            <w:pPr>
              <w:spacing w:after="0"/>
              <w:rPr>
                <w:sz w:val="16"/>
                <w:szCs w:val="16"/>
                <w:color w:val="auto"/>
              </w:rPr>
            </w:pPr>
          </w:p>
        </w:tc>
        <w:tc>
          <w:tcPr>
            <w:tcW w:w="980" w:type="dxa"/>
            <w:vAlign w:val="bottom"/>
            <w:tcBorders>
              <w:right w:val="single" w:sz="8" w:color="2360A6"/>
            </w:tcBorders>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r>
      <w:tr>
        <w:trPr>
          <w:trHeight w:val="178"/>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Equivalents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2,685.6</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2,685.6</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00" w:type="dxa"/>
            <w:vAlign w:val="bottom"/>
            <w:tcBorders>
              <w:bottom w:val="single" w:sz="8" w:color="2360A6"/>
              <w:right w:val="single" w:sz="8" w:color="2360A6"/>
            </w:tcBorders>
          </w:tcPr>
          <w:p>
            <w:pPr>
              <w:spacing w:after="0"/>
              <w:rPr>
                <w:sz w:val="15"/>
                <w:szCs w:val="15"/>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2,685.6</w:t>
            </w:r>
          </w:p>
        </w:tc>
      </w:tr>
      <w:tr>
        <w:trPr>
          <w:trHeight w:val="210"/>
        </w:trPr>
        <w:tc>
          <w:tcPr>
            <w:tcW w:w="284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ASSETS</w:t>
            </w:r>
          </w:p>
        </w:tc>
        <w:tc>
          <w:tcPr>
            <w:tcW w:w="9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5,452.2</w:t>
            </w:r>
          </w:p>
        </w:tc>
        <w:tc>
          <w:tcPr>
            <w:tcW w:w="9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2,692.4</w:t>
            </w:r>
          </w:p>
        </w:tc>
        <w:tc>
          <w:tcPr>
            <w:tcW w:w="118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2,656.2</w:t>
            </w:r>
          </w:p>
        </w:tc>
        <w:tc>
          <w:tcPr>
            <w:tcW w:w="100" w:type="dxa"/>
            <w:vAlign w:val="bottom"/>
            <w:tcBorders>
              <w:bottom w:val="single" w:sz="8" w:color="2360A6"/>
              <w:right w:val="single" w:sz="8" w:color="2360A6"/>
            </w:tcBorders>
            <w:shd w:val="clear" w:color="auto" w:fill="D2DEEC"/>
          </w:tcPr>
          <w:p>
            <w:pPr>
              <w:spacing w:after="0"/>
              <w:rPr>
                <w:sz w:val="18"/>
                <w:szCs w:val="18"/>
                <w:color w:val="auto"/>
              </w:rPr>
            </w:pPr>
          </w:p>
        </w:tc>
        <w:tc>
          <w:tcPr>
            <w:tcW w:w="10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57.0</w:t>
            </w:r>
          </w:p>
        </w:tc>
        <w:tc>
          <w:tcPr>
            <w:tcW w:w="130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w:t>
            </w:r>
          </w:p>
        </w:tc>
        <w:tc>
          <w:tcPr>
            <w:tcW w:w="130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46.6</w:t>
            </w:r>
          </w:p>
        </w:tc>
        <w:tc>
          <w:tcPr>
            <w:tcW w:w="10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5,452.2</w:t>
            </w:r>
          </w:p>
        </w:tc>
      </w:tr>
      <w:tr>
        <w:trPr>
          <w:trHeight w:val="193"/>
        </w:trPr>
        <w:tc>
          <w:tcPr>
            <w:tcW w:w="28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Non-Current Financial</w:t>
            </w:r>
          </w:p>
        </w:tc>
        <w:tc>
          <w:tcPr>
            <w:tcW w:w="980" w:type="dxa"/>
            <w:vAlign w:val="bottom"/>
            <w:tcBorders>
              <w:right w:val="single" w:sz="8" w:color="2360A6"/>
            </w:tcBorders>
          </w:tcPr>
          <w:p>
            <w:pPr>
              <w:spacing w:after="0"/>
              <w:rPr>
                <w:sz w:val="16"/>
                <w:szCs w:val="16"/>
                <w:color w:val="auto"/>
              </w:rPr>
            </w:pPr>
          </w:p>
        </w:tc>
        <w:tc>
          <w:tcPr>
            <w:tcW w:w="980" w:type="dxa"/>
            <w:vAlign w:val="bottom"/>
            <w:tcBorders>
              <w:right w:val="single" w:sz="8" w:color="2360A6"/>
            </w:tcBorders>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r>
      <w:tr>
        <w:trPr>
          <w:trHeight w:val="178"/>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Debts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2,356.6</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00" w:type="dxa"/>
            <w:vAlign w:val="bottom"/>
            <w:tcBorders>
              <w:bottom w:val="single" w:sz="8" w:color="2360A6"/>
              <w:right w:val="single" w:sz="8" w:color="2360A6"/>
            </w:tcBorders>
          </w:tcPr>
          <w:p>
            <w:pPr>
              <w:spacing w:after="0"/>
              <w:rPr>
                <w:sz w:val="15"/>
                <w:szCs w:val="15"/>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2,356.6</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2,522.5</w:t>
            </w:r>
          </w:p>
        </w:tc>
      </w:tr>
      <w:tr>
        <w:trPr>
          <w:trHeight w:val="193"/>
        </w:trPr>
        <w:tc>
          <w:tcPr>
            <w:tcW w:w="28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Non-Current</w:t>
            </w:r>
          </w:p>
        </w:tc>
        <w:tc>
          <w:tcPr>
            <w:tcW w:w="980" w:type="dxa"/>
            <w:vAlign w:val="bottom"/>
            <w:tcBorders>
              <w:right w:val="single" w:sz="8" w:color="2360A6"/>
            </w:tcBorders>
          </w:tcPr>
          <w:p>
            <w:pPr>
              <w:spacing w:after="0"/>
              <w:rPr>
                <w:sz w:val="16"/>
                <w:szCs w:val="16"/>
                <w:color w:val="auto"/>
              </w:rPr>
            </w:pPr>
          </w:p>
        </w:tc>
        <w:tc>
          <w:tcPr>
            <w:tcW w:w="980" w:type="dxa"/>
            <w:vAlign w:val="bottom"/>
            <w:tcBorders>
              <w:right w:val="single" w:sz="8" w:color="2360A6"/>
            </w:tcBorders>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r>
      <w:tr>
        <w:trPr>
          <w:trHeight w:val="178"/>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Liabilities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40.6</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00" w:type="dxa"/>
            <w:vAlign w:val="bottom"/>
            <w:tcBorders>
              <w:bottom w:val="single" w:sz="8" w:color="2360A6"/>
              <w:right w:val="single" w:sz="8" w:color="2360A6"/>
            </w:tcBorders>
          </w:tcPr>
          <w:p>
            <w:pPr>
              <w:spacing w:after="0"/>
              <w:rPr>
                <w:sz w:val="15"/>
                <w:szCs w:val="15"/>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40.6</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40.6</w:t>
            </w:r>
          </w:p>
        </w:tc>
      </w:tr>
      <w:tr>
        <w:trPr>
          <w:trHeight w:val="210"/>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Current Financial Debts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256.4</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00" w:type="dxa"/>
            <w:vAlign w:val="bottom"/>
            <w:tcBorders>
              <w:bottom w:val="single" w:sz="8" w:color="2360A6"/>
              <w:right w:val="single" w:sz="8" w:color="2360A6"/>
            </w:tcBorders>
          </w:tcPr>
          <w:p>
            <w:pPr>
              <w:spacing w:after="0"/>
              <w:rPr>
                <w:sz w:val="18"/>
                <w:szCs w:val="18"/>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256.4</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256.5</w:t>
            </w:r>
          </w:p>
        </w:tc>
      </w:tr>
      <w:tr>
        <w:trPr>
          <w:trHeight w:val="210"/>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Trade Payables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2,312.9</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2,312.9</w:t>
            </w:r>
          </w:p>
        </w:tc>
        <w:tc>
          <w:tcPr>
            <w:tcW w:w="100" w:type="dxa"/>
            <w:vAlign w:val="bottom"/>
            <w:tcBorders>
              <w:bottom w:val="single" w:sz="8" w:color="2360A6"/>
              <w:right w:val="single" w:sz="8" w:color="2360A6"/>
            </w:tcBorders>
          </w:tcPr>
          <w:p>
            <w:pPr>
              <w:spacing w:after="0"/>
              <w:rPr>
                <w:sz w:val="18"/>
                <w:szCs w:val="18"/>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2,312.9</w:t>
            </w:r>
          </w:p>
        </w:tc>
      </w:tr>
      <w:tr>
        <w:trPr>
          <w:trHeight w:val="193"/>
        </w:trPr>
        <w:tc>
          <w:tcPr>
            <w:tcW w:w="28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w:t>
            </w:r>
          </w:p>
        </w:tc>
        <w:tc>
          <w:tcPr>
            <w:tcW w:w="980" w:type="dxa"/>
            <w:vAlign w:val="bottom"/>
            <w:tcBorders>
              <w:right w:val="single" w:sz="8" w:color="2360A6"/>
            </w:tcBorders>
          </w:tcPr>
          <w:p>
            <w:pPr>
              <w:spacing w:after="0"/>
              <w:rPr>
                <w:sz w:val="16"/>
                <w:szCs w:val="16"/>
                <w:color w:val="auto"/>
              </w:rPr>
            </w:pPr>
          </w:p>
        </w:tc>
        <w:tc>
          <w:tcPr>
            <w:tcW w:w="980" w:type="dxa"/>
            <w:vAlign w:val="bottom"/>
            <w:tcBorders>
              <w:right w:val="single" w:sz="8" w:color="2360A6"/>
            </w:tcBorders>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r>
      <w:tr>
        <w:trPr>
          <w:trHeight w:val="178"/>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Instruments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300.5</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00" w:type="dxa"/>
            <w:vAlign w:val="bottom"/>
            <w:tcBorders>
              <w:bottom w:val="single" w:sz="8" w:color="2360A6"/>
              <w:right w:val="single" w:sz="8" w:color="2360A6"/>
            </w:tcBorders>
          </w:tcPr>
          <w:p>
            <w:pPr>
              <w:spacing w:after="0"/>
              <w:rPr>
                <w:sz w:val="15"/>
                <w:szCs w:val="15"/>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300.5</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300.5</w:t>
            </w:r>
          </w:p>
        </w:tc>
      </w:tr>
      <w:tr>
        <w:trPr>
          <w:trHeight w:val="193"/>
        </w:trPr>
        <w:tc>
          <w:tcPr>
            <w:tcW w:w="28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Current Income Tax</w:t>
            </w:r>
          </w:p>
        </w:tc>
        <w:tc>
          <w:tcPr>
            <w:tcW w:w="980" w:type="dxa"/>
            <w:vAlign w:val="bottom"/>
            <w:tcBorders>
              <w:right w:val="single" w:sz="8" w:color="2360A6"/>
            </w:tcBorders>
          </w:tcPr>
          <w:p>
            <w:pPr>
              <w:spacing w:after="0"/>
              <w:rPr>
                <w:sz w:val="16"/>
                <w:szCs w:val="16"/>
                <w:color w:val="auto"/>
              </w:rPr>
            </w:pPr>
          </w:p>
        </w:tc>
        <w:tc>
          <w:tcPr>
            <w:tcW w:w="980" w:type="dxa"/>
            <w:vAlign w:val="bottom"/>
            <w:tcBorders>
              <w:right w:val="single" w:sz="8" w:color="2360A6"/>
            </w:tcBorders>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300" w:type="dxa"/>
            <w:vAlign w:val="bottom"/>
            <w:tcBorders>
              <w:right w:val="single" w:sz="8" w:color="2360A6"/>
            </w:tcBorders>
          </w:tcPr>
          <w:p>
            <w:pPr>
              <w:spacing w:after="0"/>
              <w:rPr>
                <w:sz w:val="16"/>
                <w:szCs w:val="16"/>
                <w:color w:val="auto"/>
              </w:rPr>
            </w:pPr>
          </w:p>
        </w:tc>
        <w:tc>
          <w:tcPr>
            <w:tcW w:w="1080" w:type="dxa"/>
            <w:vAlign w:val="bottom"/>
            <w:tcBorders>
              <w:right w:val="single" w:sz="8" w:color="2360A6"/>
            </w:tcBorders>
          </w:tcPr>
          <w:p>
            <w:pPr>
              <w:spacing w:after="0"/>
              <w:rPr>
                <w:sz w:val="16"/>
                <w:szCs w:val="16"/>
                <w:color w:val="auto"/>
              </w:rPr>
            </w:pPr>
          </w:p>
        </w:tc>
      </w:tr>
      <w:tr>
        <w:trPr>
          <w:trHeight w:val="178"/>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Payables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137.7</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137.7</w:t>
            </w:r>
          </w:p>
        </w:tc>
        <w:tc>
          <w:tcPr>
            <w:tcW w:w="100" w:type="dxa"/>
            <w:vAlign w:val="bottom"/>
            <w:tcBorders>
              <w:bottom w:val="single" w:sz="8" w:color="2360A6"/>
              <w:right w:val="single" w:sz="8" w:color="2360A6"/>
            </w:tcBorders>
          </w:tcPr>
          <w:p>
            <w:pPr>
              <w:spacing w:after="0"/>
              <w:rPr>
                <w:sz w:val="15"/>
                <w:szCs w:val="15"/>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137.7</w:t>
            </w:r>
          </w:p>
        </w:tc>
      </w:tr>
      <w:tr>
        <w:trPr>
          <w:trHeight w:val="210"/>
        </w:trPr>
        <w:tc>
          <w:tcPr>
            <w:tcW w:w="28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Current Liabilities</w:t>
            </w:r>
          </w:p>
        </w:tc>
        <w:tc>
          <w:tcPr>
            <w:tcW w:w="9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1,629.7</w:t>
            </w:r>
          </w:p>
        </w:tc>
        <w:tc>
          <w:tcPr>
            <w:tcW w:w="9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1,629.7</w:t>
            </w:r>
          </w:p>
        </w:tc>
        <w:tc>
          <w:tcPr>
            <w:tcW w:w="100" w:type="dxa"/>
            <w:vAlign w:val="bottom"/>
            <w:tcBorders>
              <w:bottom w:val="single" w:sz="8" w:color="2360A6"/>
              <w:right w:val="single" w:sz="8" w:color="2360A6"/>
            </w:tcBorders>
          </w:tcPr>
          <w:p>
            <w:pPr>
              <w:spacing w:after="0"/>
              <w:rPr>
                <w:sz w:val="18"/>
                <w:szCs w:val="18"/>
                <w:color w:val="auto"/>
              </w:rPr>
            </w:pP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0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1,629.7</w:t>
            </w:r>
          </w:p>
        </w:tc>
      </w:tr>
      <w:tr>
        <w:trPr>
          <w:trHeight w:val="210"/>
        </w:trPr>
        <w:tc>
          <w:tcPr>
            <w:tcW w:w="284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LIABILITIES</w:t>
            </w:r>
          </w:p>
        </w:tc>
        <w:tc>
          <w:tcPr>
            <w:tcW w:w="9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7,034.4</w:t>
            </w:r>
          </w:p>
        </w:tc>
        <w:tc>
          <w:tcPr>
            <w:tcW w:w="9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w:t>
            </w:r>
          </w:p>
        </w:tc>
        <w:tc>
          <w:tcPr>
            <w:tcW w:w="118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4,080.3</w:t>
            </w:r>
          </w:p>
        </w:tc>
        <w:tc>
          <w:tcPr>
            <w:tcW w:w="100" w:type="dxa"/>
            <w:vAlign w:val="bottom"/>
            <w:tcBorders>
              <w:bottom w:val="single" w:sz="8" w:color="2360A6"/>
              <w:right w:val="single" w:sz="8" w:color="2360A6"/>
            </w:tcBorders>
            <w:shd w:val="clear" w:color="auto" w:fill="D2DEEC"/>
          </w:tcPr>
          <w:p>
            <w:pPr>
              <w:spacing w:after="0"/>
              <w:rPr>
                <w:sz w:val="18"/>
                <w:szCs w:val="18"/>
                <w:color w:val="auto"/>
              </w:rPr>
            </w:pPr>
          </w:p>
        </w:tc>
        <w:tc>
          <w:tcPr>
            <w:tcW w:w="10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w:t>
            </w:r>
          </w:p>
        </w:tc>
        <w:tc>
          <w:tcPr>
            <w:tcW w:w="130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2,653.6</w:t>
            </w:r>
          </w:p>
        </w:tc>
        <w:tc>
          <w:tcPr>
            <w:tcW w:w="130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300.5</w:t>
            </w:r>
          </w:p>
        </w:tc>
        <w:tc>
          <w:tcPr>
            <w:tcW w:w="10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7,200.4</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shows a breakdown of financial assets and liabilities valued at fair value by hierarchy:</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223"/>
        </w:trPr>
        <w:tc>
          <w:tcPr>
            <w:tcW w:w="7340" w:type="dxa"/>
            <w:vAlign w:val="bottom"/>
            <w:tcBorders>
              <w:top w:val="single" w:sz="8" w:color="2360A6"/>
              <w:left w:val="single" w:sz="8" w:color="2360A6"/>
              <w:right w:val="single" w:sz="8" w:color="2360A6"/>
            </w:tcBorders>
          </w:tcPr>
          <w:p>
            <w:pPr>
              <w:spacing w:after="0"/>
              <w:rPr>
                <w:sz w:val="19"/>
                <w:szCs w:val="19"/>
                <w:color w:val="auto"/>
              </w:rPr>
            </w:pPr>
          </w:p>
        </w:tc>
        <w:tc>
          <w:tcPr>
            <w:tcW w:w="740" w:type="dxa"/>
            <w:vAlign w:val="bottom"/>
            <w:tcBorders>
              <w:top w:val="single" w:sz="8" w:color="2360A6"/>
              <w:bottom w:val="single" w:sz="8" w:color="2360A6"/>
            </w:tcBorders>
            <w:shd w:val="clear" w:color="auto" w:fill="2360A6"/>
          </w:tcPr>
          <w:p>
            <w:pPr>
              <w:spacing w:after="0"/>
              <w:rPr>
                <w:sz w:val="19"/>
                <w:szCs w:val="19"/>
                <w:color w:val="auto"/>
              </w:rPr>
            </w:pPr>
          </w:p>
        </w:tc>
        <w:tc>
          <w:tcPr>
            <w:tcW w:w="1820" w:type="dxa"/>
            <w:vAlign w:val="bottom"/>
            <w:tcBorders>
              <w:top w:val="single" w:sz="8" w:color="2360A6"/>
              <w:bottom w:val="single" w:sz="8" w:color="2360A6"/>
              <w:right w:val="single" w:sz="8" w:color="2360A6"/>
            </w:tcBorders>
            <w:gridSpan w:val="3"/>
            <w:shd w:val="clear" w:color="auto" w:fill="2360A6"/>
          </w:tcPr>
          <w:p>
            <w:pPr>
              <w:ind w:left="60"/>
              <w:spacing w:after="0"/>
              <w:rPr>
                <w:sz w:val="20"/>
                <w:szCs w:val="20"/>
                <w:color w:val="auto"/>
              </w:rPr>
            </w:pPr>
            <w:r>
              <w:rPr>
                <w:rFonts w:ascii="Arial" w:cs="Arial" w:eastAsia="Arial" w:hAnsi="Arial"/>
                <w:sz w:val="14"/>
                <w:szCs w:val="14"/>
                <w:b w:val="1"/>
                <w:bCs w:val="1"/>
                <w:color w:val="FFFFFF"/>
              </w:rPr>
              <w:t>As of December 31, 2016</w:t>
            </w:r>
          </w:p>
        </w:tc>
        <w:tc>
          <w:tcPr>
            <w:tcW w:w="72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740" w:type="dxa"/>
            <w:vAlign w:val="bottom"/>
            <w:tcBorders>
              <w:bottom w:val="single" w:sz="8" w:color="2360A6"/>
            </w:tcBorders>
            <w:shd w:val="clear" w:color="auto" w:fill="DCDDDE"/>
          </w:tcPr>
          <w:p>
            <w:pPr>
              <w:jc w:val="right"/>
              <w:ind w:right="168"/>
              <w:spacing w:after="0"/>
              <w:rPr>
                <w:sz w:val="20"/>
                <w:szCs w:val="20"/>
                <w:color w:val="auto"/>
              </w:rPr>
            </w:pPr>
            <w:r>
              <w:rPr>
                <w:rFonts w:ascii="Arial" w:cs="Arial" w:eastAsia="Arial" w:hAnsi="Arial"/>
                <w:sz w:val="14"/>
                <w:szCs w:val="14"/>
                <w:b w:val="1"/>
                <w:bCs w:val="1"/>
                <w:color w:val="2360A6"/>
              </w:rPr>
              <w:t>Level 1</w:t>
            </w:r>
          </w:p>
        </w:tc>
        <w:tc>
          <w:tcPr>
            <w:tcW w:w="140" w:type="dxa"/>
            <w:vAlign w:val="bottom"/>
            <w:tcBorders>
              <w:bottom w:val="single" w:sz="8" w:color="2360A6"/>
              <w:right w:val="single" w:sz="8" w:color="2360A6"/>
            </w:tcBorders>
            <w:shd w:val="clear" w:color="auto" w:fill="DCDDDE"/>
          </w:tcPr>
          <w:p>
            <w:pPr>
              <w:spacing w:after="0"/>
              <w:rPr>
                <w:sz w:val="18"/>
                <w:szCs w:val="18"/>
                <w:color w:val="auto"/>
              </w:rPr>
            </w:pPr>
          </w:p>
        </w:tc>
        <w:tc>
          <w:tcPr>
            <w:tcW w:w="840" w:type="dxa"/>
            <w:vAlign w:val="bottom"/>
            <w:tcBorders>
              <w:bottom w:val="single" w:sz="8" w:color="2360A6"/>
              <w:right w:val="single" w:sz="8" w:color="2360A6"/>
            </w:tcBorders>
            <w:shd w:val="clear" w:color="auto" w:fill="DCDDDE"/>
          </w:tcPr>
          <w:p>
            <w:pPr>
              <w:jc w:val="right"/>
              <w:ind w:right="268"/>
              <w:spacing w:after="0"/>
              <w:rPr>
                <w:sz w:val="20"/>
                <w:szCs w:val="20"/>
                <w:color w:val="auto"/>
              </w:rPr>
            </w:pPr>
            <w:r>
              <w:rPr>
                <w:rFonts w:ascii="Arial" w:cs="Arial" w:eastAsia="Arial" w:hAnsi="Arial"/>
                <w:sz w:val="14"/>
                <w:szCs w:val="14"/>
                <w:b w:val="1"/>
                <w:bCs w:val="1"/>
                <w:color w:val="2360A6"/>
              </w:rPr>
              <w:t>Level 2</w:t>
            </w:r>
          </w:p>
        </w:tc>
        <w:tc>
          <w:tcPr>
            <w:tcW w:w="840" w:type="dxa"/>
            <w:vAlign w:val="bottom"/>
            <w:tcBorders>
              <w:bottom w:val="single" w:sz="8" w:color="2360A6"/>
              <w:right w:val="single" w:sz="8" w:color="2360A6"/>
            </w:tcBorders>
            <w:shd w:val="clear" w:color="auto" w:fill="DCDDDE"/>
          </w:tcPr>
          <w:p>
            <w:pPr>
              <w:ind w:left="20"/>
              <w:spacing w:after="0"/>
              <w:rPr>
                <w:sz w:val="20"/>
                <w:szCs w:val="20"/>
                <w:color w:val="auto"/>
              </w:rPr>
            </w:pPr>
            <w:r>
              <w:rPr>
                <w:rFonts w:ascii="Arial" w:cs="Arial" w:eastAsia="Arial" w:hAnsi="Arial"/>
                <w:sz w:val="14"/>
                <w:szCs w:val="14"/>
                <w:b w:val="1"/>
                <w:bCs w:val="1"/>
                <w:color w:val="2360A6"/>
              </w:rPr>
              <w:t>Level 3</w:t>
            </w:r>
          </w:p>
        </w:tc>
        <w:tc>
          <w:tcPr>
            <w:tcW w:w="720" w:type="dxa"/>
            <w:vAlign w:val="bottom"/>
            <w:tcBorders>
              <w:bottom w:val="single" w:sz="8" w:color="2360A6"/>
              <w:right w:val="single" w:sz="8" w:color="2360A6"/>
            </w:tcBorders>
            <w:shd w:val="clear" w:color="auto" w:fill="DCDDDE"/>
          </w:tcPr>
          <w:p>
            <w:pPr>
              <w:jc w:val="right"/>
              <w:ind w:right="308"/>
              <w:spacing w:after="0"/>
              <w:rPr>
                <w:sz w:val="20"/>
                <w:szCs w:val="20"/>
                <w:color w:val="auto"/>
              </w:rPr>
            </w:pPr>
            <w:r>
              <w:rPr>
                <w:rFonts w:ascii="Arial" w:cs="Arial" w:eastAsia="Arial" w:hAnsi="Arial"/>
                <w:sz w:val="14"/>
                <w:szCs w:val="14"/>
                <w:b w:val="1"/>
                <w:bCs w:val="1"/>
                <w:color w:val="2360A6"/>
                <w:w w:val="95"/>
              </w:rPr>
              <w:t>Total</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Assets at Fair Value through Profit or Loss</w:t>
            </w:r>
          </w:p>
        </w:tc>
        <w:tc>
          <w:tcPr>
            <w:tcW w:w="7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2360A6"/>
              <w:right w:val="single" w:sz="8" w:color="2360A6"/>
            </w:tcBorders>
            <w:shd w:val="clear" w:color="auto" w:fill="DCDDDE"/>
          </w:tcPr>
          <w:p>
            <w:pPr>
              <w:spacing w:after="0"/>
              <w:rPr>
                <w:sz w:val="18"/>
                <w:szCs w:val="18"/>
                <w:color w:val="auto"/>
              </w:rPr>
            </w:pPr>
          </w:p>
        </w:tc>
        <w:tc>
          <w:tcPr>
            <w:tcW w:w="84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13.4</w:t>
            </w:r>
          </w:p>
        </w:tc>
        <w:tc>
          <w:tcPr>
            <w:tcW w:w="840" w:type="dxa"/>
            <w:vAlign w:val="bottom"/>
            <w:tcBorders>
              <w:bottom w:val="single" w:sz="8" w:color="2360A6"/>
              <w:right w:val="single" w:sz="8" w:color="2360A6"/>
            </w:tcBorders>
            <w:shd w:val="clear" w:color="auto" w:fill="DCDDDE"/>
          </w:tcPr>
          <w:p>
            <w:pPr>
              <w:ind w:left="5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13.4</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Instruments</w:t>
            </w:r>
          </w:p>
        </w:tc>
        <w:tc>
          <w:tcPr>
            <w:tcW w:w="7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2360A6"/>
              <w:right w:val="single" w:sz="8" w:color="2360A6"/>
            </w:tcBorders>
            <w:shd w:val="clear" w:color="auto" w:fill="DCDDDE"/>
          </w:tcPr>
          <w:p>
            <w:pPr>
              <w:spacing w:after="0"/>
              <w:rPr>
                <w:sz w:val="18"/>
                <w:szCs w:val="18"/>
                <w:color w:val="auto"/>
              </w:rPr>
            </w:pPr>
          </w:p>
        </w:tc>
        <w:tc>
          <w:tcPr>
            <w:tcW w:w="84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225.8</w:t>
            </w:r>
          </w:p>
        </w:tc>
        <w:tc>
          <w:tcPr>
            <w:tcW w:w="840" w:type="dxa"/>
            <w:vAlign w:val="bottom"/>
            <w:tcBorders>
              <w:bottom w:val="single" w:sz="8" w:color="2360A6"/>
              <w:right w:val="single" w:sz="8" w:color="2360A6"/>
            </w:tcBorders>
            <w:shd w:val="clear" w:color="auto" w:fill="DCDDDE"/>
          </w:tcPr>
          <w:p>
            <w:pPr>
              <w:ind w:left="5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225.8</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Available-for-Sale Financial Assets</w:t>
            </w:r>
          </w:p>
        </w:tc>
        <w:tc>
          <w:tcPr>
            <w:tcW w:w="7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auto"/>
              </w:rPr>
              <w:t>26.5</w:t>
            </w:r>
          </w:p>
        </w:tc>
        <w:tc>
          <w:tcPr>
            <w:tcW w:w="140" w:type="dxa"/>
            <w:vAlign w:val="bottom"/>
            <w:tcBorders>
              <w:bottom w:val="single" w:sz="8" w:color="2360A6"/>
              <w:right w:val="single" w:sz="8" w:color="2360A6"/>
            </w:tcBorders>
            <w:shd w:val="clear" w:color="auto" w:fill="DCDDDE"/>
          </w:tcPr>
          <w:p>
            <w:pPr>
              <w:spacing w:after="0"/>
              <w:rPr>
                <w:sz w:val="18"/>
                <w:szCs w:val="18"/>
                <w:color w:val="auto"/>
              </w:rPr>
            </w:pPr>
          </w:p>
        </w:tc>
        <w:tc>
          <w:tcPr>
            <w:tcW w:w="84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360A6"/>
              <w:right w:val="single" w:sz="8" w:color="2360A6"/>
            </w:tcBorders>
            <w:shd w:val="clear" w:color="auto" w:fill="DCDDDE"/>
          </w:tcPr>
          <w:p>
            <w:pPr>
              <w:ind w:left="5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26.5</w:t>
            </w:r>
          </w:p>
        </w:tc>
      </w:tr>
      <w:tr>
        <w:trPr>
          <w:trHeight w:val="210"/>
        </w:trPr>
        <w:tc>
          <w:tcPr>
            <w:tcW w:w="7340" w:type="dxa"/>
            <w:vAlign w:val="bottom"/>
            <w:tcBorders>
              <w:left w:val="single" w:sz="8" w:color="2360A6"/>
              <w:bottom w:val="single" w:sz="8" w:color="2360A6"/>
              <w:right w:val="single" w:sz="8" w:color="2360A6"/>
            </w:tcBorders>
            <w:shd w:val="clear" w:color="auto" w:fill="CCD1E7"/>
          </w:tcPr>
          <w:p>
            <w:pPr>
              <w:ind w:left="20"/>
              <w:spacing w:after="0"/>
              <w:rPr>
                <w:sz w:val="20"/>
                <w:szCs w:val="20"/>
                <w:color w:val="auto"/>
              </w:rPr>
            </w:pPr>
            <w:r>
              <w:rPr>
                <w:rFonts w:ascii="Arial" w:cs="Arial" w:eastAsia="Arial" w:hAnsi="Arial"/>
                <w:sz w:val="14"/>
                <w:szCs w:val="14"/>
                <w:b w:val="1"/>
                <w:bCs w:val="1"/>
                <w:color w:val="2360A6"/>
              </w:rPr>
              <w:t>ASSETS</w:t>
            </w:r>
          </w:p>
        </w:tc>
        <w:tc>
          <w:tcPr>
            <w:tcW w:w="740" w:type="dxa"/>
            <w:vAlign w:val="bottom"/>
            <w:tcBorders>
              <w:bottom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0046AD"/>
              </w:rPr>
              <w:t>26.5</w:t>
            </w:r>
          </w:p>
        </w:tc>
        <w:tc>
          <w:tcPr>
            <w:tcW w:w="140" w:type="dxa"/>
            <w:vAlign w:val="bottom"/>
            <w:tcBorders>
              <w:bottom w:val="single" w:sz="8" w:color="2360A6"/>
              <w:right w:val="single" w:sz="8" w:color="2360A6"/>
            </w:tcBorders>
            <w:shd w:val="clear" w:color="auto" w:fill="CCD1E7"/>
          </w:tcPr>
          <w:p>
            <w:pPr>
              <w:spacing w:after="0"/>
              <w:rPr>
                <w:sz w:val="18"/>
                <w:szCs w:val="18"/>
                <w:color w:val="auto"/>
              </w:rPr>
            </w:pPr>
          </w:p>
        </w:tc>
        <w:tc>
          <w:tcPr>
            <w:tcW w:w="840" w:type="dxa"/>
            <w:vAlign w:val="bottom"/>
            <w:tcBorders>
              <w:bottom w:val="single" w:sz="8" w:color="2360A6"/>
              <w:right w:val="single" w:sz="8" w:color="2360A6"/>
            </w:tcBorders>
            <w:shd w:val="clear" w:color="auto" w:fill="CCD1E7"/>
          </w:tcPr>
          <w:p>
            <w:pPr>
              <w:jc w:val="right"/>
              <w:ind w:right="48"/>
              <w:spacing w:after="0"/>
              <w:rPr>
                <w:sz w:val="20"/>
                <w:szCs w:val="20"/>
                <w:color w:val="auto"/>
              </w:rPr>
            </w:pPr>
            <w:r>
              <w:rPr>
                <w:rFonts w:ascii="Arial" w:cs="Arial" w:eastAsia="Arial" w:hAnsi="Arial"/>
                <w:sz w:val="14"/>
                <w:szCs w:val="14"/>
                <w:b w:val="1"/>
                <w:bCs w:val="1"/>
                <w:color w:val="0046AD"/>
              </w:rPr>
              <w:t>239.2</w:t>
            </w:r>
          </w:p>
        </w:tc>
        <w:tc>
          <w:tcPr>
            <w:tcW w:w="840" w:type="dxa"/>
            <w:vAlign w:val="bottom"/>
            <w:tcBorders>
              <w:bottom w:val="single" w:sz="8" w:color="2360A6"/>
              <w:right w:val="single" w:sz="8" w:color="2360A6"/>
            </w:tcBorders>
            <w:shd w:val="clear" w:color="auto" w:fill="CCD1E7"/>
          </w:tcPr>
          <w:p>
            <w:pPr>
              <w:ind w:left="580"/>
              <w:spacing w:after="0"/>
              <w:rPr>
                <w:sz w:val="20"/>
                <w:szCs w:val="20"/>
                <w:color w:val="auto"/>
              </w:rPr>
            </w:pPr>
            <w:r>
              <w:rPr>
                <w:rFonts w:ascii="Arial" w:cs="Arial" w:eastAsia="Arial" w:hAnsi="Arial"/>
                <w:sz w:val="14"/>
                <w:szCs w:val="14"/>
                <w:b w:val="1"/>
                <w:bCs w:val="1"/>
                <w:color w:val="0046AD"/>
              </w:rPr>
              <w:t>—</w:t>
            </w:r>
          </w:p>
        </w:tc>
        <w:tc>
          <w:tcPr>
            <w:tcW w:w="720" w:type="dxa"/>
            <w:vAlign w:val="bottom"/>
            <w:tcBorders>
              <w:bottom w:val="single" w:sz="8" w:color="2360A6"/>
              <w:right w:val="single" w:sz="8" w:color="2360A6"/>
            </w:tcBorders>
            <w:shd w:val="clear" w:color="auto" w:fill="CCD1E7"/>
          </w:tcPr>
          <w:p>
            <w:pPr>
              <w:jc w:val="right"/>
              <w:ind w:right="48"/>
              <w:spacing w:after="0"/>
              <w:rPr>
                <w:sz w:val="20"/>
                <w:szCs w:val="20"/>
                <w:color w:val="auto"/>
              </w:rPr>
            </w:pPr>
            <w:r>
              <w:rPr>
                <w:rFonts w:ascii="Arial" w:cs="Arial" w:eastAsia="Arial" w:hAnsi="Arial"/>
                <w:sz w:val="14"/>
                <w:szCs w:val="14"/>
                <w:b w:val="1"/>
                <w:bCs w:val="1"/>
                <w:color w:val="0046AD"/>
              </w:rPr>
              <w:t>265.7</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Liabilities at Fair Value through Profit or Loss</w:t>
            </w:r>
          </w:p>
        </w:tc>
        <w:tc>
          <w:tcPr>
            <w:tcW w:w="7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2360A6"/>
              <w:right w:val="single" w:sz="8" w:color="2360A6"/>
            </w:tcBorders>
            <w:shd w:val="clear" w:color="auto" w:fill="DCDDDE"/>
          </w:tcPr>
          <w:p>
            <w:pPr>
              <w:spacing w:after="0"/>
              <w:rPr>
                <w:sz w:val="18"/>
                <w:szCs w:val="18"/>
                <w:color w:val="auto"/>
              </w:rPr>
            </w:pPr>
          </w:p>
        </w:tc>
        <w:tc>
          <w:tcPr>
            <w:tcW w:w="84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360A6"/>
              <w:right w:val="single" w:sz="8" w:color="2360A6"/>
            </w:tcBorders>
            <w:shd w:val="clear" w:color="auto" w:fill="DCDDDE"/>
          </w:tcPr>
          <w:p>
            <w:pPr>
              <w:ind w:left="5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Derivative Instruments</w:t>
            </w:r>
          </w:p>
        </w:tc>
        <w:tc>
          <w:tcPr>
            <w:tcW w:w="7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2360A6"/>
              <w:right w:val="single" w:sz="8" w:color="2360A6"/>
            </w:tcBorders>
            <w:shd w:val="clear" w:color="auto" w:fill="DCDDDE"/>
          </w:tcPr>
          <w:p>
            <w:pPr>
              <w:spacing w:after="0"/>
              <w:rPr>
                <w:sz w:val="18"/>
                <w:szCs w:val="18"/>
                <w:color w:val="auto"/>
              </w:rPr>
            </w:pPr>
          </w:p>
        </w:tc>
        <w:tc>
          <w:tcPr>
            <w:tcW w:w="84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389.6</w:t>
            </w:r>
          </w:p>
        </w:tc>
        <w:tc>
          <w:tcPr>
            <w:tcW w:w="840" w:type="dxa"/>
            <w:vAlign w:val="bottom"/>
            <w:tcBorders>
              <w:bottom w:val="single" w:sz="8" w:color="2360A6"/>
              <w:right w:val="single" w:sz="8" w:color="2360A6"/>
            </w:tcBorders>
            <w:shd w:val="clear" w:color="auto" w:fill="DCDDDE"/>
          </w:tcPr>
          <w:p>
            <w:pPr>
              <w:ind w:left="58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389.6</w:t>
            </w:r>
          </w:p>
        </w:tc>
      </w:tr>
      <w:tr>
        <w:trPr>
          <w:trHeight w:val="210"/>
        </w:trPr>
        <w:tc>
          <w:tcPr>
            <w:tcW w:w="7340" w:type="dxa"/>
            <w:vAlign w:val="bottom"/>
            <w:tcBorders>
              <w:left w:val="single" w:sz="8" w:color="2360A6"/>
              <w:bottom w:val="single" w:sz="8" w:color="2360A6"/>
              <w:right w:val="single" w:sz="8" w:color="2360A6"/>
            </w:tcBorders>
            <w:shd w:val="clear" w:color="auto" w:fill="CCD1E7"/>
          </w:tcPr>
          <w:p>
            <w:pPr>
              <w:ind w:left="20"/>
              <w:spacing w:after="0"/>
              <w:rPr>
                <w:sz w:val="20"/>
                <w:szCs w:val="20"/>
                <w:color w:val="auto"/>
              </w:rPr>
            </w:pPr>
            <w:r>
              <w:rPr>
                <w:rFonts w:ascii="Arial" w:cs="Arial" w:eastAsia="Arial" w:hAnsi="Arial"/>
                <w:sz w:val="14"/>
                <w:szCs w:val="14"/>
                <w:b w:val="1"/>
                <w:bCs w:val="1"/>
                <w:color w:val="2360A6"/>
              </w:rPr>
              <w:t>LIABILITIES</w:t>
            </w:r>
          </w:p>
        </w:tc>
        <w:tc>
          <w:tcPr>
            <w:tcW w:w="740" w:type="dxa"/>
            <w:vAlign w:val="bottom"/>
            <w:tcBorders>
              <w:bottom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0046AD"/>
              </w:rPr>
              <w:t>—</w:t>
            </w:r>
          </w:p>
        </w:tc>
        <w:tc>
          <w:tcPr>
            <w:tcW w:w="140" w:type="dxa"/>
            <w:vAlign w:val="bottom"/>
            <w:tcBorders>
              <w:bottom w:val="single" w:sz="8" w:color="2360A6"/>
              <w:right w:val="single" w:sz="8" w:color="2360A6"/>
            </w:tcBorders>
            <w:shd w:val="clear" w:color="auto" w:fill="CCD1E7"/>
          </w:tcPr>
          <w:p>
            <w:pPr>
              <w:spacing w:after="0"/>
              <w:rPr>
                <w:sz w:val="18"/>
                <w:szCs w:val="18"/>
                <w:color w:val="auto"/>
              </w:rPr>
            </w:pPr>
          </w:p>
        </w:tc>
        <w:tc>
          <w:tcPr>
            <w:tcW w:w="840" w:type="dxa"/>
            <w:vAlign w:val="bottom"/>
            <w:tcBorders>
              <w:bottom w:val="single" w:sz="8" w:color="2360A6"/>
              <w:right w:val="single" w:sz="8" w:color="2360A6"/>
            </w:tcBorders>
            <w:shd w:val="clear" w:color="auto" w:fill="CCD1E7"/>
          </w:tcPr>
          <w:p>
            <w:pPr>
              <w:jc w:val="right"/>
              <w:ind w:right="48"/>
              <w:spacing w:after="0"/>
              <w:rPr>
                <w:sz w:val="20"/>
                <w:szCs w:val="20"/>
                <w:color w:val="auto"/>
              </w:rPr>
            </w:pPr>
            <w:r>
              <w:rPr>
                <w:rFonts w:ascii="Arial" w:cs="Arial" w:eastAsia="Arial" w:hAnsi="Arial"/>
                <w:sz w:val="14"/>
                <w:szCs w:val="14"/>
                <w:b w:val="1"/>
                <w:bCs w:val="1"/>
                <w:color w:val="0046AD"/>
              </w:rPr>
              <w:t>389.6</w:t>
            </w:r>
          </w:p>
        </w:tc>
        <w:tc>
          <w:tcPr>
            <w:tcW w:w="840" w:type="dxa"/>
            <w:vAlign w:val="bottom"/>
            <w:tcBorders>
              <w:bottom w:val="single" w:sz="8" w:color="2360A6"/>
              <w:right w:val="single" w:sz="8" w:color="2360A6"/>
            </w:tcBorders>
            <w:shd w:val="clear" w:color="auto" w:fill="CCD1E7"/>
          </w:tcPr>
          <w:p>
            <w:pPr>
              <w:ind w:left="580"/>
              <w:spacing w:after="0"/>
              <w:rPr>
                <w:sz w:val="20"/>
                <w:szCs w:val="20"/>
                <w:color w:val="auto"/>
              </w:rPr>
            </w:pPr>
            <w:r>
              <w:rPr>
                <w:rFonts w:ascii="Arial" w:cs="Arial" w:eastAsia="Arial" w:hAnsi="Arial"/>
                <w:sz w:val="14"/>
                <w:szCs w:val="14"/>
                <w:b w:val="1"/>
                <w:bCs w:val="1"/>
                <w:color w:val="0046AD"/>
              </w:rPr>
              <w:t>—</w:t>
            </w:r>
          </w:p>
        </w:tc>
        <w:tc>
          <w:tcPr>
            <w:tcW w:w="720" w:type="dxa"/>
            <w:vAlign w:val="bottom"/>
            <w:tcBorders>
              <w:bottom w:val="single" w:sz="8" w:color="2360A6"/>
              <w:right w:val="single" w:sz="8" w:color="2360A6"/>
            </w:tcBorders>
            <w:shd w:val="clear" w:color="auto" w:fill="CCD1E7"/>
          </w:tcPr>
          <w:p>
            <w:pPr>
              <w:jc w:val="right"/>
              <w:ind w:right="48"/>
              <w:spacing w:after="0"/>
              <w:rPr>
                <w:sz w:val="20"/>
                <w:szCs w:val="20"/>
                <w:color w:val="auto"/>
              </w:rPr>
            </w:pPr>
            <w:r>
              <w:rPr>
                <w:rFonts w:ascii="Arial" w:cs="Arial" w:eastAsia="Arial" w:hAnsi="Arial"/>
                <w:sz w:val="14"/>
                <w:szCs w:val="14"/>
                <w:b w:val="1"/>
                <w:bCs w:val="1"/>
                <w:color w:val="0046AD"/>
              </w:rPr>
              <w:t>389.6</w:t>
            </w:r>
          </w:p>
        </w:tc>
      </w:tr>
      <w:tr>
        <w:trPr>
          <w:trHeight w:val="135"/>
        </w:trPr>
        <w:tc>
          <w:tcPr>
            <w:tcW w:w="7340" w:type="dxa"/>
            <w:vAlign w:val="bottom"/>
            <w:tcBorders>
              <w:bottom w:val="single" w:sz="8" w:color="2360A6"/>
            </w:tcBorders>
          </w:tcPr>
          <w:p>
            <w:pPr>
              <w:spacing w:after="0"/>
              <w:rPr>
                <w:sz w:val="11"/>
                <w:szCs w:val="11"/>
                <w:color w:val="auto"/>
              </w:rPr>
            </w:pPr>
          </w:p>
        </w:tc>
        <w:tc>
          <w:tcPr>
            <w:tcW w:w="740" w:type="dxa"/>
            <w:vAlign w:val="bottom"/>
            <w:tcBorders>
              <w:bottom w:val="single" w:sz="8" w:color="2360A6"/>
            </w:tcBorders>
          </w:tcPr>
          <w:p>
            <w:pPr>
              <w:spacing w:after="0"/>
              <w:rPr>
                <w:sz w:val="11"/>
                <w:szCs w:val="11"/>
                <w:color w:val="auto"/>
              </w:rPr>
            </w:pPr>
          </w:p>
        </w:tc>
        <w:tc>
          <w:tcPr>
            <w:tcW w:w="1820" w:type="dxa"/>
            <w:vAlign w:val="bottom"/>
            <w:tcBorders>
              <w:bottom w:val="single" w:sz="8" w:color="2360A6"/>
            </w:tcBorders>
            <w:gridSpan w:val="3"/>
          </w:tcPr>
          <w:p>
            <w:pPr>
              <w:spacing w:after="0"/>
              <w:rPr>
                <w:sz w:val="11"/>
                <w:szCs w:val="11"/>
                <w:color w:val="auto"/>
              </w:rPr>
            </w:pPr>
          </w:p>
        </w:tc>
        <w:tc>
          <w:tcPr>
            <w:tcW w:w="720" w:type="dxa"/>
            <w:vAlign w:val="bottom"/>
            <w:tcBorders>
              <w:bottom w:val="single" w:sz="8" w:color="2360A6"/>
            </w:tcBorders>
          </w:tcPr>
          <w:p>
            <w:pPr>
              <w:spacing w:after="0"/>
              <w:rPr>
                <w:sz w:val="11"/>
                <w:szCs w:val="11"/>
                <w:color w:val="auto"/>
              </w:rPr>
            </w:pPr>
          </w:p>
        </w:tc>
      </w:tr>
      <w:tr>
        <w:trPr>
          <w:trHeight w:val="204"/>
        </w:trPr>
        <w:tc>
          <w:tcPr>
            <w:tcW w:w="7340" w:type="dxa"/>
            <w:vAlign w:val="bottom"/>
            <w:tcBorders>
              <w:left w:val="single" w:sz="8" w:color="2360A6"/>
              <w:right w:val="single" w:sz="8" w:color="2360A6"/>
            </w:tcBorders>
          </w:tcPr>
          <w:p>
            <w:pPr>
              <w:spacing w:after="0"/>
              <w:rPr>
                <w:sz w:val="17"/>
                <w:szCs w:val="17"/>
                <w:color w:val="auto"/>
              </w:rPr>
            </w:pPr>
          </w:p>
        </w:tc>
        <w:tc>
          <w:tcPr>
            <w:tcW w:w="740" w:type="dxa"/>
            <w:vAlign w:val="bottom"/>
            <w:tcBorders>
              <w:bottom w:val="single" w:sz="8" w:color="2360A6"/>
            </w:tcBorders>
          </w:tcPr>
          <w:p>
            <w:pPr>
              <w:spacing w:after="0"/>
              <w:rPr>
                <w:sz w:val="17"/>
                <w:szCs w:val="17"/>
                <w:color w:val="auto"/>
              </w:rPr>
            </w:pPr>
          </w:p>
        </w:tc>
        <w:tc>
          <w:tcPr>
            <w:tcW w:w="1820" w:type="dxa"/>
            <w:vAlign w:val="bottom"/>
            <w:tcBorders>
              <w:bottom w:val="single" w:sz="8" w:color="2360A6"/>
            </w:tcBorders>
            <w:gridSpan w:val="3"/>
          </w:tcPr>
          <w:p>
            <w:pPr>
              <w:ind w:left="60"/>
              <w:spacing w:after="0"/>
              <w:rPr>
                <w:sz w:val="20"/>
                <w:szCs w:val="20"/>
                <w:color w:val="auto"/>
              </w:rPr>
            </w:pPr>
            <w:r>
              <w:rPr>
                <w:rFonts w:ascii="Arial" w:cs="Arial" w:eastAsia="Arial" w:hAnsi="Arial"/>
                <w:sz w:val="14"/>
                <w:szCs w:val="14"/>
                <w:b w:val="1"/>
                <w:bCs w:val="1"/>
                <w:color w:val="2360A6"/>
              </w:rPr>
              <w:t>As of December 31, 2015</w:t>
            </w:r>
          </w:p>
        </w:tc>
        <w:tc>
          <w:tcPr>
            <w:tcW w:w="720" w:type="dxa"/>
            <w:vAlign w:val="bottom"/>
            <w:tcBorders>
              <w:bottom w:val="single" w:sz="8" w:color="2360A6"/>
              <w:right w:val="single" w:sz="8" w:color="2360A6"/>
            </w:tcBorders>
          </w:tcPr>
          <w:p>
            <w:pPr>
              <w:spacing w:after="0"/>
              <w:rPr>
                <w:sz w:val="17"/>
                <w:szCs w:val="17"/>
                <w:color w:val="auto"/>
              </w:rPr>
            </w:pP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740" w:type="dxa"/>
            <w:vAlign w:val="bottom"/>
            <w:tcBorders>
              <w:bottom w:val="single" w:sz="8" w:color="2360A6"/>
            </w:tcBorders>
          </w:tcPr>
          <w:p>
            <w:pPr>
              <w:jc w:val="right"/>
              <w:ind w:right="168"/>
              <w:spacing w:after="0"/>
              <w:rPr>
                <w:sz w:val="20"/>
                <w:szCs w:val="20"/>
                <w:color w:val="auto"/>
              </w:rPr>
            </w:pPr>
            <w:r>
              <w:rPr>
                <w:rFonts w:ascii="Arial" w:cs="Arial" w:eastAsia="Arial" w:hAnsi="Arial"/>
                <w:sz w:val="14"/>
                <w:szCs w:val="14"/>
                <w:b w:val="1"/>
                <w:bCs w:val="1"/>
                <w:color w:val="2360A6"/>
              </w:rPr>
              <w:t>Level 1</w:t>
            </w:r>
          </w:p>
        </w:tc>
        <w:tc>
          <w:tcPr>
            <w:tcW w:w="140" w:type="dxa"/>
            <w:vAlign w:val="bottom"/>
            <w:tcBorders>
              <w:bottom w:val="single" w:sz="8" w:color="2360A6"/>
              <w:right w:val="single" w:sz="8" w:color="2360A6"/>
            </w:tcBorders>
          </w:tcPr>
          <w:p>
            <w:pPr>
              <w:spacing w:after="0"/>
              <w:rPr>
                <w:sz w:val="18"/>
                <w:szCs w:val="18"/>
                <w:color w:val="auto"/>
              </w:rPr>
            </w:pPr>
          </w:p>
        </w:tc>
        <w:tc>
          <w:tcPr>
            <w:tcW w:w="840" w:type="dxa"/>
            <w:vAlign w:val="bottom"/>
            <w:tcBorders>
              <w:bottom w:val="single" w:sz="8" w:color="2360A6"/>
              <w:right w:val="single" w:sz="8" w:color="2360A6"/>
            </w:tcBorders>
          </w:tcPr>
          <w:p>
            <w:pPr>
              <w:jc w:val="right"/>
              <w:ind w:right="268"/>
              <w:spacing w:after="0"/>
              <w:rPr>
                <w:sz w:val="20"/>
                <w:szCs w:val="20"/>
                <w:color w:val="auto"/>
              </w:rPr>
            </w:pPr>
            <w:r>
              <w:rPr>
                <w:rFonts w:ascii="Arial" w:cs="Arial" w:eastAsia="Arial" w:hAnsi="Arial"/>
                <w:sz w:val="14"/>
                <w:szCs w:val="14"/>
                <w:b w:val="1"/>
                <w:bCs w:val="1"/>
                <w:color w:val="2360A6"/>
              </w:rPr>
              <w:t>Level 2</w:t>
            </w:r>
          </w:p>
        </w:tc>
        <w:tc>
          <w:tcPr>
            <w:tcW w:w="84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Level 3</w:t>
            </w:r>
          </w:p>
        </w:tc>
        <w:tc>
          <w:tcPr>
            <w:tcW w:w="720" w:type="dxa"/>
            <w:vAlign w:val="bottom"/>
            <w:tcBorders>
              <w:bottom w:val="single" w:sz="8" w:color="2360A6"/>
              <w:right w:val="single" w:sz="8" w:color="2360A6"/>
            </w:tcBorders>
          </w:tcPr>
          <w:p>
            <w:pPr>
              <w:jc w:val="right"/>
              <w:ind w:right="308"/>
              <w:spacing w:after="0"/>
              <w:rPr>
                <w:sz w:val="20"/>
                <w:szCs w:val="20"/>
                <w:color w:val="auto"/>
              </w:rPr>
            </w:pPr>
            <w:r>
              <w:rPr>
                <w:rFonts w:ascii="Arial" w:cs="Arial" w:eastAsia="Arial" w:hAnsi="Arial"/>
                <w:sz w:val="14"/>
                <w:szCs w:val="14"/>
                <w:b w:val="1"/>
                <w:bCs w:val="1"/>
                <w:color w:val="2360A6"/>
                <w:w w:val="95"/>
              </w:rPr>
              <w:t>Total</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Assets at Fair Value through Profit or Loss</w:t>
            </w:r>
          </w:p>
        </w:tc>
        <w:tc>
          <w:tcPr>
            <w:tcW w:w="7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tcPr>
          <w:p>
            <w:pPr>
              <w:spacing w:after="0"/>
              <w:rPr>
                <w:sz w:val="18"/>
                <w:szCs w:val="18"/>
                <w:color w:val="auto"/>
              </w:rPr>
            </w:pPr>
          </w:p>
        </w:tc>
        <w:tc>
          <w:tcPr>
            <w:tcW w:w="8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6.5</w:t>
            </w:r>
          </w:p>
        </w:tc>
        <w:tc>
          <w:tcPr>
            <w:tcW w:w="840" w:type="dxa"/>
            <w:vAlign w:val="bottom"/>
            <w:tcBorders>
              <w:bottom w:val="single" w:sz="8" w:color="2360A6"/>
              <w:right w:val="single" w:sz="8" w:color="2360A6"/>
            </w:tcBorders>
          </w:tcPr>
          <w:p>
            <w:pPr>
              <w:ind w:left="580"/>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6.5</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Instruments</w:t>
            </w:r>
          </w:p>
        </w:tc>
        <w:tc>
          <w:tcPr>
            <w:tcW w:w="7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tcPr>
          <w:p>
            <w:pPr>
              <w:spacing w:after="0"/>
              <w:rPr>
                <w:sz w:val="18"/>
                <w:szCs w:val="18"/>
                <w:color w:val="auto"/>
              </w:rPr>
            </w:pPr>
          </w:p>
        </w:tc>
        <w:tc>
          <w:tcPr>
            <w:tcW w:w="8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47.1</w:t>
            </w:r>
          </w:p>
        </w:tc>
        <w:tc>
          <w:tcPr>
            <w:tcW w:w="840" w:type="dxa"/>
            <w:vAlign w:val="bottom"/>
            <w:tcBorders>
              <w:bottom w:val="single" w:sz="8" w:color="2360A6"/>
              <w:right w:val="single" w:sz="8" w:color="2360A6"/>
            </w:tcBorders>
          </w:tcPr>
          <w:p>
            <w:pPr>
              <w:ind w:left="580"/>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47.1</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Available-for-Sale Financial Assets</w:t>
            </w:r>
          </w:p>
        </w:tc>
        <w:tc>
          <w:tcPr>
            <w:tcW w:w="7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29</w:t>
            </w:r>
          </w:p>
        </w:tc>
        <w:tc>
          <w:tcPr>
            <w:tcW w:w="140" w:type="dxa"/>
            <w:vAlign w:val="bottom"/>
            <w:tcBorders>
              <w:bottom w:val="single" w:sz="8" w:color="2360A6"/>
              <w:right w:val="single" w:sz="8" w:color="2360A6"/>
            </w:tcBorders>
          </w:tcPr>
          <w:p>
            <w:pPr>
              <w:spacing w:after="0"/>
              <w:rPr>
                <w:sz w:val="18"/>
                <w:szCs w:val="18"/>
                <w:color w:val="auto"/>
              </w:rPr>
            </w:pPr>
          </w:p>
        </w:tc>
        <w:tc>
          <w:tcPr>
            <w:tcW w:w="8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ind w:left="580"/>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29</w:t>
            </w:r>
          </w:p>
        </w:tc>
      </w:tr>
      <w:tr>
        <w:trPr>
          <w:trHeight w:val="210"/>
        </w:trPr>
        <w:tc>
          <w:tcPr>
            <w:tcW w:w="7340" w:type="dxa"/>
            <w:vAlign w:val="bottom"/>
            <w:tcBorders>
              <w:left w:val="single" w:sz="8" w:color="2360A6"/>
              <w:bottom w:val="single" w:sz="8" w:color="2360A6"/>
              <w:right w:val="single" w:sz="8" w:color="2360A6"/>
            </w:tcBorders>
            <w:shd w:val="clear" w:color="auto" w:fill="CCD1E7"/>
          </w:tcPr>
          <w:p>
            <w:pPr>
              <w:ind w:left="20"/>
              <w:spacing w:after="0"/>
              <w:rPr>
                <w:sz w:val="20"/>
                <w:szCs w:val="20"/>
                <w:color w:val="auto"/>
              </w:rPr>
            </w:pPr>
            <w:r>
              <w:rPr>
                <w:rFonts w:ascii="Arial" w:cs="Arial" w:eastAsia="Arial" w:hAnsi="Arial"/>
                <w:sz w:val="14"/>
                <w:szCs w:val="14"/>
                <w:b w:val="1"/>
                <w:bCs w:val="1"/>
                <w:color w:val="2360A6"/>
              </w:rPr>
              <w:t>ASSETS</w:t>
            </w:r>
          </w:p>
        </w:tc>
        <w:tc>
          <w:tcPr>
            <w:tcW w:w="740" w:type="dxa"/>
            <w:vAlign w:val="bottom"/>
            <w:tcBorders>
              <w:bottom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29</w:t>
            </w:r>
          </w:p>
        </w:tc>
        <w:tc>
          <w:tcPr>
            <w:tcW w:w="140" w:type="dxa"/>
            <w:vAlign w:val="bottom"/>
            <w:tcBorders>
              <w:bottom w:val="single" w:sz="8" w:color="2360A6"/>
              <w:right w:val="single" w:sz="8" w:color="2360A6"/>
            </w:tcBorders>
            <w:shd w:val="clear" w:color="auto" w:fill="CCD1E7"/>
          </w:tcPr>
          <w:p>
            <w:pPr>
              <w:spacing w:after="0"/>
              <w:rPr>
                <w:sz w:val="18"/>
                <w:szCs w:val="18"/>
                <w:color w:val="auto"/>
              </w:rPr>
            </w:pPr>
          </w:p>
        </w:tc>
        <w:tc>
          <w:tcPr>
            <w:tcW w:w="840" w:type="dxa"/>
            <w:vAlign w:val="bottom"/>
            <w:tcBorders>
              <w:bottom w:val="single" w:sz="8" w:color="2360A6"/>
              <w:right w:val="single" w:sz="8" w:color="2360A6"/>
            </w:tcBorders>
            <w:shd w:val="clear" w:color="auto" w:fill="CCD1E7"/>
          </w:tcPr>
          <w:p>
            <w:pPr>
              <w:jc w:val="right"/>
              <w:ind w:right="48"/>
              <w:spacing w:after="0"/>
              <w:rPr>
                <w:sz w:val="20"/>
                <w:szCs w:val="20"/>
                <w:color w:val="auto"/>
              </w:rPr>
            </w:pPr>
            <w:r>
              <w:rPr>
                <w:rFonts w:ascii="Arial" w:cs="Arial" w:eastAsia="Arial" w:hAnsi="Arial"/>
                <w:sz w:val="14"/>
                <w:szCs w:val="14"/>
                <w:b w:val="1"/>
                <w:bCs w:val="1"/>
                <w:color w:val="2360A6"/>
              </w:rPr>
              <w:t>53.6</w:t>
            </w:r>
          </w:p>
        </w:tc>
        <w:tc>
          <w:tcPr>
            <w:tcW w:w="840" w:type="dxa"/>
            <w:vAlign w:val="bottom"/>
            <w:tcBorders>
              <w:bottom w:val="single" w:sz="8" w:color="2360A6"/>
              <w:right w:val="single" w:sz="8" w:color="2360A6"/>
            </w:tcBorders>
            <w:shd w:val="clear" w:color="auto" w:fill="CCD1E7"/>
          </w:tcPr>
          <w:p>
            <w:pPr>
              <w:ind w:left="580"/>
              <w:spacing w:after="0"/>
              <w:rPr>
                <w:sz w:val="20"/>
                <w:szCs w:val="20"/>
                <w:color w:val="auto"/>
              </w:rPr>
            </w:pPr>
            <w:r>
              <w:rPr>
                <w:rFonts w:ascii="Arial" w:cs="Arial" w:eastAsia="Arial" w:hAnsi="Arial"/>
                <w:sz w:val="14"/>
                <w:szCs w:val="14"/>
                <w:b w:val="1"/>
                <w:bCs w:val="1"/>
                <w:color w:val="2360A6"/>
              </w:rPr>
              <w:t>—</w:t>
            </w:r>
          </w:p>
        </w:tc>
        <w:tc>
          <w:tcPr>
            <w:tcW w:w="720" w:type="dxa"/>
            <w:vAlign w:val="bottom"/>
            <w:tcBorders>
              <w:bottom w:val="single" w:sz="8" w:color="2360A6"/>
              <w:right w:val="single" w:sz="8" w:color="2360A6"/>
            </w:tcBorders>
            <w:shd w:val="clear" w:color="auto" w:fill="CCD1E7"/>
          </w:tcPr>
          <w:p>
            <w:pPr>
              <w:jc w:val="right"/>
              <w:ind w:right="48"/>
              <w:spacing w:after="0"/>
              <w:rPr>
                <w:sz w:val="20"/>
                <w:szCs w:val="20"/>
                <w:color w:val="auto"/>
              </w:rPr>
            </w:pPr>
            <w:r>
              <w:rPr>
                <w:rFonts w:ascii="Arial" w:cs="Arial" w:eastAsia="Arial" w:hAnsi="Arial"/>
                <w:sz w:val="14"/>
                <w:szCs w:val="14"/>
                <w:b w:val="1"/>
                <w:bCs w:val="1"/>
                <w:color w:val="2360A6"/>
              </w:rPr>
              <w:t>82.6</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Liabilities at Fair Value through Profit or Loss</w:t>
            </w:r>
          </w:p>
        </w:tc>
        <w:tc>
          <w:tcPr>
            <w:tcW w:w="7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tcPr>
          <w:p>
            <w:pPr>
              <w:spacing w:after="0"/>
              <w:rPr>
                <w:sz w:val="18"/>
                <w:szCs w:val="18"/>
                <w:color w:val="auto"/>
              </w:rPr>
            </w:pPr>
          </w:p>
        </w:tc>
        <w:tc>
          <w:tcPr>
            <w:tcW w:w="8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ind w:left="580"/>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Derivative Instruments</w:t>
            </w:r>
          </w:p>
        </w:tc>
        <w:tc>
          <w:tcPr>
            <w:tcW w:w="7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tcPr>
          <w:p>
            <w:pPr>
              <w:spacing w:after="0"/>
              <w:rPr>
                <w:sz w:val="18"/>
                <w:szCs w:val="18"/>
                <w:color w:val="auto"/>
              </w:rPr>
            </w:pPr>
          </w:p>
        </w:tc>
        <w:tc>
          <w:tcPr>
            <w:tcW w:w="8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334.4</w:t>
            </w:r>
          </w:p>
        </w:tc>
        <w:tc>
          <w:tcPr>
            <w:tcW w:w="840" w:type="dxa"/>
            <w:vAlign w:val="bottom"/>
            <w:tcBorders>
              <w:bottom w:val="single" w:sz="8" w:color="2360A6"/>
              <w:right w:val="single" w:sz="8" w:color="2360A6"/>
            </w:tcBorders>
          </w:tcPr>
          <w:p>
            <w:pPr>
              <w:ind w:left="580"/>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334.4</w:t>
            </w:r>
          </w:p>
        </w:tc>
      </w:tr>
      <w:tr>
        <w:trPr>
          <w:trHeight w:val="210"/>
        </w:trPr>
        <w:tc>
          <w:tcPr>
            <w:tcW w:w="7340" w:type="dxa"/>
            <w:vAlign w:val="bottom"/>
            <w:tcBorders>
              <w:left w:val="single" w:sz="8" w:color="2360A6"/>
              <w:bottom w:val="single" w:sz="8" w:color="2360A6"/>
              <w:right w:val="single" w:sz="8" w:color="2360A6"/>
            </w:tcBorders>
            <w:shd w:val="clear" w:color="auto" w:fill="CCD1E7"/>
          </w:tcPr>
          <w:p>
            <w:pPr>
              <w:ind w:left="20"/>
              <w:spacing w:after="0"/>
              <w:rPr>
                <w:sz w:val="20"/>
                <w:szCs w:val="20"/>
                <w:color w:val="auto"/>
              </w:rPr>
            </w:pPr>
            <w:r>
              <w:rPr>
                <w:rFonts w:ascii="Arial" w:cs="Arial" w:eastAsia="Arial" w:hAnsi="Arial"/>
                <w:sz w:val="14"/>
                <w:szCs w:val="14"/>
                <w:b w:val="1"/>
                <w:bCs w:val="1"/>
                <w:color w:val="2360A6"/>
              </w:rPr>
              <w:t>LIABILITIES</w:t>
            </w:r>
          </w:p>
        </w:tc>
        <w:tc>
          <w:tcPr>
            <w:tcW w:w="740" w:type="dxa"/>
            <w:vAlign w:val="bottom"/>
            <w:tcBorders>
              <w:bottom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w:t>
            </w:r>
          </w:p>
        </w:tc>
        <w:tc>
          <w:tcPr>
            <w:tcW w:w="140" w:type="dxa"/>
            <w:vAlign w:val="bottom"/>
            <w:tcBorders>
              <w:bottom w:val="single" w:sz="8" w:color="2360A6"/>
              <w:right w:val="single" w:sz="8" w:color="2360A6"/>
            </w:tcBorders>
            <w:shd w:val="clear" w:color="auto" w:fill="CCD1E7"/>
          </w:tcPr>
          <w:p>
            <w:pPr>
              <w:spacing w:after="0"/>
              <w:rPr>
                <w:sz w:val="18"/>
                <w:szCs w:val="18"/>
                <w:color w:val="auto"/>
              </w:rPr>
            </w:pPr>
          </w:p>
        </w:tc>
        <w:tc>
          <w:tcPr>
            <w:tcW w:w="840" w:type="dxa"/>
            <w:vAlign w:val="bottom"/>
            <w:tcBorders>
              <w:bottom w:val="single" w:sz="8" w:color="2360A6"/>
              <w:right w:val="single" w:sz="8" w:color="2360A6"/>
            </w:tcBorders>
            <w:shd w:val="clear" w:color="auto" w:fill="CCD1E7"/>
          </w:tcPr>
          <w:p>
            <w:pPr>
              <w:jc w:val="right"/>
              <w:ind w:right="48"/>
              <w:spacing w:after="0"/>
              <w:rPr>
                <w:sz w:val="20"/>
                <w:szCs w:val="20"/>
                <w:color w:val="auto"/>
              </w:rPr>
            </w:pPr>
            <w:r>
              <w:rPr>
                <w:rFonts w:ascii="Arial" w:cs="Arial" w:eastAsia="Arial" w:hAnsi="Arial"/>
                <w:sz w:val="14"/>
                <w:szCs w:val="14"/>
                <w:b w:val="1"/>
                <w:bCs w:val="1"/>
                <w:color w:val="2360A6"/>
              </w:rPr>
              <w:t>334.4</w:t>
            </w:r>
          </w:p>
        </w:tc>
        <w:tc>
          <w:tcPr>
            <w:tcW w:w="840" w:type="dxa"/>
            <w:vAlign w:val="bottom"/>
            <w:tcBorders>
              <w:bottom w:val="single" w:sz="8" w:color="2360A6"/>
              <w:right w:val="single" w:sz="8" w:color="2360A6"/>
            </w:tcBorders>
            <w:shd w:val="clear" w:color="auto" w:fill="CCD1E7"/>
          </w:tcPr>
          <w:p>
            <w:pPr>
              <w:ind w:left="580"/>
              <w:spacing w:after="0"/>
              <w:rPr>
                <w:sz w:val="20"/>
                <w:szCs w:val="20"/>
                <w:color w:val="auto"/>
              </w:rPr>
            </w:pPr>
            <w:r>
              <w:rPr>
                <w:rFonts w:ascii="Arial" w:cs="Arial" w:eastAsia="Arial" w:hAnsi="Arial"/>
                <w:sz w:val="14"/>
                <w:szCs w:val="14"/>
                <w:b w:val="1"/>
                <w:bCs w:val="1"/>
                <w:color w:val="2360A6"/>
              </w:rPr>
              <w:t>—</w:t>
            </w:r>
          </w:p>
        </w:tc>
        <w:tc>
          <w:tcPr>
            <w:tcW w:w="720" w:type="dxa"/>
            <w:vAlign w:val="bottom"/>
            <w:tcBorders>
              <w:bottom w:val="single" w:sz="8" w:color="2360A6"/>
              <w:right w:val="single" w:sz="8" w:color="2360A6"/>
            </w:tcBorders>
            <w:shd w:val="clear" w:color="auto" w:fill="CCD1E7"/>
          </w:tcPr>
          <w:p>
            <w:pPr>
              <w:jc w:val="right"/>
              <w:ind w:right="48"/>
              <w:spacing w:after="0"/>
              <w:rPr>
                <w:sz w:val="20"/>
                <w:szCs w:val="20"/>
                <w:color w:val="auto"/>
              </w:rPr>
            </w:pPr>
            <w:r>
              <w:rPr>
                <w:rFonts w:ascii="Arial" w:cs="Arial" w:eastAsia="Arial" w:hAnsi="Arial"/>
                <w:sz w:val="14"/>
                <w:szCs w:val="14"/>
                <w:b w:val="1"/>
                <w:bCs w:val="1"/>
                <w:color w:val="2360A6"/>
              </w:rPr>
              <w:t>334.4</w:t>
            </w:r>
          </w:p>
        </w:tc>
      </w:tr>
    </w:tbl>
    <w:p>
      <w:pPr>
        <w:sectPr>
          <w:pgSz w:w="11900" w:h="16838" w:orient="portrait"/>
          <w:cols w:equalWidth="0" w:num="1">
            <w:col w:w="11060"/>
          </w:cols>
          <w:pgMar w:left="320" w:top="930" w:right="519" w:bottom="1440" w:gutter="0" w:footer="0" w:header="0"/>
        </w:sectPr>
      </w:pPr>
    </w:p>
    <w:bookmarkStart w:id="154" w:name="page155"/>
    <w:bookmarkEnd w:id="154"/>
    <w:p>
      <w:pPr>
        <w:spacing w:after="0" w:line="1" w:lineRule="exact"/>
        <w:rPr>
          <w:sz w:val="20"/>
          <w:szCs w:val="20"/>
          <w:color w:val="auto"/>
        </w:rPr>
      </w:pPr>
    </w:p>
    <w:tbl>
      <w:tblPr>
        <w:tblLayout w:type="fixed"/>
        <w:tblInd w:w="350" w:type="dxa"/>
        <w:tblCellMar>
          <w:top w:w="0" w:type="dxa"/>
          <w:left w:w="0" w:type="dxa"/>
          <w:bottom w:w="0" w:type="dxa"/>
          <w:right w:w="0" w:type="dxa"/>
        </w:tblCellMar>
      </w:tblPr>
      <w:tr>
        <w:trPr>
          <w:trHeight w:val="224"/>
        </w:trPr>
        <w:tc>
          <w:tcPr>
            <w:tcW w:w="7340" w:type="dxa"/>
            <w:vAlign w:val="bottom"/>
            <w:tcBorders>
              <w:top w:val="single" w:sz="8" w:color="2360A6"/>
              <w:left w:val="single" w:sz="8" w:color="2360A6"/>
              <w:right w:val="single" w:sz="8" w:color="2360A6"/>
            </w:tcBorders>
          </w:tcPr>
          <w:p>
            <w:pPr>
              <w:spacing w:after="0"/>
              <w:rPr>
                <w:sz w:val="19"/>
                <w:szCs w:val="19"/>
                <w:color w:val="auto"/>
              </w:rPr>
            </w:pPr>
          </w:p>
        </w:tc>
        <w:tc>
          <w:tcPr>
            <w:tcW w:w="760" w:type="dxa"/>
            <w:vAlign w:val="bottom"/>
            <w:tcBorders>
              <w:top w:val="single" w:sz="8" w:color="2360A6"/>
              <w:bottom w:val="single" w:sz="8" w:color="2360A6"/>
            </w:tcBorders>
          </w:tcPr>
          <w:p>
            <w:pPr>
              <w:spacing w:after="0"/>
              <w:rPr>
                <w:sz w:val="19"/>
                <w:szCs w:val="19"/>
                <w:color w:val="auto"/>
              </w:rPr>
            </w:pPr>
          </w:p>
        </w:tc>
        <w:tc>
          <w:tcPr>
            <w:tcW w:w="1800" w:type="dxa"/>
            <w:vAlign w:val="bottom"/>
            <w:tcBorders>
              <w:top w:val="single" w:sz="8" w:color="2360A6"/>
              <w:bottom w:val="single" w:sz="8" w:color="2360A6"/>
            </w:tcBorders>
            <w:gridSpan w:val="3"/>
          </w:tcPr>
          <w:p>
            <w:pPr>
              <w:ind w:left="40"/>
              <w:spacing w:after="0"/>
              <w:rPr>
                <w:sz w:val="20"/>
                <w:szCs w:val="20"/>
                <w:color w:val="auto"/>
              </w:rPr>
            </w:pPr>
            <w:r>
              <w:rPr>
                <w:rFonts w:ascii="Arial" w:cs="Arial" w:eastAsia="Arial" w:hAnsi="Arial"/>
                <w:sz w:val="14"/>
                <w:szCs w:val="14"/>
                <w:b w:val="1"/>
                <w:bCs w:val="1"/>
                <w:color w:val="2360A6"/>
              </w:rPr>
              <w:t>As of December 31, 2014</w:t>
            </w:r>
          </w:p>
        </w:tc>
        <w:tc>
          <w:tcPr>
            <w:tcW w:w="720" w:type="dxa"/>
            <w:vAlign w:val="bottom"/>
            <w:tcBorders>
              <w:top w:val="single" w:sz="8" w:color="2360A6"/>
              <w:bottom w:val="single" w:sz="8" w:color="2360A6"/>
              <w:right w:val="single" w:sz="8" w:color="2360A6"/>
            </w:tcBorders>
          </w:tcPr>
          <w:p>
            <w:pPr>
              <w:spacing w:after="0"/>
              <w:rPr>
                <w:sz w:val="19"/>
                <w:szCs w:val="19"/>
                <w:color w:val="auto"/>
              </w:rPr>
            </w:pP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760" w:type="dxa"/>
            <w:vAlign w:val="bottom"/>
            <w:tcBorders>
              <w:bottom w:val="single" w:sz="8" w:color="2360A6"/>
            </w:tcBorders>
          </w:tcPr>
          <w:p>
            <w:pPr>
              <w:jc w:val="right"/>
              <w:ind w:right="188"/>
              <w:spacing w:after="0"/>
              <w:rPr>
                <w:sz w:val="20"/>
                <w:szCs w:val="20"/>
                <w:color w:val="auto"/>
              </w:rPr>
            </w:pPr>
            <w:r>
              <w:rPr>
                <w:rFonts w:ascii="Arial" w:cs="Arial" w:eastAsia="Arial" w:hAnsi="Arial"/>
                <w:sz w:val="14"/>
                <w:szCs w:val="14"/>
                <w:b w:val="1"/>
                <w:bCs w:val="1"/>
                <w:color w:val="2360A6"/>
              </w:rPr>
              <w:t>Level 1</w:t>
            </w:r>
          </w:p>
        </w:tc>
        <w:tc>
          <w:tcPr>
            <w:tcW w:w="120" w:type="dxa"/>
            <w:vAlign w:val="bottom"/>
            <w:tcBorders>
              <w:bottom w:val="single" w:sz="8" w:color="2360A6"/>
              <w:right w:val="single" w:sz="8" w:color="2360A6"/>
            </w:tcBorders>
          </w:tcPr>
          <w:p>
            <w:pPr>
              <w:spacing w:after="0"/>
              <w:rPr>
                <w:sz w:val="18"/>
                <w:szCs w:val="18"/>
                <w:color w:val="auto"/>
              </w:rPr>
            </w:pPr>
          </w:p>
        </w:tc>
        <w:tc>
          <w:tcPr>
            <w:tcW w:w="840" w:type="dxa"/>
            <w:vAlign w:val="bottom"/>
            <w:tcBorders>
              <w:bottom w:val="single" w:sz="8" w:color="2360A6"/>
              <w:right w:val="single" w:sz="8" w:color="2360A6"/>
            </w:tcBorders>
          </w:tcPr>
          <w:p>
            <w:pPr>
              <w:jc w:val="right"/>
              <w:ind w:right="268"/>
              <w:spacing w:after="0"/>
              <w:rPr>
                <w:sz w:val="20"/>
                <w:szCs w:val="20"/>
                <w:color w:val="auto"/>
              </w:rPr>
            </w:pPr>
            <w:r>
              <w:rPr>
                <w:rFonts w:ascii="Arial" w:cs="Arial" w:eastAsia="Arial" w:hAnsi="Arial"/>
                <w:sz w:val="14"/>
                <w:szCs w:val="14"/>
                <w:b w:val="1"/>
                <w:bCs w:val="1"/>
                <w:color w:val="2360A6"/>
              </w:rPr>
              <w:t>Level 2</w:t>
            </w:r>
          </w:p>
        </w:tc>
        <w:tc>
          <w:tcPr>
            <w:tcW w:w="84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Level 3</w:t>
            </w:r>
          </w:p>
        </w:tc>
        <w:tc>
          <w:tcPr>
            <w:tcW w:w="720" w:type="dxa"/>
            <w:vAlign w:val="bottom"/>
            <w:tcBorders>
              <w:bottom w:val="single" w:sz="8" w:color="2360A6"/>
              <w:right w:val="single" w:sz="8" w:color="2360A6"/>
            </w:tcBorders>
          </w:tcPr>
          <w:p>
            <w:pPr>
              <w:jc w:val="right"/>
              <w:ind w:right="308"/>
              <w:spacing w:after="0"/>
              <w:rPr>
                <w:sz w:val="20"/>
                <w:szCs w:val="20"/>
                <w:color w:val="auto"/>
              </w:rPr>
            </w:pPr>
            <w:r>
              <w:rPr>
                <w:rFonts w:ascii="Arial" w:cs="Arial" w:eastAsia="Arial" w:hAnsi="Arial"/>
                <w:sz w:val="14"/>
                <w:szCs w:val="14"/>
                <w:b w:val="1"/>
                <w:bCs w:val="1"/>
                <w:color w:val="2360A6"/>
                <w:w w:val="95"/>
              </w:rPr>
              <w:t>Total</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Assets at Fair Value through Profit or Loss</w:t>
            </w:r>
          </w:p>
        </w:tc>
        <w:tc>
          <w:tcPr>
            <w:tcW w:w="7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2360A6"/>
              <w:right w:val="single" w:sz="8" w:color="2360A6"/>
            </w:tcBorders>
          </w:tcPr>
          <w:p>
            <w:pPr>
              <w:spacing w:after="0"/>
              <w:rPr>
                <w:sz w:val="18"/>
                <w:szCs w:val="18"/>
                <w:color w:val="auto"/>
              </w:rPr>
            </w:pPr>
          </w:p>
        </w:tc>
        <w:tc>
          <w:tcPr>
            <w:tcW w:w="8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6.8</w:t>
            </w:r>
          </w:p>
        </w:tc>
        <w:tc>
          <w:tcPr>
            <w:tcW w:w="840" w:type="dxa"/>
            <w:vAlign w:val="bottom"/>
            <w:tcBorders>
              <w:bottom w:val="single" w:sz="8" w:color="2360A6"/>
              <w:right w:val="single" w:sz="8" w:color="2360A6"/>
            </w:tcBorders>
          </w:tcPr>
          <w:p>
            <w:pPr>
              <w:ind w:left="580"/>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6.8</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Instruments</w:t>
            </w:r>
          </w:p>
        </w:tc>
        <w:tc>
          <w:tcPr>
            <w:tcW w:w="7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2360A6"/>
              <w:right w:val="single" w:sz="8" w:color="2360A6"/>
            </w:tcBorders>
          </w:tcPr>
          <w:p>
            <w:pPr>
              <w:spacing w:after="0"/>
              <w:rPr>
                <w:sz w:val="18"/>
                <w:szCs w:val="18"/>
                <w:color w:val="auto"/>
              </w:rPr>
            </w:pPr>
          </w:p>
        </w:tc>
        <w:tc>
          <w:tcPr>
            <w:tcW w:w="8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46.6</w:t>
            </w:r>
          </w:p>
        </w:tc>
        <w:tc>
          <w:tcPr>
            <w:tcW w:w="840" w:type="dxa"/>
            <w:vAlign w:val="bottom"/>
            <w:tcBorders>
              <w:bottom w:val="single" w:sz="8" w:color="2360A6"/>
              <w:right w:val="single" w:sz="8" w:color="2360A6"/>
            </w:tcBorders>
          </w:tcPr>
          <w:p>
            <w:pPr>
              <w:ind w:left="580"/>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46.6</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Available-for-Sale Financial Assets</w:t>
            </w:r>
          </w:p>
        </w:tc>
        <w:tc>
          <w:tcPr>
            <w:tcW w:w="7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57.0</w:t>
            </w:r>
          </w:p>
        </w:tc>
        <w:tc>
          <w:tcPr>
            <w:tcW w:w="120" w:type="dxa"/>
            <w:vAlign w:val="bottom"/>
            <w:tcBorders>
              <w:bottom w:val="single" w:sz="8" w:color="2360A6"/>
              <w:right w:val="single" w:sz="8" w:color="2360A6"/>
            </w:tcBorders>
          </w:tcPr>
          <w:p>
            <w:pPr>
              <w:spacing w:after="0"/>
              <w:rPr>
                <w:sz w:val="18"/>
                <w:szCs w:val="18"/>
                <w:color w:val="auto"/>
              </w:rPr>
            </w:pPr>
          </w:p>
        </w:tc>
        <w:tc>
          <w:tcPr>
            <w:tcW w:w="8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ind w:left="580"/>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57.0</w:t>
            </w:r>
          </w:p>
        </w:tc>
      </w:tr>
      <w:tr>
        <w:trPr>
          <w:trHeight w:val="210"/>
        </w:trPr>
        <w:tc>
          <w:tcPr>
            <w:tcW w:w="7340" w:type="dxa"/>
            <w:vAlign w:val="bottom"/>
            <w:tcBorders>
              <w:left w:val="single" w:sz="8" w:color="2360A6"/>
              <w:bottom w:val="single" w:sz="8" w:color="2360A6"/>
              <w:right w:val="single" w:sz="8" w:color="2360A6"/>
            </w:tcBorders>
            <w:shd w:val="clear" w:color="auto" w:fill="CCD1E7"/>
          </w:tcPr>
          <w:p>
            <w:pPr>
              <w:ind w:left="20"/>
              <w:spacing w:after="0"/>
              <w:rPr>
                <w:sz w:val="20"/>
                <w:szCs w:val="20"/>
                <w:color w:val="auto"/>
              </w:rPr>
            </w:pPr>
            <w:r>
              <w:rPr>
                <w:rFonts w:ascii="Arial" w:cs="Arial" w:eastAsia="Arial" w:hAnsi="Arial"/>
                <w:sz w:val="14"/>
                <w:szCs w:val="14"/>
                <w:b w:val="1"/>
                <w:bCs w:val="1"/>
                <w:color w:val="2360A6"/>
              </w:rPr>
              <w:t>ASSETS</w:t>
            </w:r>
          </w:p>
        </w:tc>
        <w:tc>
          <w:tcPr>
            <w:tcW w:w="760" w:type="dxa"/>
            <w:vAlign w:val="bottom"/>
            <w:tcBorders>
              <w:bottom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57.0</w:t>
            </w:r>
          </w:p>
        </w:tc>
        <w:tc>
          <w:tcPr>
            <w:tcW w:w="120" w:type="dxa"/>
            <w:vAlign w:val="bottom"/>
            <w:tcBorders>
              <w:bottom w:val="single" w:sz="8" w:color="2360A6"/>
              <w:right w:val="single" w:sz="8" w:color="2360A6"/>
            </w:tcBorders>
            <w:shd w:val="clear" w:color="auto" w:fill="CCD1E7"/>
          </w:tcPr>
          <w:p>
            <w:pPr>
              <w:spacing w:after="0"/>
              <w:rPr>
                <w:sz w:val="18"/>
                <w:szCs w:val="18"/>
                <w:color w:val="auto"/>
              </w:rPr>
            </w:pPr>
          </w:p>
        </w:tc>
        <w:tc>
          <w:tcPr>
            <w:tcW w:w="840" w:type="dxa"/>
            <w:vAlign w:val="bottom"/>
            <w:tcBorders>
              <w:bottom w:val="single" w:sz="8" w:color="2360A6"/>
              <w:right w:val="single" w:sz="8" w:color="2360A6"/>
            </w:tcBorders>
            <w:shd w:val="clear" w:color="auto" w:fill="CCD1E7"/>
          </w:tcPr>
          <w:p>
            <w:pPr>
              <w:jc w:val="right"/>
              <w:ind w:right="48"/>
              <w:spacing w:after="0"/>
              <w:rPr>
                <w:sz w:val="20"/>
                <w:szCs w:val="20"/>
                <w:color w:val="auto"/>
              </w:rPr>
            </w:pPr>
            <w:r>
              <w:rPr>
                <w:rFonts w:ascii="Arial" w:cs="Arial" w:eastAsia="Arial" w:hAnsi="Arial"/>
                <w:sz w:val="14"/>
                <w:szCs w:val="14"/>
                <w:b w:val="1"/>
                <w:bCs w:val="1"/>
                <w:color w:val="2360A6"/>
              </w:rPr>
              <w:t>53.4</w:t>
            </w:r>
          </w:p>
        </w:tc>
        <w:tc>
          <w:tcPr>
            <w:tcW w:w="840" w:type="dxa"/>
            <w:vAlign w:val="bottom"/>
            <w:tcBorders>
              <w:bottom w:val="single" w:sz="8" w:color="2360A6"/>
              <w:right w:val="single" w:sz="8" w:color="2360A6"/>
            </w:tcBorders>
            <w:shd w:val="clear" w:color="auto" w:fill="CCD1E7"/>
          </w:tcPr>
          <w:p>
            <w:pPr>
              <w:ind w:left="580"/>
              <w:spacing w:after="0"/>
              <w:rPr>
                <w:sz w:val="20"/>
                <w:szCs w:val="20"/>
                <w:color w:val="auto"/>
              </w:rPr>
            </w:pPr>
            <w:r>
              <w:rPr>
                <w:rFonts w:ascii="Arial" w:cs="Arial" w:eastAsia="Arial" w:hAnsi="Arial"/>
                <w:sz w:val="14"/>
                <w:szCs w:val="14"/>
                <w:b w:val="1"/>
                <w:bCs w:val="1"/>
                <w:color w:val="2360A6"/>
              </w:rPr>
              <w:t>—</w:t>
            </w:r>
          </w:p>
        </w:tc>
        <w:tc>
          <w:tcPr>
            <w:tcW w:w="720" w:type="dxa"/>
            <w:vAlign w:val="bottom"/>
            <w:tcBorders>
              <w:bottom w:val="single" w:sz="8" w:color="2360A6"/>
              <w:right w:val="single" w:sz="8" w:color="2360A6"/>
            </w:tcBorders>
            <w:shd w:val="clear" w:color="auto" w:fill="CCD1E7"/>
          </w:tcPr>
          <w:p>
            <w:pPr>
              <w:jc w:val="right"/>
              <w:ind w:right="48"/>
              <w:spacing w:after="0"/>
              <w:rPr>
                <w:sz w:val="20"/>
                <w:szCs w:val="20"/>
                <w:color w:val="auto"/>
              </w:rPr>
            </w:pPr>
            <w:r>
              <w:rPr>
                <w:rFonts w:ascii="Arial" w:cs="Arial" w:eastAsia="Arial" w:hAnsi="Arial"/>
                <w:sz w:val="14"/>
                <w:szCs w:val="14"/>
                <w:b w:val="1"/>
                <w:bCs w:val="1"/>
                <w:color w:val="2360A6"/>
              </w:rPr>
              <w:t>110.4</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Liabilities at Fair Value through Profit or Loss</w:t>
            </w:r>
          </w:p>
        </w:tc>
        <w:tc>
          <w:tcPr>
            <w:tcW w:w="7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2360A6"/>
              <w:right w:val="single" w:sz="8" w:color="2360A6"/>
            </w:tcBorders>
          </w:tcPr>
          <w:p>
            <w:pPr>
              <w:spacing w:after="0"/>
              <w:rPr>
                <w:sz w:val="18"/>
                <w:szCs w:val="18"/>
                <w:color w:val="auto"/>
              </w:rPr>
            </w:pPr>
          </w:p>
        </w:tc>
        <w:tc>
          <w:tcPr>
            <w:tcW w:w="8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ind w:left="580"/>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73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Derivative Instruments</w:t>
            </w:r>
          </w:p>
        </w:tc>
        <w:tc>
          <w:tcPr>
            <w:tcW w:w="7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2360A6"/>
              <w:right w:val="single" w:sz="8" w:color="2360A6"/>
            </w:tcBorders>
          </w:tcPr>
          <w:p>
            <w:pPr>
              <w:spacing w:after="0"/>
              <w:rPr>
                <w:sz w:val="18"/>
                <w:szCs w:val="18"/>
                <w:color w:val="auto"/>
              </w:rPr>
            </w:pPr>
          </w:p>
        </w:tc>
        <w:tc>
          <w:tcPr>
            <w:tcW w:w="84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300.5</w:t>
            </w:r>
          </w:p>
        </w:tc>
        <w:tc>
          <w:tcPr>
            <w:tcW w:w="840" w:type="dxa"/>
            <w:vAlign w:val="bottom"/>
            <w:tcBorders>
              <w:bottom w:val="single" w:sz="8" w:color="2360A6"/>
              <w:right w:val="single" w:sz="8" w:color="2360A6"/>
            </w:tcBorders>
          </w:tcPr>
          <w:p>
            <w:pPr>
              <w:ind w:left="580"/>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300.5</w:t>
            </w:r>
          </w:p>
        </w:tc>
      </w:tr>
      <w:tr>
        <w:trPr>
          <w:trHeight w:val="210"/>
        </w:trPr>
        <w:tc>
          <w:tcPr>
            <w:tcW w:w="7340" w:type="dxa"/>
            <w:vAlign w:val="bottom"/>
            <w:tcBorders>
              <w:left w:val="single" w:sz="8" w:color="2360A6"/>
              <w:bottom w:val="single" w:sz="8" w:color="2360A6"/>
              <w:right w:val="single" w:sz="8" w:color="2360A6"/>
            </w:tcBorders>
            <w:shd w:val="clear" w:color="auto" w:fill="CCD1E7"/>
          </w:tcPr>
          <w:p>
            <w:pPr>
              <w:ind w:left="20"/>
              <w:spacing w:after="0"/>
              <w:rPr>
                <w:sz w:val="20"/>
                <w:szCs w:val="20"/>
                <w:color w:val="auto"/>
              </w:rPr>
            </w:pPr>
            <w:r>
              <w:rPr>
                <w:rFonts w:ascii="Arial" w:cs="Arial" w:eastAsia="Arial" w:hAnsi="Arial"/>
                <w:sz w:val="14"/>
                <w:szCs w:val="14"/>
                <w:b w:val="1"/>
                <w:bCs w:val="1"/>
                <w:color w:val="2360A6"/>
              </w:rPr>
              <w:t>LIABILITIES</w:t>
            </w:r>
          </w:p>
        </w:tc>
        <w:tc>
          <w:tcPr>
            <w:tcW w:w="760" w:type="dxa"/>
            <w:vAlign w:val="bottom"/>
            <w:tcBorders>
              <w:bottom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w:t>
            </w:r>
          </w:p>
        </w:tc>
        <w:tc>
          <w:tcPr>
            <w:tcW w:w="120" w:type="dxa"/>
            <w:vAlign w:val="bottom"/>
            <w:tcBorders>
              <w:bottom w:val="single" w:sz="8" w:color="2360A6"/>
              <w:right w:val="single" w:sz="8" w:color="2360A6"/>
            </w:tcBorders>
            <w:shd w:val="clear" w:color="auto" w:fill="CCD1E7"/>
          </w:tcPr>
          <w:p>
            <w:pPr>
              <w:spacing w:after="0"/>
              <w:rPr>
                <w:sz w:val="18"/>
                <w:szCs w:val="18"/>
                <w:color w:val="auto"/>
              </w:rPr>
            </w:pPr>
          </w:p>
        </w:tc>
        <w:tc>
          <w:tcPr>
            <w:tcW w:w="840" w:type="dxa"/>
            <w:vAlign w:val="bottom"/>
            <w:tcBorders>
              <w:bottom w:val="single" w:sz="8" w:color="2360A6"/>
              <w:right w:val="single" w:sz="8" w:color="2360A6"/>
            </w:tcBorders>
            <w:shd w:val="clear" w:color="auto" w:fill="CCD1E7"/>
          </w:tcPr>
          <w:p>
            <w:pPr>
              <w:jc w:val="right"/>
              <w:ind w:right="48"/>
              <w:spacing w:after="0"/>
              <w:rPr>
                <w:sz w:val="20"/>
                <w:szCs w:val="20"/>
                <w:color w:val="auto"/>
              </w:rPr>
            </w:pPr>
            <w:r>
              <w:rPr>
                <w:rFonts w:ascii="Arial" w:cs="Arial" w:eastAsia="Arial" w:hAnsi="Arial"/>
                <w:sz w:val="14"/>
                <w:szCs w:val="14"/>
                <w:b w:val="1"/>
                <w:bCs w:val="1"/>
                <w:color w:val="2360A6"/>
              </w:rPr>
              <w:t>300.5</w:t>
            </w:r>
          </w:p>
        </w:tc>
        <w:tc>
          <w:tcPr>
            <w:tcW w:w="840" w:type="dxa"/>
            <w:vAlign w:val="bottom"/>
            <w:tcBorders>
              <w:bottom w:val="single" w:sz="8" w:color="2360A6"/>
              <w:right w:val="single" w:sz="8" w:color="2360A6"/>
            </w:tcBorders>
            <w:shd w:val="clear" w:color="auto" w:fill="CCD1E7"/>
          </w:tcPr>
          <w:p>
            <w:pPr>
              <w:ind w:left="580"/>
              <w:spacing w:after="0"/>
              <w:rPr>
                <w:sz w:val="20"/>
                <w:szCs w:val="20"/>
                <w:color w:val="auto"/>
              </w:rPr>
            </w:pPr>
            <w:r>
              <w:rPr>
                <w:rFonts w:ascii="Arial" w:cs="Arial" w:eastAsia="Arial" w:hAnsi="Arial"/>
                <w:sz w:val="14"/>
                <w:szCs w:val="14"/>
                <w:b w:val="1"/>
                <w:bCs w:val="1"/>
                <w:color w:val="2360A6"/>
              </w:rPr>
              <w:t>—</w:t>
            </w:r>
          </w:p>
        </w:tc>
        <w:tc>
          <w:tcPr>
            <w:tcW w:w="720" w:type="dxa"/>
            <w:vAlign w:val="bottom"/>
            <w:tcBorders>
              <w:bottom w:val="single" w:sz="8" w:color="2360A6"/>
              <w:right w:val="single" w:sz="8" w:color="2360A6"/>
            </w:tcBorders>
            <w:shd w:val="clear" w:color="auto" w:fill="CCD1E7"/>
          </w:tcPr>
          <w:p>
            <w:pPr>
              <w:jc w:val="right"/>
              <w:ind w:right="48"/>
              <w:spacing w:after="0"/>
              <w:rPr>
                <w:sz w:val="20"/>
                <w:szCs w:val="20"/>
                <w:color w:val="auto"/>
              </w:rPr>
            </w:pPr>
            <w:r>
              <w:rPr>
                <w:rFonts w:ascii="Arial" w:cs="Arial" w:eastAsia="Arial" w:hAnsi="Arial"/>
                <w:sz w:val="14"/>
                <w:szCs w:val="14"/>
                <w:b w:val="1"/>
                <w:bCs w:val="1"/>
                <w:color w:val="2360A6"/>
              </w:rPr>
              <w:t>300.5</w:t>
            </w:r>
          </w:p>
        </w:tc>
      </w:tr>
    </w:tbl>
    <w:p>
      <w:pPr>
        <w:spacing w:after="0" w:line="286"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During the financial year 2016, there were no transfer between Level 1 and Level 2 fair value measurements, and no transfers into or out of Level 3 fair value measurements.</w:t>
      </w:r>
    </w:p>
    <w:p>
      <w:pPr>
        <w:spacing w:after="0" w:line="20"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231F20"/>
        </w:rPr>
        <w:t>During the financial year 2015, there were no transfer between Level 1 and Level 2 fair value measurements, and no transfer into or out of Level 3 fair value measurements.</w:t>
      </w:r>
    </w:p>
    <w:p>
      <w:pPr>
        <w:spacing w:after="0" w:line="47"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During the financial year 2014, there were no transfer between Level 1 and Level 2 fair value measurements, and no transfers into or out of Level 3 fair value measurements.</w:t>
      </w:r>
    </w:p>
    <w:p>
      <w:pPr>
        <w:spacing w:after="0" w:line="285"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(B) Gains and Losses by Category of Financial Instruments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231F20"/>
        </w:rPr>
        <w:t>Gains and losses recorded in the income statement by category of financial instruments break down as follows:</w:t>
      </w:r>
    </w:p>
    <w:p>
      <w:pPr>
        <w:spacing w:after="0" w:line="118" w:lineRule="exact"/>
        <w:rPr>
          <w:sz w:val="20"/>
          <w:szCs w:val="20"/>
          <w:color w:val="auto"/>
        </w:rPr>
      </w:pPr>
    </w:p>
    <w:tbl>
      <w:tblPr>
        <w:tblLayout w:type="fixed"/>
        <w:tblInd w:w="270" w:type="dxa"/>
        <w:tblCellMar>
          <w:top w:w="0" w:type="dxa"/>
          <w:left w:w="0" w:type="dxa"/>
          <w:bottom w:w="0" w:type="dxa"/>
          <w:right w:w="0" w:type="dxa"/>
        </w:tblCellMar>
      </w:tblPr>
      <w:tr>
        <w:trPr>
          <w:trHeight w:val="223"/>
        </w:trPr>
        <w:tc>
          <w:tcPr>
            <w:tcW w:w="2920" w:type="dxa"/>
            <w:vAlign w:val="bottom"/>
            <w:tcBorders>
              <w:top w:val="single" w:sz="8" w:color="2360A6"/>
              <w:left w:val="single" w:sz="8" w:color="2360A6"/>
              <w:right w:val="single" w:sz="8" w:color="2360A6"/>
            </w:tcBorders>
          </w:tcPr>
          <w:p>
            <w:pPr>
              <w:spacing w:after="0"/>
              <w:rPr>
                <w:sz w:val="19"/>
                <w:szCs w:val="19"/>
                <w:color w:val="auto"/>
              </w:rPr>
            </w:pPr>
          </w:p>
        </w:tc>
        <w:tc>
          <w:tcPr>
            <w:tcW w:w="88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130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128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300" w:type="dxa"/>
            <w:vAlign w:val="bottom"/>
            <w:tcBorders>
              <w:top w:val="single" w:sz="8" w:color="2360A6"/>
              <w:bottom w:val="single" w:sz="8" w:color="2360A6"/>
            </w:tcBorders>
            <w:shd w:val="clear" w:color="auto" w:fill="2360A6"/>
          </w:tcPr>
          <w:p>
            <w:pPr>
              <w:spacing w:after="0"/>
              <w:rPr>
                <w:sz w:val="19"/>
                <w:szCs w:val="19"/>
                <w:color w:val="auto"/>
              </w:rPr>
            </w:pPr>
          </w:p>
        </w:tc>
        <w:tc>
          <w:tcPr>
            <w:tcW w:w="1000" w:type="dxa"/>
            <w:vAlign w:val="bottom"/>
            <w:tcBorders>
              <w:top w:val="single" w:sz="8" w:color="2360A6"/>
              <w:bottom w:val="single" w:sz="8" w:color="2360A6"/>
              <w:right w:val="single" w:sz="8" w:color="2360A6"/>
            </w:tcBorders>
            <w:shd w:val="clear" w:color="auto" w:fill="2360A6"/>
          </w:tcPr>
          <w:p>
            <w:pPr>
              <w:jc w:val="right"/>
              <w:ind w:right="608"/>
              <w:spacing w:after="0"/>
              <w:rPr>
                <w:sz w:val="20"/>
                <w:szCs w:val="20"/>
                <w:color w:val="auto"/>
              </w:rPr>
            </w:pPr>
            <w:r>
              <w:rPr>
                <w:rFonts w:ascii="Arial" w:cs="Arial" w:eastAsia="Arial" w:hAnsi="Arial"/>
                <w:sz w:val="14"/>
                <w:szCs w:val="14"/>
                <w:b w:val="1"/>
                <w:bCs w:val="1"/>
                <w:color w:val="FFFFFF"/>
                <w:w w:val="96"/>
              </w:rPr>
              <w:t>2016</w:t>
            </w:r>
          </w:p>
        </w:tc>
        <w:tc>
          <w:tcPr>
            <w:tcW w:w="140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170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r>
      <w:tr>
        <w:trPr>
          <w:trHeight w:val="264"/>
        </w:trPr>
        <w:tc>
          <w:tcPr>
            <w:tcW w:w="2920" w:type="dxa"/>
            <w:vAlign w:val="bottom"/>
            <w:tcBorders>
              <w:left w:val="single" w:sz="8" w:color="2360A6"/>
              <w:right w:val="single" w:sz="8" w:color="2360A6"/>
            </w:tcBorders>
          </w:tcPr>
          <w:p>
            <w:pPr>
              <w:spacing w:after="0"/>
              <w:rPr>
                <w:sz w:val="22"/>
                <w:szCs w:val="22"/>
                <w:color w:val="auto"/>
              </w:rPr>
            </w:pPr>
          </w:p>
        </w:tc>
        <w:tc>
          <w:tcPr>
            <w:tcW w:w="880" w:type="dxa"/>
            <w:vAlign w:val="bottom"/>
            <w:tcBorders>
              <w:bottom w:val="single" w:sz="8" w:color="2360A6"/>
              <w:right w:val="single" w:sz="8" w:color="2360A6"/>
            </w:tcBorders>
            <w:shd w:val="clear" w:color="auto" w:fill="DCDDDE"/>
          </w:tcPr>
          <w:p>
            <w:pPr>
              <w:spacing w:after="0"/>
              <w:rPr>
                <w:sz w:val="22"/>
                <w:szCs w:val="22"/>
                <w:color w:val="auto"/>
              </w:rPr>
            </w:pPr>
          </w:p>
        </w:tc>
        <w:tc>
          <w:tcPr>
            <w:tcW w:w="2880" w:type="dxa"/>
            <w:vAlign w:val="bottom"/>
            <w:tcBorders>
              <w:bottom w:val="single" w:sz="8" w:color="2360A6"/>
            </w:tcBorders>
            <w:gridSpan w:val="3"/>
            <w:shd w:val="clear" w:color="auto" w:fill="DCDDDE"/>
          </w:tcPr>
          <w:p>
            <w:pPr>
              <w:ind w:left="980"/>
              <w:spacing w:after="0"/>
              <w:rPr>
                <w:sz w:val="20"/>
                <w:szCs w:val="20"/>
                <w:color w:val="auto"/>
              </w:rPr>
            </w:pPr>
            <w:r>
              <w:rPr>
                <w:rFonts w:ascii="Arial" w:cs="Arial" w:eastAsia="Arial" w:hAnsi="Arial"/>
                <w:sz w:val="14"/>
                <w:szCs w:val="14"/>
                <w:b w:val="1"/>
                <w:bCs w:val="1"/>
                <w:color w:val="2360A6"/>
              </w:rPr>
              <w:t>From Subsequent Valuation</w:t>
            </w:r>
          </w:p>
        </w:tc>
        <w:tc>
          <w:tcPr>
            <w:tcW w:w="1000" w:type="dxa"/>
            <w:vAlign w:val="bottom"/>
            <w:tcBorders>
              <w:bottom w:val="single" w:sz="8" w:color="2360A6"/>
              <w:right w:val="single" w:sz="8" w:color="2360A6"/>
            </w:tcBorders>
            <w:shd w:val="clear" w:color="auto" w:fill="DCDDDE"/>
          </w:tcPr>
          <w:p>
            <w:pPr>
              <w:spacing w:after="0"/>
              <w:rPr>
                <w:sz w:val="22"/>
                <w:szCs w:val="22"/>
                <w:color w:val="auto"/>
              </w:rPr>
            </w:pPr>
          </w:p>
        </w:tc>
        <w:tc>
          <w:tcPr>
            <w:tcW w:w="1400" w:type="dxa"/>
            <w:vAlign w:val="bottom"/>
            <w:tcBorders>
              <w:bottom w:val="single" w:sz="8" w:color="2360A6"/>
              <w:right w:val="single" w:sz="8" w:color="2360A6"/>
            </w:tcBorders>
            <w:shd w:val="clear" w:color="auto" w:fill="DCDDDE"/>
          </w:tcPr>
          <w:p>
            <w:pPr>
              <w:spacing w:after="0"/>
              <w:rPr>
                <w:sz w:val="22"/>
                <w:szCs w:val="22"/>
                <w:color w:val="auto"/>
              </w:rPr>
            </w:pPr>
          </w:p>
        </w:tc>
        <w:tc>
          <w:tcPr>
            <w:tcW w:w="1700" w:type="dxa"/>
            <w:vAlign w:val="bottom"/>
            <w:tcBorders>
              <w:bottom w:val="single" w:sz="8" w:color="2360A6"/>
              <w:right w:val="single" w:sz="8" w:color="2360A6"/>
            </w:tcBorders>
            <w:shd w:val="clear" w:color="auto" w:fill="DCDDDE"/>
          </w:tcPr>
          <w:p>
            <w:pPr>
              <w:spacing w:after="0"/>
              <w:rPr>
                <w:sz w:val="22"/>
                <w:szCs w:val="22"/>
                <w:color w:val="auto"/>
              </w:rPr>
            </w:pPr>
          </w:p>
        </w:tc>
      </w:tr>
      <w:tr>
        <w:trPr>
          <w:trHeight w:val="216"/>
        </w:trPr>
        <w:tc>
          <w:tcPr>
            <w:tcW w:w="2920" w:type="dxa"/>
            <w:vAlign w:val="bottom"/>
            <w:tcBorders>
              <w:left w:val="single" w:sz="8" w:color="2360A6"/>
              <w:right w:val="single" w:sz="8" w:color="2360A6"/>
            </w:tcBorders>
          </w:tcPr>
          <w:p>
            <w:pPr>
              <w:spacing w:after="0"/>
              <w:rPr>
                <w:sz w:val="18"/>
                <w:szCs w:val="18"/>
                <w:color w:val="auto"/>
              </w:rPr>
            </w:pPr>
          </w:p>
        </w:tc>
        <w:tc>
          <w:tcPr>
            <w:tcW w:w="880" w:type="dxa"/>
            <w:vAlign w:val="bottom"/>
            <w:tcBorders>
              <w:right w:val="single" w:sz="8" w:color="2360A6"/>
            </w:tcBorders>
            <w:shd w:val="clear" w:color="auto" w:fill="DCDDDE"/>
          </w:tcPr>
          <w:p>
            <w:pPr>
              <w:spacing w:after="0"/>
              <w:rPr>
                <w:sz w:val="18"/>
                <w:szCs w:val="18"/>
                <w:color w:val="auto"/>
              </w:rPr>
            </w:pPr>
          </w:p>
        </w:tc>
        <w:tc>
          <w:tcPr>
            <w:tcW w:w="1300" w:type="dxa"/>
            <w:vAlign w:val="bottom"/>
            <w:tcBorders>
              <w:right w:val="single" w:sz="8" w:color="2360A6"/>
            </w:tcBorders>
            <w:shd w:val="clear" w:color="auto" w:fill="DCDDDE"/>
          </w:tcPr>
          <w:p>
            <w:pPr>
              <w:spacing w:after="0"/>
              <w:rPr>
                <w:sz w:val="18"/>
                <w:szCs w:val="18"/>
                <w:color w:val="auto"/>
              </w:rPr>
            </w:pPr>
          </w:p>
        </w:tc>
        <w:tc>
          <w:tcPr>
            <w:tcW w:w="1280" w:type="dxa"/>
            <w:vAlign w:val="bottom"/>
            <w:tcBorders>
              <w:right w:val="single" w:sz="8" w:color="2360A6"/>
            </w:tcBorders>
            <w:shd w:val="clear" w:color="auto" w:fill="DCDDDE"/>
          </w:tcPr>
          <w:p>
            <w:pPr>
              <w:spacing w:after="0"/>
              <w:rPr>
                <w:sz w:val="18"/>
                <w:szCs w:val="18"/>
                <w:color w:val="auto"/>
              </w:rPr>
            </w:pPr>
          </w:p>
        </w:tc>
        <w:tc>
          <w:tcPr>
            <w:tcW w:w="300" w:type="dxa"/>
            <w:vAlign w:val="bottom"/>
            <w:shd w:val="clear" w:color="auto" w:fill="DCDDDE"/>
          </w:tcPr>
          <w:p>
            <w:pPr>
              <w:spacing w:after="0"/>
              <w:rPr>
                <w:sz w:val="18"/>
                <w:szCs w:val="18"/>
                <w:color w:val="auto"/>
              </w:rPr>
            </w:pPr>
          </w:p>
        </w:tc>
        <w:tc>
          <w:tcPr>
            <w:tcW w:w="1000" w:type="dxa"/>
            <w:vAlign w:val="bottom"/>
            <w:tcBorders>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Impairment</w:t>
            </w:r>
          </w:p>
        </w:tc>
        <w:tc>
          <w:tcPr>
            <w:tcW w:w="1400" w:type="dxa"/>
            <w:vAlign w:val="bottom"/>
            <w:tcBorders>
              <w:right w:val="single" w:sz="8" w:color="2360A6"/>
            </w:tcBorders>
            <w:shd w:val="clear" w:color="auto" w:fill="DCDDDE"/>
          </w:tcPr>
          <w:p>
            <w:pPr>
              <w:spacing w:after="0"/>
              <w:rPr>
                <w:sz w:val="18"/>
                <w:szCs w:val="18"/>
                <w:color w:val="auto"/>
              </w:rPr>
            </w:pPr>
          </w:p>
        </w:tc>
        <w:tc>
          <w:tcPr>
            <w:tcW w:w="1700" w:type="dxa"/>
            <w:vAlign w:val="bottom"/>
            <w:tcBorders>
              <w:right w:val="single" w:sz="8" w:color="2360A6"/>
            </w:tcBorders>
            <w:shd w:val="clear" w:color="auto" w:fill="DCDDDE"/>
          </w:tcPr>
          <w:p>
            <w:pPr>
              <w:spacing w:after="0"/>
              <w:rPr>
                <w:sz w:val="18"/>
                <w:szCs w:val="18"/>
                <w:color w:val="auto"/>
              </w:rPr>
            </w:pPr>
          </w:p>
        </w:tc>
      </w:tr>
      <w:tr>
        <w:trPr>
          <w:trHeight w:val="162"/>
        </w:trPr>
        <w:tc>
          <w:tcPr>
            <w:tcW w:w="2920" w:type="dxa"/>
            <w:vAlign w:val="bottom"/>
            <w:tcBorders>
              <w:left w:val="single" w:sz="8" w:color="2360A6"/>
              <w:right w:val="single" w:sz="8" w:color="2360A6"/>
            </w:tcBorders>
          </w:tcPr>
          <w:p>
            <w:pPr>
              <w:spacing w:after="0"/>
              <w:rPr>
                <w:sz w:val="14"/>
                <w:szCs w:val="14"/>
                <w:color w:val="auto"/>
              </w:rPr>
            </w:pPr>
          </w:p>
        </w:tc>
        <w:tc>
          <w:tcPr>
            <w:tcW w:w="880" w:type="dxa"/>
            <w:vAlign w:val="bottom"/>
            <w:tcBorders>
              <w:right w:val="single" w:sz="8" w:color="2360A6"/>
            </w:tcBorders>
            <w:shd w:val="clear" w:color="auto" w:fill="DCDDDE"/>
          </w:tcPr>
          <w:p>
            <w:pPr>
              <w:spacing w:after="0"/>
              <w:rPr>
                <w:sz w:val="14"/>
                <w:szCs w:val="14"/>
                <w:color w:val="auto"/>
              </w:rPr>
            </w:pPr>
          </w:p>
        </w:tc>
        <w:tc>
          <w:tcPr>
            <w:tcW w:w="1300" w:type="dxa"/>
            <w:vAlign w:val="bottom"/>
            <w:tcBorders>
              <w:right w:val="single" w:sz="8" w:color="2360A6"/>
            </w:tcBorders>
            <w:shd w:val="clear" w:color="auto" w:fill="DCDDDE"/>
          </w:tcPr>
          <w:p>
            <w:pPr>
              <w:spacing w:after="0"/>
              <w:rPr>
                <w:sz w:val="14"/>
                <w:szCs w:val="14"/>
                <w:color w:val="auto"/>
              </w:rPr>
            </w:pPr>
          </w:p>
        </w:tc>
        <w:tc>
          <w:tcPr>
            <w:tcW w:w="1280" w:type="dxa"/>
            <w:vAlign w:val="bottom"/>
            <w:tcBorders>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b w:val="1"/>
                <w:bCs w:val="1"/>
                <w:color w:val="2360A6"/>
              </w:rPr>
              <w:t>Currency</w:t>
            </w:r>
          </w:p>
        </w:tc>
        <w:tc>
          <w:tcPr>
            <w:tcW w:w="300" w:type="dxa"/>
            <w:vAlign w:val="bottom"/>
            <w:shd w:val="clear" w:color="auto" w:fill="DCDDDE"/>
          </w:tcPr>
          <w:p>
            <w:pPr>
              <w:spacing w:after="0"/>
              <w:rPr>
                <w:sz w:val="14"/>
                <w:szCs w:val="14"/>
                <w:color w:val="auto"/>
              </w:rPr>
            </w:pPr>
          </w:p>
        </w:tc>
        <w:tc>
          <w:tcPr>
            <w:tcW w:w="1000" w:type="dxa"/>
            <w:vAlign w:val="bottom"/>
            <w:tcBorders>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/Reversal of</w:t>
            </w:r>
          </w:p>
        </w:tc>
        <w:tc>
          <w:tcPr>
            <w:tcW w:w="1400" w:type="dxa"/>
            <w:vAlign w:val="bottom"/>
            <w:tcBorders>
              <w:right w:val="single" w:sz="8" w:color="2360A6"/>
            </w:tcBorders>
            <w:shd w:val="clear" w:color="auto" w:fill="DCDDDE"/>
          </w:tcPr>
          <w:p>
            <w:pPr>
              <w:spacing w:after="0"/>
              <w:rPr>
                <w:sz w:val="14"/>
                <w:szCs w:val="14"/>
                <w:color w:val="auto"/>
              </w:rPr>
            </w:pPr>
          </w:p>
        </w:tc>
        <w:tc>
          <w:tcPr>
            <w:tcW w:w="1700" w:type="dxa"/>
            <w:vAlign w:val="bottom"/>
            <w:tcBorders>
              <w:right w:val="single" w:sz="8" w:color="2360A6"/>
            </w:tcBorders>
            <w:shd w:val="clear" w:color="auto" w:fill="DCDDDE"/>
          </w:tcPr>
          <w:p>
            <w:pPr>
              <w:spacing w:after="0"/>
              <w:rPr>
                <w:sz w:val="14"/>
                <w:szCs w:val="14"/>
                <w:color w:val="auto"/>
              </w:rPr>
            </w:pPr>
          </w:p>
        </w:tc>
      </w:tr>
      <w:tr>
        <w:trPr>
          <w:trHeight w:val="196"/>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8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Interest</w:t>
            </w:r>
          </w:p>
        </w:tc>
        <w:tc>
          <w:tcPr>
            <w:tcW w:w="130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At Fair Value</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b w:val="1"/>
                <w:bCs w:val="1"/>
                <w:color w:val="2360A6"/>
              </w:rPr>
              <w:t>Translation</w:t>
            </w:r>
          </w:p>
        </w:tc>
        <w:tc>
          <w:tcPr>
            <w:tcW w:w="300" w:type="dxa"/>
            <w:vAlign w:val="bottom"/>
            <w:tcBorders>
              <w:bottom w:val="single" w:sz="8" w:color="2360A6"/>
            </w:tcBorders>
            <w:shd w:val="clear" w:color="auto" w:fill="DCDDDE"/>
          </w:tcPr>
          <w:p>
            <w:pPr>
              <w:spacing w:after="0"/>
              <w:rPr>
                <w:sz w:val="17"/>
                <w:szCs w:val="17"/>
                <w:color w:val="auto"/>
              </w:rPr>
            </w:pPr>
          </w:p>
        </w:tc>
        <w:tc>
          <w:tcPr>
            <w:tcW w:w="100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Impairment</w:t>
            </w:r>
          </w:p>
        </w:tc>
        <w:tc>
          <w:tcPr>
            <w:tcW w:w="140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b w:val="1"/>
                <w:bCs w:val="1"/>
                <w:color w:val="2360A6"/>
              </w:rPr>
              <w:t>Derecognition</w:t>
            </w:r>
          </w:p>
        </w:tc>
        <w:tc>
          <w:tcPr>
            <w:tcW w:w="170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b w:val="1"/>
                <w:bCs w:val="1"/>
                <w:color w:val="2360A6"/>
              </w:rPr>
              <w:t>Net Gains/ (Losses)</w:t>
            </w:r>
          </w:p>
        </w:tc>
      </w:tr>
      <w:tr>
        <w:trPr>
          <w:trHeight w:val="264"/>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Categories of Financial Instruments</w:t>
            </w:r>
          </w:p>
        </w:tc>
        <w:tc>
          <w:tcPr>
            <w:tcW w:w="880" w:type="dxa"/>
            <w:vAlign w:val="bottom"/>
            <w:tcBorders>
              <w:bottom w:val="single" w:sz="8" w:color="2360A6"/>
              <w:right w:val="single" w:sz="8" w:color="2360A6"/>
            </w:tcBorders>
            <w:shd w:val="clear" w:color="auto" w:fill="DCDDDE"/>
          </w:tcPr>
          <w:p>
            <w:pPr>
              <w:spacing w:after="0"/>
              <w:rPr>
                <w:sz w:val="22"/>
                <w:szCs w:val="22"/>
                <w:color w:val="auto"/>
              </w:rPr>
            </w:pPr>
          </w:p>
        </w:tc>
        <w:tc>
          <w:tcPr>
            <w:tcW w:w="1300" w:type="dxa"/>
            <w:vAlign w:val="bottom"/>
            <w:tcBorders>
              <w:bottom w:val="single" w:sz="8" w:color="2360A6"/>
              <w:right w:val="single" w:sz="8" w:color="2360A6"/>
            </w:tcBorders>
            <w:shd w:val="clear" w:color="auto" w:fill="DCDDDE"/>
          </w:tcPr>
          <w:p>
            <w:pPr>
              <w:spacing w:after="0"/>
              <w:rPr>
                <w:sz w:val="22"/>
                <w:szCs w:val="22"/>
                <w:color w:val="auto"/>
              </w:rPr>
            </w:pPr>
          </w:p>
        </w:tc>
        <w:tc>
          <w:tcPr>
            <w:tcW w:w="1280" w:type="dxa"/>
            <w:vAlign w:val="bottom"/>
            <w:tcBorders>
              <w:bottom w:val="single" w:sz="8" w:color="2360A6"/>
              <w:right w:val="single" w:sz="8" w:color="2360A6"/>
            </w:tcBorders>
            <w:shd w:val="clear" w:color="auto" w:fill="DCDDDE"/>
          </w:tcPr>
          <w:p>
            <w:pPr>
              <w:spacing w:after="0"/>
              <w:rPr>
                <w:sz w:val="22"/>
                <w:szCs w:val="22"/>
                <w:color w:val="auto"/>
              </w:rPr>
            </w:pPr>
          </w:p>
        </w:tc>
        <w:tc>
          <w:tcPr>
            <w:tcW w:w="300" w:type="dxa"/>
            <w:vAlign w:val="bottom"/>
            <w:tcBorders>
              <w:bottom w:val="single" w:sz="8" w:color="2360A6"/>
            </w:tcBorders>
            <w:shd w:val="clear" w:color="auto" w:fill="DCDDDE"/>
          </w:tcPr>
          <w:p>
            <w:pPr>
              <w:spacing w:after="0"/>
              <w:rPr>
                <w:sz w:val="22"/>
                <w:szCs w:val="22"/>
                <w:color w:val="auto"/>
              </w:rPr>
            </w:pPr>
          </w:p>
        </w:tc>
        <w:tc>
          <w:tcPr>
            <w:tcW w:w="1000" w:type="dxa"/>
            <w:vAlign w:val="bottom"/>
            <w:tcBorders>
              <w:bottom w:val="single" w:sz="8" w:color="2360A6"/>
              <w:right w:val="single" w:sz="8" w:color="2360A6"/>
            </w:tcBorders>
            <w:shd w:val="clear" w:color="auto" w:fill="DCDDDE"/>
          </w:tcPr>
          <w:p>
            <w:pPr>
              <w:spacing w:after="0"/>
              <w:rPr>
                <w:sz w:val="22"/>
                <w:szCs w:val="22"/>
                <w:color w:val="auto"/>
              </w:rPr>
            </w:pPr>
          </w:p>
        </w:tc>
        <w:tc>
          <w:tcPr>
            <w:tcW w:w="1400" w:type="dxa"/>
            <w:vAlign w:val="bottom"/>
            <w:tcBorders>
              <w:bottom w:val="single" w:sz="8" w:color="2360A6"/>
              <w:right w:val="single" w:sz="8" w:color="2360A6"/>
            </w:tcBorders>
            <w:shd w:val="clear" w:color="auto" w:fill="DCDDDE"/>
          </w:tcPr>
          <w:p>
            <w:pPr>
              <w:spacing w:after="0"/>
              <w:rPr>
                <w:sz w:val="22"/>
                <w:szCs w:val="22"/>
                <w:color w:val="auto"/>
              </w:rPr>
            </w:pPr>
          </w:p>
        </w:tc>
        <w:tc>
          <w:tcPr>
            <w:tcW w:w="1700" w:type="dxa"/>
            <w:vAlign w:val="bottom"/>
            <w:tcBorders>
              <w:bottom w:val="single" w:sz="8" w:color="2360A6"/>
              <w:right w:val="single" w:sz="8" w:color="2360A6"/>
            </w:tcBorders>
            <w:shd w:val="clear" w:color="auto" w:fill="DCDDDE"/>
          </w:tcPr>
          <w:p>
            <w:pPr>
              <w:spacing w:after="0"/>
              <w:rPr>
                <w:sz w:val="22"/>
                <w:szCs w:val="22"/>
                <w:color w:val="auto"/>
              </w:rPr>
            </w:pPr>
          </w:p>
        </w:tc>
      </w:tr>
      <w:tr>
        <w:trPr>
          <w:trHeight w:val="210"/>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At Fair Value through Profit or Loss</w:t>
            </w:r>
          </w:p>
        </w:tc>
        <w:tc>
          <w:tcPr>
            <w:tcW w:w="8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auto"/>
              </w:rPr>
              <w:t>74.9</w:t>
            </w:r>
          </w:p>
        </w:tc>
        <w:tc>
          <w:tcPr>
            <w:tcW w:w="130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2360A6"/>
            </w:tcBorders>
            <w:shd w:val="clear" w:color="auto" w:fill="DCDDDE"/>
          </w:tcPr>
          <w:p>
            <w:pPr>
              <w:spacing w:after="0"/>
              <w:rPr>
                <w:sz w:val="18"/>
                <w:szCs w:val="18"/>
                <w:color w:val="auto"/>
              </w:rPr>
            </w:pPr>
          </w:p>
        </w:tc>
        <w:tc>
          <w:tcPr>
            <w:tcW w:w="100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74.9</w:t>
            </w:r>
          </w:p>
        </w:tc>
      </w:tr>
      <w:tr>
        <w:trPr>
          <w:trHeight w:val="210"/>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Available-for-Sale Financial Assets</w:t>
            </w:r>
          </w:p>
        </w:tc>
        <w:tc>
          <w:tcPr>
            <w:tcW w:w="8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2360A6"/>
              <w:right w:val="single" w:sz="8" w:color="2360A6"/>
            </w:tcBorders>
            <w:shd w:val="clear" w:color="auto" w:fill="DCDDDE"/>
          </w:tcPr>
          <w:p>
            <w:pPr>
              <w:jc w:val="right"/>
              <w:ind w:right="28"/>
              <w:spacing w:after="0"/>
              <w:rPr>
                <w:sz w:val="20"/>
                <w:szCs w:val="20"/>
                <w:color w:val="auto"/>
              </w:rPr>
            </w:pPr>
            <w:r>
              <w:rPr>
                <w:rFonts w:ascii="Arial" w:cs="Arial" w:eastAsia="Arial" w:hAnsi="Arial"/>
                <w:sz w:val="14"/>
                <w:szCs w:val="14"/>
                <w:color w:val="auto"/>
              </w:rPr>
              <w:t>(2.4)</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2360A6"/>
            </w:tcBorders>
            <w:shd w:val="clear" w:color="auto" w:fill="DCDDDE"/>
          </w:tcPr>
          <w:p>
            <w:pPr>
              <w:spacing w:after="0"/>
              <w:rPr>
                <w:sz w:val="18"/>
                <w:szCs w:val="18"/>
                <w:color w:val="auto"/>
              </w:rPr>
            </w:pPr>
          </w:p>
        </w:tc>
        <w:tc>
          <w:tcPr>
            <w:tcW w:w="100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2360A6"/>
              <w:right w:val="single" w:sz="8" w:color="2360A6"/>
            </w:tcBorders>
            <w:shd w:val="clear" w:color="auto" w:fill="DCDDDE"/>
          </w:tcPr>
          <w:p>
            <w:pPr>
              <w:jc w:val="right"/>
              <w:ind w:right="8"/>
              <w:spacing w:after="0"/>
              <w:rPr>
                <w:sz w:val="20"/>
                <w:szCs w:val="20"/>
                <w:color w:val="auto"/>
              </w:rPr>
            </w:pPr>
            <w:r>
              <w:rPr>
                <w:rFonts w:ascii="Arial" w:cs="Arial" w:eastAsia="Arial" w:hAnsi="Arial"/>
                <w:sz w:val="14"/>
                <w:szCs w:val="14"/>
                <w:color w:val="auto"/>
              </w:rPr>
              <w:t>(2.4)</w:t>
            </w:r>
          </w:p>
        </w:tc>
      </w:tr>
      <w:tr>
        <w:trPr>
          <w:trHeight w:val="210"/>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Liabilities at Amortized Cost</w:t>
            </w:r>
          </w:p>
        </w:tc>
        <w:tc>
          <w:tcPr>
            <w:tcW w:w="8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auto"/>
              </w:rPr>
              <w:t>(108.2)</w:t>
            </w:r>
          </w:p>
        </w:tc>
        <w:tc>
          <w:tcPr>
            <w:tcW w:w="130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2360A6"/>
            </w:tcBorders>
            <w:shd w:val="clear" w:color="auto" w:fill="DCDDDE"/>
          </w:tcPr>
          <w:p>
            <w:pPr>
              <w:spacing w:after="0"/>
              <w:rPr>
                <w:sz w:val="18"/>
                <w:szCs w:val="18"/>
                <w:color w:val="auto"/>
              </w:rPr>
            </w:pPr>
          </w:p>
        </w:tc>
        <w:tc>
          <w:tcPr>
            <w:tcW w:w="100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2360A6"/>
              <w:right w:val="single" w:sz="8" w:color="2360A6"/>
            </w:tcBorders>
            <w:shd w:val="clear" w:color="auto" w:fill="DCDDDE"/>
          </w:tcPr>
          <w:p>
            <w:pPr>
              <w:jc w:val="right"/>
              <w:ind w:right="8"/>
              <w:spacing w:after="0"/>
              <w:rPr>
                <w:sz w:val="20"/>
                <w:szCs w:val="20"/>
                <w:color w:val="auto"/>
              </w:rPr>
            </w:pPr>
            <w:r>
              <w:rPr>
                <w:rFonts w:ascii="Arial" w:cs="Arial" w:eastAsia="Arial" w:hAnsi="Arial"/>
                <w:sz w:val="14"/>
                <w:szCs w:val="14"/>
                <w:color w:val="auto"/>
              </w:rPr>
              <w:t>(108.2)</w:t>
            </w:r>
          </w:p>
        </w:tc>
      </w:tr>
      <w:tr>
        <w:trPr>
          <w:trHeight w:val="210"/>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 Instruments</w:t>
            </w:r>
          </w:p>
        </w:tc>
        <w:tc>
          <w:tcPr>
            <w:tcW w:w="88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auto"/>
              </w:rPr>
              <w:t>29.6</w:t>
            </w:r>
          </w:p>
        </w:tc>
        <w:tc>
          <w:tcPr>
            <w:tcW w:w="128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2360A6"/>
            </w:tcBorders>
            <w:shd w:val="clear" w:color="auto" w:fill="DCDDDE"/>
          </w:tcPr>
          <w:p>
            <w:pPr>
              <w:spacing w:after="0"/>
              <w:rPr>
                <w:sz w:val="18"/>
                <w:szCs w:val="18"/>
                <w:color w:val="auto"/>
              </w:rPr>
            </w:pPr>
          </w:p>
        </w:tc>
        <w:tc>
          <w:tcPr>
            <w:tcW w:w="1000" w:type="dxa"/>
            <w:vAlign w:val="bottom"/>
            <w:tcBorders>
              <w:bottom w:val="single" w:sz="8" w:color="2360A6"/>
              <w:right w:val="single" w:sz="8" w:color="2360A6"/>
            </w:tcBorders>
            <w:shd w:val="clear" w:color="auto" w:fill="DCDDDE"/>
          </w:tcPr>
          <w:p>
            <w:pPr>
              <w:jc w:val="right"/>
              <w:ind w:right="8"/>
              <w:spacing w:after="0"/>
              <w:rPr>
                <w:sz w:val="20"/>
                <w:szCs w:val="20"/>
                <w:color w:val="auto"/>
              </w:rPr>
            </w:pPr>
            <w:r>
              <w:rPr>
                <w:rFonts w:ascii="Arial" w:cs="Arial" w:eastAsia="Arial" w:hAnsi="Arial"/>
                <w:sz w:val="14"/>
                <w:szCs w:val="14"/>
                <w:color w:val="auto"/>
              </w:rPr>
              <w:t>(2.6)</w:t>
            </w:r>
          </w:p>
        </w:tc>
        <w:tc>
          <w:tcPr>
            <w:tcW w:w="140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auto"/>
              </w:rPr>
              <w:t>27.0</w:t>
            </w:r>
          </w:p>
        </w:tc>
      </w:tr>
      <w:tr>
        <w:trPr>
          <w:trHeight w:val="210"/>
        </w:trPr>
        <w:tc>
          <w:tcPr>
            <w:tcW w:w="292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NET GAINS/(LOSSES)</w:t>
            </w:r>
          </w:p>
        </w:tc>
        <w:tc>
          <w:tcPr>
            <w:tcW w:w="880" w:type="dxa"/>
            <w:vAlign w:val="bottom"/>
            <w:tcBorders>
              <w:bottom w:val="single" w:sz="8" w:color="2360A6"/>
              <w:right w:val="single" w:sz="8" w:color="2360A6"/>
            </w:tcBorders>
            <w:shd w:val="clear" w:color="auto" w:fill="D2DEEC"/>
          </w:tcPr>
          <w:p>
            <w:pPr>
              <w:jc w:val="right"/>
              <w:ind w:right="28"/>
              <w:spacing w:after="0"/>
              <w:rPr>
                <w:sz w:val="20"/>
                <w:szCs w:val="20"/>
                <w:color w:val="auto"/>
              </w:rPr>
            </w:pPr>
            <w:r>
              <w:rPr>
                <w:rFonts w:ascii="Arial" w:cs="Arial" w:eastAsia="Arial" w:hAnsi="Arial"/>
                <w:sz w:val="14"/>
                <w:szCs w:val="14"/>
                <w:b w:val="1"/>
                <w:bCs w:val="1"/>
                <w:color w:val="0046AD"/>
              </w:rPr>
              <w:t>(33.3)</w:t>
            </w:r>
          </w:p>
        </w:tc>
        <w:tc>
          <w:tcPr>
            <w:tcW w:w="130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0046AD"/>
              </w:rPr>
              <w:t>27.2</w:t>
            </w:r>
          </w:p>
        </w:tc>
        <w:tc>
          <w:tcPr>
            <w:tcW w:w="12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0046AD"/>
              </w:rPr>
              <w:t>—</w:t>
            </w:r>
          </w:p>
        </w:tc>
        <w:tc>
          <w:tcPr>
            <w:tcW w:w="300" w:type="dxa"/>
            <w:vAlign w:val="bottom"/>
            <w:tcBorders>
              <w:bottom w:val="single" w:sz="8" w:color="2360A6"/>
            </w:tcBorders>
            <w:shd w:val="clear" w:color="auto" w:fill="D2DEEC"/>
          </w:tcPr>
          <w:p>
            <w:pPr>
              <w:spacing w:after="0"/>
              <w:rPr>
                <w:sz w:val="18"/>
                <w:szCs w:val="18"/>
                <w:color w:val="auto"/>
              </w:rPr>
            </w:pPr>
          </w:p>
        </w:tc>
        <w:tc>
          <w:tcPr>
            <w:tcW w:w="1000" w:type="dxa"/>
            <w:vAlign w:val="bottom"/>
            <w:tcBorders>
              <w:bottom w:val="single" w:sz="8" w:color="2360A6"/>
              <w:right w:val="single" w:sz="8" w:color="2360A6"/>
            </w:tcBorders>
            <w:shd w:val="clear" w:color="auto" w:fill="D2DEEC"/>
          </w:tcPr>
          <w:p>
            <w:pPr>
              <w:jc w:val="right"/>
              <w:ind w:right="8"/>
              <w:spacing w:after="0"/>
              <w:rPr>
                <w:sz w:val="20"/>
                <w:szCs w:val="20"/>
                <w:color w:val="auto"/>
              </w:rPr>
            </w:pPr>
            <w:r>
              <w:rPr>
                <w:rFonts w:ascii="Arial" w:cs="Arial" w:eastAsia="Arial" w:hAnsi="Arial"/>
                <w:sz w:val="14"/>
                <w:szCs w:val="14"/>
                <w:b w:val="1"/>
                <w:bCs w:val="1"/>
                <w:color w:val="0046AD"/>
              </w:rPr>
              <w:t>(2.6)</w:t>
            </w:r>
          </w:p>
        </w:tc>
        <w:tc>
          <w:tcPr>
            <w:tcW w:w="140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0046AD"/>
              </w:rPr>
              <w:t>—</w:t>
            </w:r>
          </w:p>
        </w:tc>
        <w:tc>
          <w:tcPr>
            <w:tcW w:w="1700" w:type="dxa"/>
            <w:vAlign w:val="bottom"/>
            <w:tcBorders>
              <w:bottom w:val="single" w:sz="8" w:color="2360A6"/>
              <w:right w:val="single" w:sz="8" w:color="2360A6"/>
            </w:tcBorders>
            <w:shd w:val="clear" w:color="auto" w:fill="D2DEEC"/>
          </w:tcPr>
          <w:p>
            <w:pPr>
              <w:jc w:val="right"/>
              <w:ind w:right="8"/>
              <w:spacing w:after="0"/>
              <w:rPr>
                <w:sz w:val="20"/>
                <w:szCs w:val="20"/>
                <w:color w:val="auto"/>
              </w:rPr>
            </w:pPr>
            <w:r>
              <w:rPr>
                <w:rFonts w:ascii="Arial" w:cs="Arial" w:eastAsia="Arial" w:hAnsi="Arial"/>
                <w:sz w:val="14"/>
                <w:szCs w:val="14"/>
                <w:b w:val="1"/>
                <w:bCs w:val="1"/>
                <w:color w:val="0046AD"/>
              </w:rPr>
              <w:t>(8.7)</w:t>
            </w:r>
          </w:p>
        </w:tc>
      </w:tr>
      <w:tr>
        <w:trPr>
          <w:trHeight w:val="135"/>
        </w:trPr>
        <w:tc>
          <w:tcPr>
            <w:tcW w:w="2920" w:type="dxa"/>
            <w:vAlign w:val="bottom"/>
            <w:tcBorders>
              <w:bottom w:val="single" w:sz="8" w:color="2360A6"/>
            </w:tcBorders>
          </w:tcPr>
          <w:p>
            <w:pPr>
              <w:spacing w:after="0"/>
              <w:rPr>
                <w:sz w:val="11"/>
                <w:szCs w:val="11"/>
                <w:color w:val="auto"/>
              </w:rPr>
            </w:pPr>
          </w:p>
        </w:tc>
        <w:tc>
          <w:tcPr>
            <w:tcW w:w="880" w:type="dxa"/>
            <w:vAlign w:val="bottom"/>
            <w:tcBorders>
              <w:bottom w:val="single" w:sz="8" w:color="2360A6"/>
            </w:tcBorders>
          </w:tcPr>
          <w:p>
            <w:pPr>
              <w:spacing w:after="0"/>
              <w:rPr>
                <w:sz w:val="11"/>
                <w:szCs w:val="11"/>
                <w:color w:val="auto"/>
              </w:rPr>
            </w:pPr>
          </w:p>
        </w:tc>
        <w:tc>
          <w:tcPr>
            <w:tcW w:w="1300" w:type="dxa"/>
            <w:vAlign w:val="bottom"/>
            <w:tcBorders>
              <w:bottom w:val="single" w:sz="8" w:color="2360A6"/>
            </w:tcBorders>
          </w:tcPr>
          <w:p>
            <w:pPr>
              <w:spacing w:after="0"/>
              <w:rPr>
                <w:sz w:val="11"/>
                <w:szCs w:val="11"/>
                <w:color w:val="auto"/>
              </w:rPr>
            </w:pPr>
          </w:p>
        </w:tc>
        <w:tc>
          <w:tcPr>
            <w:tcW w:w="1280" w:type="dxa"/>
            <w:vAlign w:val="bottom"/>
            <w:tcBorders>
              <w:bottom w:val="single" w:sz="8" w:color="2360A6"/>
            </w:tcBorders>
          </w:tcPr>
          <w:p>
            <w:pPr>
              <w:spacing w:after="0"/>
              <w:rPr>
                <w:sz w:val="11"/>
                <w:szCs w:val="11"/>
                <w:color w:val="auto"/>
              </w:rPr>
            </w:pPr>
          </w:p>
        </w:tc>
        <w:tc>
          <w:tcPr>
            <w:tcW w:w="300" w:type="dxa"/>
            <w:vAlign w:val="bottom"/>
            <w:tcBorders>
              <w:bottom w:val="single" w:sz="8" w:color="2360A6"/>
            </w:tcBorders>
          </w:tcPr>
          <w:p>
            <w:pPr>
              <w:spacing w:after="0"/>
              <w:rPr>
                <w:sz w:val="11"/>
                <w:szCs w:val="11"/>
                <w:color w:val="auto"/>
              </w:rPr>
            </w:pPr>
          </w:p>
        </w:tc>
        <w:tc>
          <w:tcPr>
            <w:tcW w:w="1000" w:type="dxa"/>
            <w:vAlign w:val="bottom"/>
            <w:tcBorders>
              <w:bottom w:val="single" w:sz="8" w:color="2360A6"/>
            </w:tcBorders>
          </w:tcPr>
          <w:p>
            <w:pPr>
              <w:spacing w:after="0"/>
              <w:rPr>
                <w:sz w:val="11"/>
                <w:szCs w:val="11"/>
                <w:color w:val="auto"/>
              </w:rPr>
            </w:pPr>
          </w:p>
        </w:tc>
        <w:tc>
          <w:tcPr>
            <w:tcW w:w="1400" w:type="dxa"/>
            <w:vAlign w:val="bottom"/>
            <w:tcBorders>
              <w:bottom w:val="single" w:sz="8" w:color="2360A6"/>
            </w:tcBorders>
          </w:tcPr>
          <w:p>
            <w:pPr>
              <w:spacing w:after="0"/>
              <w:rPr>
                <w:sz w:val="11"/>
                <w:szCs w:val="11"/>
                <w:color w:val="auto"/>
              </w:rPr>
            </w:pPr>
          </w:p>
        </w:tc>
        <w:tc>
          <w:tcPr>
            <w:tcW w:w="1700" w:type="dxa"/>
            <w:vAlign w:val="bottom"/>
            <w:tcBorders>
              <w:bottom w:val="single" w:sz="8" w:color="2360A6"/>
            </w:tcBorders>
          </w:tcPr>
          <w:p>
            <w:pPr>
              <w:spacing w:after="0"/>
              <w:rPr>
                <w:sz w:val="11"/>
                <w:szCs w:val="11"/>
                <w:color w:val="auto"/>
              </w:rPr>
            </w:pPr>
          </w:p>
        </w:tc>
      </w:tr>
      <w:tr>
        <w:trPr>
          <w:trHeight w:val="204"/>
        </w:trPr>
        <w:tc>
          <w:tcPr>
            <w:tcW w:w="2920" w:type="dxa"/>
            <w:vAlign w:val="bottom"/>
            <w:tcBorders>
              <w:left w:val="single" w:sz="8" w:color="2360A6"/>
              <w:right w:val="single" w:sz="8" w:color="2360A6"/>
            </w:tcBorders>
          </w:tcPr>
          <w:p>
            <w:pPr>
              <w:spacing w:after="0"/>
              <w:rPr>
                <w:sz w:val="17"/>
                <w:szCs w:val="17"/>
                <w:color w:val="auto"/>
              </w:rPr>
            </w:pPr>
          </w:p>
        </w:tc>
        <w:tc>
          <w:tcPr>
            <w:tcW w:w="880" w:type="dxa"/>
            <w:vAlign w:val="bottom"/>
            <w:tcBorders>
              <w:bottom w:val="single" w:sz="8" w:color="2360A6"/>
            </w:tcBorders>
          </w:tcPr>
          <w:p>
            <w:pPr>
              <w:spacing w:after="0"/>
              <w:rPr>
                <w:sz w:val="17"/>
                <w:szCs w:val="17"/>
                <w:color w:val="auto"/>
              </w:rPr>
            </w:pPr>
          </w:p>
        </w:tc>
        <w:tc>
          <w:tcPr>
            <w:tcW w:w="1300" w:type="dxa"/>
            <w:vAlign w:val="bottom"/>
            <w:tcBorders>
              <w:bottom w:val="single" w:sz="8" w:color="2360A6"/>
            </w:tcBorders>
          </w:tcPr>
          <w:p>
            <w:pPr>
              <w:spacing w:after="0"/>
              <w:rPr>
                <w:sz w:val="17"/>
                <w:szCs w:val="17"/>
                <w:color w:val="auto"/>
              </w:rPr>
            </w:pPr>
          </w:p>
        </w:tc>
        <w:tc>
          <w:tcPr>
            <w:tcW w:w="1280" w:type="dxa"/>
            <w:vAlign w:val="bottom"/>
            <w:tcBorders>
              <w:bottom w:val="single" w:sz="8" w:color="2360A6"/>
            </w:tcBorders>
          </w:tcPr>
          <w:p>
            <w:pPr>
              <w:spacing w:after="0"/>
              <w:rPr>
                <w:sz w:val="17"/>
                <w:szCs w:val="17"/>
                <w:color w:val="auto"/>
              </w:rPr>
            </w:pPr>
          </w:p>
        </w:tc>
        <w:tc>
          <w:tcPr>
            <w:tcW w:w="300" w:type="dxa"/>
            <w:vAlign w:val="bottom"/>
            <w:tcBorders>
              <w:bottom w:val="single" w:sz="8" w:color="2360A6"/>
            </w:tcBorders>
          </w:tcPr>
          <w:p>
            <w:pPr>
              <w:spacing w:after="0"/>
              <w:rPr>
                <w:sz w:val="17"/>
                <w:szCs w:val="17"/>
                <w:color w:val="auto"/>
              </w:rPr>
            </w:pPr>
          </w:p>
        </w:tc>
        <w:tc>
          <w:tcPr>
            <w:tcW w:w="1000" w:type="dxa"/>
            <w:vAlign w:val="bottom"/>
            <w:tcBorders>
              <w:bottom w:val="single" w:sz="8" w:color="2360A6"/>
            </w:tcBorders>
          </w:tcPr>
          <w:p>
            <w:pPr>
              <w:jc w:val="right"/>
              <w:ind w:right="608"/>
              <w:spacing w:after="0"/>
              <w:rPr>
                <w:sz w:val="20"/>
                <w:szCs w:val="20"/>
                <w:color w:val="auto"/>
              </w:rPr>
            </w:pPr>
            <w:r>
              <w:rPr>
                <w:rFonts w:ascii="Arial" w:cs="Arial" w:eastAsia="Arial" w:hAnsi="Arial"/>
                <w:sz w:val="14"/>
                <w:szCs w:val="14"/>
                <w:b w:val="1"/>
                <w:bCs w:val="1"/>
                <w:color w:val="2360A6"/>
                <w:w w:val="96"/>
              </w:rPr>
              <w:t>2015</w:t>
            </w:r>
          </w:p>
        </w:tc>
        <w:tc>
          <w:tcPr>
            <w:tcW w:w="1400" w:type="dxa"/>
            <w:vAlign w:val="bottom"/>
            <w:tcBorders>
              <w:bottom w:val="single" w:sz="8" w:color="2360A6"/>
            </w:tcBorders>
          </w:tcPr>
          <w:p>
            <w:pPr>
              <w:spacing w:after="0"/>
              <w:rPr>
                <w:sz w:val="17"/>
                <w:szCs w:val="17"/>
                <w:color w:val="auto"/>
              </w:rPr>
            </w:pPr>
          </w:p>
        </w:tc>
        <w:tc>
          <w:tcPr>
            <w:tcW w:w="1700" w:type="dxa"/>
            <w:vAlign w:val="bottom"/>
            <w:tcBorders>
              <w:bottom w:val="single" w:sz="8" w:color="2360A6"/>
              <w:right w:val="single" w:sz="8" w:color="2360A6"/>
            </w:tcBorders>
          </w:tcPr>
          <w:p>
            <w:pPr>
              <w:spacing w:after="0"/>
              <w:rPr>
                <w:sz w:val="17"/>
                <w:szCs w:val="17"/>
                <w:color w:val="auto"/>
              </w:rPr>
            </w:pPr>
          </w:p>
        </w:tc>
      </w:tr>
      <w:tr>
        <w:trPr>
          <w:trHeight w:val="264"/>
        </w:trPr>
        <w:tc>
          <w:tcPr>
            <w:tcW w:w="2920" w:type="dxa"/>
            <w:vAlign w:val="bottom"/>
            <w:tcBorders>
              <w:left w:val="single" w:sz="8" w:color="2360A6"/>
              <w:right w:val="single" w:sz="8" w:color="2360A6"/>
            </w:tcBorders>
          </w:tcPr>
          <w:p>
            <w:pPr>
              <w:spacing w:after="0"/>
              <w:rPr>
                <w:sz w:val="22"/>
                <w:szCs w:val="22"/>
                <w:color w:val="auto"/>
              </w:rPr>
            </w:pPr>
          </w:p>
        </w:tc>
        <w:tc>
          <w:tcPr>
            <w:tcW w:w="880" w:type="dxa"/>
            <w:vAlign w:val="bottom"/>
            <w:tcBorders>
              <w:bottom w:val="single" w:sz="8" w:color="2360A6"/>
              <w:right w:val="single" w:sz="8" w:color="2360A6"/>
            </w:tcBorders>
          </w:tcPr>
          <w:p>
            <w:pPr>
              <w:spacing w:after="0"/>
              <w:rPr>
                <w:sz w:val="22"/>
                <w:szCs w:val="22"/>
                <w:color w:val="auto"/>
              </w:rPr>
            </w:pPr>
          </w:p>
        </w:tc>
        <w:tc>
          <w:tcPr>
            <w:tcW w:w="2880" w:type="dxa"/>
            <w:vAlign w:val="bottom"/>
            <w:tcBorders>
              <w:bottom w:val="single" w:sz="8" w:color="2360A6"/>
            </w:tcBorders>
            <w:gridSpan w:val="3"/>
          </w:tcPr>
          <w:p>
            <w:pPr>
              <w:ind w:left="980"/>
              <w:spacing w:after="0"/>
              <w:rPr>
                <w:sz w:val="20"/>
                <w:szCs w:val="20"/>
                <w:color w:val="auto"/>
              </w:rPr>
            </w:pPr>
            <w:r>
              <w:rPr>
                <w:rFonts w:ascii="Arial" w:cs="Arial" w:eastAsia="Arial" w:hAnsi="Arial"/>
                <w:sz w:val="14"/>
                <w:szCs w:val="14"/>
                <w:b w:val="1"/>
                <w:bCs w:val="1"/>
                <w:color w:val="2360A6"/>
              </w:rPr>
              <w:t>From Subsequent Valuation</w:t>
            </w:r>
          </w:p>
        </w:tc>
        <w:tc>
          <w:tcPr>
            <w:tcW w:w="1000" w:type="dxa"/>
            <w:vAlign w:val="bottom"/>
            <w:tcBorders>
              <w:bottom w:val="single" w:sz="8" w:color="2360A6"/>
              <w:right w:val="single" w:sz="8" w:color="2360A6"/>
            </w:tcBorders>
          </w:tcPr>
          <w:p>
            <w:pPr>
              <w:spacing w:after="0"/>
              <w:rPr>
                <w:sz w:val="22"/>
                <w:szCs w:val="22"/>
                <w:color w:val="auto"/>
              </w:rPr>
            </w:pPr>
          </w:p>
        </w:tc>
        <w:tc>
          <w:tcPr>
            <w:tcW w:w="1400" w:type="dxa"/>
            <w:vAlign w:val="bottom"/>
            <w:tcBorders>
              <w:bottom w:val="single" w:sz="8" w:color="2360A6"/>
              <w:right w:val="single" w:sz="8" w:color="2360A6"/>
            </w:tcBorders>
          </w:tcPr>
          <w:p>
            <w:pPr>
              <w:spacing w:after="0"/>
              <w:rPr>
                <w:sz w:val="22"/>
                <w:szCs w:val="22"/>
                <w:color w:val="auto"/>
              </w:rPr>
            </w:pPr>
          </w:p>
        </w:tc>
        <w:tc>
          <w:tcPr>
            <w:tcW w:w="1700" w:type="dxa"/>
            <w:vAlign w:val="bottom"/>
            <w:tcBorders>
              <w:bottom w:val="single" w:sz="8" w:color="2360A6"/>
              <w:right w:val="single" w:sz="8" w:color="2360A6"/>
            </w:tcBorders>
          </w:tcPr>
          <w:p>
            <w:pPr>
              <w:spacing w:after="0"/>
              <w:rPr>
                <w:sz w:val="22"/>
                <w:szCs w:val="22"/>
                <w:color w:val="auto"/>
              </w:rPr>
            </w:pPr>
          </w:p>
        </w:tc>
      </w:tr>
      <w:tr>
        <w:trPr>
          <w:trHeight w:val="216"/>
        </w:trPr>
        <w:tc>
          <w:tcPr>
            <w:tcW w:w="2920" w:type="dxa"/>
            <w:vAlign w:val="bottom"/>
            <w:tcBorders>
              <w:left w:val="single" w:sz="8" w:color="2360A6"/>
              <w:right w:val="single" w:sz="8" w:color="2360A6"/>
            </w:tcBorders>
          </w:tcPr>
          <w:p>
            <w:pPr>
              <w:spacing w:after="0"/>
              <w:rPr>
                <w:sz w:val="18"/>
                <w:szCs w:val="18"/>
                <w:color w:val="auto"/>
              </w:rPr>
            </w:pPr>
          </w:p>
        </w:tc>
        <w:tc>
          <w:tcPr>
            <w:tcW w:w="880" w:type="dxa"/>
            <w:vAlign w:val="bottom"/>
            <w:tcBorders>
              <w:right w:val="single" w:sz="8" w:color="2360A6"/>
            </w:tcBorders>
          </w:tcPr>
          <w:p>
            <w:pPr>
              <w:spacing w:after="0"/>
              <w:rPr>
                <w:sz w:val="18"/>
                <w:szCs w:val="18"/>
                <w:color w:val="auto"/>
              </w:rPr>
            </w:pPr>
          </w:p>
        </w:tc>
        <w:tc>
          <w:tcPr>
            <w:tcW w:w="1300" w:type="dxa"/>
            <w:vAlign w:val="bottom"/>
            <w:tcBorders>
              <w:right w:val="single" w:sz="8" w:color="2360A6"/>
            </w:tcBorders>
          </w:tcPr>
          <w:p>
            <w:pPr>
              <w:spacing w:after="0"/>
              <w:rPr>
                <w:sz w:val="18"/>
                <w:szCs w:val="18"/>
                <w:color w:val="auto"/>
              </w:rPr>
            </w:pPr>
          </w:p>
        </w:tc>
        <w:tc>
          <w:tcPr>
            <w:tcW w:w="1280" w:type="dxa"/>
            <w:vAlign w:val="bottom"/>
            <w:tcBorders>
              <w:right w:val="single" w:sz="8" w:color="2360A6"/>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Impairment</w:t>
            </w:r>
          </w:p>
        </w:tc>
        <w:tc>
          <w:tcPr>
            <w:tcW w:w="1400" w:type="dxa"/>
            <w:vAlign w:val="bottom"/>
            <w:tcBorders>
              <w:right w:val="single" w:sz="8" w:color="2360A6"/>
            </w:tcBorders>
          </w:tcPr>
          <w:p>
            <w:pPr>
              <w:spacing w:after="0"/>
              <w:rPr>
                <w:sz w:val="18"/>
                <w:szCs w:val="18"/>
                <w:color w:val="auto"/>
              </w:rPr>
            </w:pPr>
          </w:p>
        </w:tc>
        <w:tc>
          <w:tcPr>
            <w:tcW w:w="1700" w:type="dxa"/>
            <w:vAlign w:val="bottom"/>
            <w:tcBorders>
              <w:right w:val="single" w:sz="8" w:color="2360A6"/>
            </w:tcBorders>
          </w:tcPr>
          <w:p>
            <w:pPr>
              <w:spacing w:after="0"/>
              <w:rPr>
                <w:sz w:val="18"/>
                <w:szCs w:val="18"/>
                <w:color w:val="auto"/>
              </w:rPr>
            </w:pPr>
          </w:p>
        </w:tc>
      </w:tr>
      <w:tr>
        <w:trPr>
          <w:trHeight w:val="162"/>
        </w:trPr>
        <w:tc>
          <w:tcPr>
            <w:tcW w:w="2920" w:type="dxa"/>
            <w:vAlign w:val="bottom"/>
            <w:tcBorders>
              <w:left w:val="single" w:sz="8" w:color="2360A6"/>
              <w:right w:val="single" w:sz="8" w:color="2360A6"/>
            </w:tcBorders>
          </w:tcPr>
          <w:p>
            <w:pPr>
              <w:spacing w:after="0"/>
              <w:rPr>
                <w:sz w:val="14"/>
                <w:szCs w:val="14"/>
                <w:color w:val="auto"/>
              </w:rPr>
            </w:pPr>
          </w:p>
        </w:tc>
        <w:tc>
          <w:tcPr>
            <w:tcW w:w="880" w:type="dxa"/>
            <w:vAlign w:val="bottom"/>
            <w:tcBorders>
              <w:right w:val="single" w:sz="8" w:color="2360A6"/>
            </w:tcBorders>
          </w:tcPr>
          <w:p>
            <w:pPr>
              <w:spacing w:after="0"/>
              <w:rPr>
                <w:sz w:val="14"/>
                <w:szCs w:val="14"/>
                <w:color w:val="auto"/>
              </w:rPr>
            </w:pPr>
          </w:p>
        </w:tc>
        <w:tc>
          <w:tcPr>
            <w:tcW w:w="1300" w:type="dxa"/>
            <w:vAlign w:val="bottom"/>
            <w:tcBorders>
              <w:right w:val="single" w:sz="8" w:color="2360A6"/>
            </w:tcBorders>
          </w:tcPr>
          <w:p>
            <w:pPr>
              <w:spacing w:after="0"/>
              <w:rPr>
                <w:sz w:val="14"/>
                <w:szCs w:val="14"/>
                <w:color w:val="auto"/>
              </w:rPr>
            </w:pPr>
          </w:p>
        </w:tc>
        <w:tc>
          <w:tcPr>
            <w:tcW w:w="128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Currency</w:t>
            </w:r>
          </w:p>
        </w:tc>
        <w:tc>
          <w:tcPr>
            <w:tcW w:w="300" w:type="dxa"/>
            <w:vAlign w:val="bottom"/>
          </w:tcPr>
          <w:p>
            <w:pPr>
              <w:spacing w:after="0"/>
              <w:rPr>
                <w:sz w:val="14"/>
                <w:szCs w:val="14"/>
                <w:color w:val="auto"/>
              </w:rPr>
            </w:pPr>
          </w:p>
        </w:tc>
        <w:tc>
          <w:tcPr>
            <w:tcW w:w="100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/Reversal of</w:t>
            </w:r>
          </w:p>
        </w:tc>
        <w:tc>
          <w:tcPr>
            <w:tcW w:w="1400" w:type="dxa"/>
            <w:vAlign w:val="bottom"/>
            <w:tcBorders>
              <w:right w:val="single" w:sz="8" w:color="2360A6"/>
            </w:tcBorders>
          </w:tcPr>
          <w:p>
            <w:pPr>
              <w:spacing w:after="0"/>
              <w:rPr>
                <w:sz w:val="14"/>
                <w:szCs w:val="14"/>
                <w:color w:val="auto"/>
              </w:rPr>
            </w:pPr>
          </w:p>
        </w:tc>
        <w:tc>
          <w:tcPr>
            <w:tcW w:w="1700" w:type="dxa"/>
            <w:vAlign w:val="bottom"/>
            <w:tcBorders>
              <w:right w:val="single" w:sz="8" w:color="2360A6"/>
            </w:tcBorders>
          </w:tcPr>
          <w:p>
            <w:pPr>
              <w:spacing w:after="0"/>
              <w:rPr>
                <w:sz w:val="14"/>
                <w:szCs w:val="14"/>
                <w:color w:val="auto"/>
              </w:rPr>
            </w:pPr>
          </w:p>
        </w:tc>
      </w:tr>
      <w:tr>
        <w:trPr>
          <w:trHeight w:val="196"/>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8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Interest</w:t>
            </w:r>
          </w:p>
        </w:tc>
        <w:tc>
          <w:tcPr>
            <w:tcW w:w="13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At Fair Value</w:t>
            </w:r>
          </w:p>
        </w:tc>
        <w:tc>
          <w:tcPr>
            <w:tcW w:w="12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Translation</w:t>
            </w:r>
          </w:p>
        </w:tc>
        <w:tc>
          <w:tcPr>
            <w:tcW w:w="300" w:type="dxa"/>
            <w:vAlign w:val="bottom"/>
            <w:tcBorders>
              <w:bottom w:val="single" w:sz="8" w:color="2360A6"/>
            </w:tcBorders>
          </w:tcPr>
          <w:p>
            <w:pPr>
              <w:spacing w:after="0"/>
              <w:rPr>
                <w:sz w:val="17"/>
                <w:szCs w:val="17"/>
                <w:color w:val="auto"/>
              </w:rPr>
            </w:pPr>
          </w:p>
        </w:tc>
        <w:tc>
          <w:tcPr>
            <w:tcW w:w="10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Impairment</w:t>
            </w:r>
          </w:p>
        </w:tc>
        <w:tc>
          <w:tcPr>
            <w:tcW w:w="14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Derecognition</w:t>
            </w: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Net Gains/ (Losses)</w:t>
            </w:r>
          </w:p>
        </w:tc>
      </w:tr>
      <w:tr>
        <w:trPr>
          <w:trHeight w:val="264"/>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Categories of Financial Instruments</w:t>
            </w:r>
          </w:p>
        </w:tc>
        <w:tc>
          <w:tcPr>
            <w:tcW w:w="880" w:type="dxa"/>
            <w:vAlign w:val="bottom"/>
            <w:tcBorders>
              <w:bottom w:val="single" w:sz="8" w:color="2360A6"/>
              <w:right w:val="single" w:sz="8" w:color="2360A6"/>
            </w:tcBorders>
          </w:tcPr>
          <w:p>
            <w:pPr>
              <w:spacing w:after="0"/>
              <w:rPr>
                <w:sz w:val="22"/>
                <w:szCs w:val="22"/>
                <w:color w:val="auto"/>
              </w:rPr>
            </w:pPr>
          </w:p>
        </w:tc>
        <w:tc>
          <w:tcPr>
            <w:tcW w:w="1300" w:type="dxa"/>
            <w:vAlign w:val="bottom"/>
            <w:tcBorders>
              <w:bottom w:val="single" w:sz="8" w:color="2360A6"/>
              <w:right w:val="single" w:sz="8" w:color="2360A6"/>
            </w:tcBorders>
          </w:tcPr>
          <w:p>
            <w:pPr>
              <w:spacing w:after="0"/>
              <w:rPr>
                <w:sz w:val="22"/>
                <w:szCs w:val="22"/>
                <w:color w:val="auto"/>
              </w:rPr>
            </w:pPr>
          </w:p>
        </w:tc>
        <w:tc>
          <w:tcPr>
            <w:tcW w:w="1280" w:type="dxa"/>
            <w:vAlign w:val="bottom"/>
            <w:tcBorders>
              <w:bottom w:val="single" w:sz="8" w:color="2360A6"/>
              <w:right w:val="single" w:sz="8" w:color="2360A6"/>
            </w:tcBorders>
          </w:tcPr>
          <w:p>
            <w:pPr>
              <w:spacing w:after="0"/>
              <w:rPr>
                <w:sz w:val="22"/>
                <w:szCs w:val="22"/>
                <w:color w:val="auto"/>
              </w:rPr>
            </w:pPr>
          </w:p>
        </w:tc>
        <w:tc>
          <w:tcPr>
            <w:tcW w:w="300" w:type="dxa"/>
            <w:vAlign w:val="bottom"/>
            <w:tcBorders>
              <w:bottom w:val="single" w:sz="8" w:color="2360A6"/>
            </w:tcBorders>
          </w:tcPr>
          <w:p>
            <w:pPr>
              <w:spacing w:after="0"/>
              <w:rPr>
                <w:sz w:val="22"/>
                <w:szCs w:val="22"/>
                <w:color w:val="auto"/>
              </w:rPr>
            </w:pPr>
          </w:p>
        </w:tc>
        <w:tc>
          <w:tcPr>
            <w:tcW w:w="1000" w:type="dxa"/>
            <w:vAlign w:val="bottom"/>
            <w:tcBorders>
              <w:bottom w:val="single" w:sz="8" w:color="2360A6"/>
              <w:right w:val="single" w:sz="8" w:color="2360A6"/>
            </w:tcBorders>
          </w:tcPr>
          <w:p>
            <w:pPr>
              <w:spacing w:after="0"/>
              <w:rPr>
                <w:sz w:val="22"/>
                <w:szCs w:val="22"/>
                <w:color w:val="auto"/>
              </w:rPr>
            </w:pPr>
          </w:p>
        </w:tc>
        <w:tc>
          <w:tcPr>
            <w:tcW w:w="1400" w:type="dxa"/>
            <w:vAlign w:val="bottom"/>
            <w:tcBorders>
              <w:bottom w:val="single" w:sz="8" w:color="2360A6"/>
              <w:right w:val="single" w:sz="8" w:color="2360A6"/>
            </w:tcBorders>
          </w:tcPr>
          <w:p>
            <w:pPr>
              <w:spacing w:after="0"/>
              <w:rPr>
                <w:sz w:val="22"/>
                <w:szCs w:val="22"/>
                <w:color w:val="auto"/>
              </w:rPr>
            </w:pPr>
          </w:p>
        </w:tc>
        <w:tc>
          <w:tcPr>
            <w:tcW w:w="1700" w:type="dxa"/>
            <w:vAlign w:val="bottom"/>
            <w:tcBorders>
              <w:bottom w:val="single" w:sz="8" w:color="2360A6"/>
              <w:right w:val="single" w:sz="8" w:color="2360A6"/>
            </w:tcBorders>
          </w:tcPr>
          <w:p>
            <w:pPr>
              <w:spacing w:after="0"/>
              <w:rPr>
                <w:sz w:val="22"/>
                <w:szCs w:val="22"/>
                <w:color w:val="auto"/>
              </w:rPr>
            </w:pPr>
          </w:p>
        </w:tc>
      </w:tr>
      <w:tr>
        <w:trPr>
          <w:trHeight w:val="210"/>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At Fair Value through Profit or Loss</w:t>
            </w:r>
          </w:p>
        </w:tc>
        <w:tc>
          <w:tcPr>
            <w:tcW w:w="8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41.5</w:t>
            </w:r>
          </w:p>
        </w:tc>
        <w:tc>
          <w:tcPr>
            <w:tcW w:w="13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300" w:type="dxa"/>
            <w:vAlign w:val="bottom"/>
            <w:tcBorders>
              <w:bottom w:val="single" w:sz="8" w:color="2360A6"/>
            </w:tcBorders>
          </w:tcPr>
          <w:p>
            <w:pPr>
              <w:spacing w:after="0"/>
              <w:rPr>
                <w:sz w:val="18"/>
                <w:szCs w:val="18"/>
                <w:color w:val="auto"/>
              </w:rPr>
            </w:pPr>
          </w:p>
        </w:tc>
        <w:tc>
          <w:tcPr>
            <w:tcW w:w="10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7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41.5</w:t>
            </w:r>
          </w:p>
        </w:tc>
      </w:tr>
      <w:tr>
        <w:trPr>
          <w:trHeight w:val="210"/>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Available-for-Sale Financial Assets</w:t>
            </w:r>
          </w:p>
        </w:tc>
        <w:tc>
          <w:tcPr>
            <w:tcW w:w="8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(28.4)</w:t>
            </w:r>
          </w:p>
        </w:tc>
        <w:tc>
          <w:tcPr>
            <w:tcW w:w="12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300" w:type="dxa"/>
            <w:vAlign w:val="bottom"/>
            <w:tcBorders>
              <w:bottom w:val="single" w:sz="8" w:color="2360A6"/>
            </w:tcBorders>
          </w:tcPr>
          <w:p>
            <w:pPr>
              <w:spacing w:after="0"/>
              <w:rPr>
                <w:sz w:val="18"/>
                <w:szCs w:val="18"/>
                <w:color w:val="auto"/>
              </w:rPr>
            </w:pPr>
          </w:p>
        </w:tc>
        <w:tc>
          <w:tcPr>
            <w:tcW w:w="10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70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(28.4)</w:t>
            </w:r>
          </w:p>
        </w:tc>
      </w:tr>
      <w:tr>
        <w:trPr>
          <w:trHeight w:val="210"/>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Liabilities at Amortized Cost</w:t>
            </w:r>
          </w:p>
        </w:tc>
        <w:tc>
          <w:tcPr>
            <w:tcW w:w="8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(118.3)</w:t>
            </w:r>
          </w:p>
        </w:tc>
        <w:tc>
          <w:tcPr>
            <w:tcW w:w="13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300" w:type="dxa"/>
            <w:vAlign w:val="bottom"/>
            <w:tcBorders>
              <w:bottom w:val="single" w:sz="8" w:color="2360A6"/>
            </w:tcBorders>
          </w:tcPr>
          <w:p>
            <w:pPr>
              <w:spacing w:after="0"/>
              <w:rPr>
                <w:sz w:val="18"/>
                <w:szCs w:val="18"/>
                <w:color w:val="auto"/>
              </w:rPr>
            </w:pPr>
          </w:p>
        </w:tc>
        <w:tc>
          <w:tcPr>
            <w:tcW w:w="10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70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(118.3)</w:t>
            </w:r>
          </w:p>
        </w:tc>
      </w:tr>
      <w:tr>
        <w:trPr>
          <w:trHeight w:val="210"/>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 Instruments</w:t>
            </w:r>
          </w:p>
        </w:tc>
        <w:tc>
          <w:tcPr>
            <w:tcW w:w="8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(9.2)</w:t>
            </w:r>
          </w:p>
        </w:tc>
        <w:tc>
          <w:tcPr>
            <w:tcW w:w="12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300" w:type="dxa"/>
            <w:vAlign w:val="bottom"/>
            <w:tcBorders>
              <w:bottom w:val="single" w:sz="8" w:color="2360A6"/>
            </w:tcBorders>
          </w:tcPr>
          <w:p>
            <w:pPr>
              <w:spacing w:after="0"/>
              <w:rPr>
                <w:sz w:val="18"/>
                <w:szCs w:val="18"/>
                <w:color w:val="auto"/>
              </w:rPr>
            </w:pPr>
          </w:p>
        </w:tc>
        <w:tc>
          <w:tcPr>
            <w:tcW w:w="100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(7.1)</w:t>
            </w:r>
          </w:p>
        </w:tc>
        <w:tc>
          <w:tcPr>
            <w:tcW w:w="140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700" w:type="dxa"/>
            <w:vAlign w:val="bottom"/>
            <w:tcBorders>
              <w:bottom w:val="single" w:sz="8" w:color="2360A6"/>
              <w:right w:val="single" w:sz="8" w:color="2360A6"/>
            </w:tcBorders>
          </w:tcPr>
          <w:p>
            <w:pPr>
              <w:jc w:val="right"/>
              <w:ind w:right="8"/>
              <w:spacing w:after="0"/>
              <w:rPr>
                <w:sz w:val="20"/>
                <w:szCs w:val="20"/>
                <w:color w:val="auto"/>
              </w:rPr>
            </w:pPr>
            <w:r>
              <w:rPr>
                <w:rFonts w:ascii="Arial" w:cs="Arial" w:eastAsia="Arial" w:hAnsi="Arial"/>
                <w:sz w:val="14"/>
                <w:szCs w:val="14"/>
                <w:color w:val="231F20"/>
              </w:rPr>
              <w:t>(16.3)</w:t>
            </w:r>
          </w:p>
        </w:tc>
      </w:tr>
      <w:tr>
        <w:trPr>
          <w:trHeight w:val="210"/>
        </w:trPr>
        <w:tc>
          <w:tcPr>
            <w:tcW w:w="292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NET GAINS/(LOSSES)</w:t>
            </w:r>
          </w:p>
        </w:tc>
        <w:tc>
          <w:tcPr>
            <w:tcW w:w="880" w:type="dxa"/>
            <w:vAlign w:val="bottom"/>
            <w:tcBorders>
              <w:bottom w:val="single" w:sz="8" w:color="2360A6"/>
              <w:right w:val="single" w:sz="8" w:color="2360A6"/>
            </w:tcBorders>
            <w:shd w:val="clear" w:color="auto" w:fill="D2DEEC"/>
          </w:tcPr>
          <w:p>
            <w:pPr>
              <w:jc w:val="right"/>
              <w:ind w:right="28"/>
              <w:spacing w:after="0"/>
              <w:rPr>
                <w:sz w:val="20"/>
                <w:szCs w:val="20"/>
                <w:color w:val="auto"/>
              </w:rPr>
            </w:pPr>
            <w:r>
              <w:rPr>
                <w:rFonts w:ascii="Arial" w:cs="Arial" w:eastAsia="Arial" w:hAnsi="Arial"/>
                <w:sz w:val="14"/>
                <w:szCs w:val="14"/>
                <w:b w:val="1"/>
                <w:bCs w:val="1"/>
                <w:color w:val="2360A6"/>
              </w:rPr>
              <w:t>(76.8)</w:t>
            </w:r>
          </w:p>
        </w:tc>
        <w:tc>
          <w:tcPr>
            <w:tcW w:w="1300" w:type="dxa"/>
            <w:vAlign w:val="bottom"/>
            <w:tcBorders>
              <w:bottom w:val="single" w:sz="8" w:color="2360A6"/>
              <w:right w:val="single" w:sz="8" w:color="2360A6"/>
            </w:tcBorders>
            <w:shd w:val="clear" w:color="auto" w:fill="D2DEEC"/>
          </w:tcPr>
          <w:p>
            <w:pPr>
              <w:jc w:val="right"/>
              <w:ind w:right="28"/>
              <w:spacing w:after="0"/>
              <w:rPr>
                <w:sz w:val="20"/>
                <w:szCs w:val="20"/>
                <w:color w:val="auto"/>
              </w:rPr>
            </w:pPr>
            <w:r>
              <w:rPr>
                <w:rFonts w:ascii="Arial" w:cs="Arial" w:eastAsia="Arial" w:hAnsi="Arial"/>
                <w:sz w:val="14"/>
                <w:szCs w:val="14"/>
                <w:b w:val="1"/>
                <w:bCs w:val="1"/>
                <w:color w:val="2360A6"/>
              </w:rPr>
              <w:t>(37.6)</w:t>
            </w:r>
          </w:p>
        </w:tc>
        <w:tc>
          <w:tcPr>
            <w:tcW w:w="12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w:t>
            </w:r>
          </w:p>
        </w:tc>
        <w:tc>
          <w:tcPr>
            <w:tcW w:w="300" w:type="dxa"/>
            <w:vAlign w:val="bottom"/>
            <w:tcBorders>
              <w:bottom w:val="single" w:sz="8" w:color="2360A6"/>
            </w:tcBorders>
            <w:shd w:val="clear" w:color="auto" w:fill="D2DEEC"/>
          </w:tcPr>
          <w:p>
            <w:pPr>
              <w:spacing w:after="0"/>
              <w:rPr>
                <w:sz w:val="18"/>
                <w:szCs w:val="18"/>
                <w:color w:val="auto"/>
              </w:rPr>
            </w:pPr>
          </w:p>
        </w:tc>
        <w:tc>
          <w:tcPr>
            <w:tcW w:w="1000" w:type="dxa"/>
            <w:vAlign w:val="bottom"/>
            <w:tcBorders>
              <w:bottom w:val="single" w:sz="8" w:color="2360A6"/>
              <w:right w:val="single" w:sz="8" w:color="2360A6"/>
            </w:tcBorders>
            <w:shd w:val="clear" w:color="auto" w:fill="D2DEEC"/>
          </w:tcPr>
          <w:p>
            <w:pPr>
              <w:jc w:val="right"/>
              <w:ind w:right="8"/>
              <w:spacing w:after="0"/>
              <w:rPr>
                <w:sz w:val="20"/>
                <w:szCs w:val="20"/>
                <w:color w:val="auto"/>
              </w:rPr>
            </w:pPr>
            <w:r>
              <w:rPr>
                <w:rFonts w:ascii="Arial" w:cs="Arial" w:eastAsia="Arial" w:hAnsi="Arial"/>
                <w:sz w:val="14"/>
                <w:szCs w:val="14"/>
                <w:b w:val="1"/>
                <w:bCs w:val="1"/>
                <w:color w:val="2360A6"/>
              </w:rPr>
              <w:t>(7.1)</w:t>
            </w:r>
          </w:p>
        </w:tc>
        <w:tc>
          <w:tcPr>
            <w:tcW w:w="140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w:t>
            </w:r>
          </w:p>
        </w:tc>
        <w:tc>
          <w:tcPr>
            <w:tcW w:w="1700" w:type="dxa"/>
            <w:vAlign w:val="bottom"/>
            <w:tcBorders>
              <w:bottom w:val="single" w:sz="8" w:color="2360A6"/>
              <w:right w:val="single" w:sz="8" w:color="2360A6"/>
            </w:tcBorders>
            <w:shd w:val="clear" w:color="auto" w:fill="D2DEEC"/>
          </w:tcPr>
          <w:p>
            <w:pPr>
              <w:jc w:val="right"/>
              <w:ind w:right="8"/>
              <w:spacing w:after="0"/>
              <w:rPr>
                <w:sz w:val="20"/>
                <w:szCs w:val="20"/>
                <w:color w:val="auto"/>
              </w:rPr>
            </w:pPr>
            <w:r>
              <w:rPr>
                <w:rFonts w:ascii="Arial" w:cs="Arial" w:eastAsia="Arial" w:hAnsi="Arial"/>
                <w:sz w:val="14"/>
                <w:szCs w:val="14"/>
                <w:b w:val="1"/>
                <w:bCs w:val="1"/>
                <w:color w:val="2360A6"/>
              </w:rPr>
              <w:t>(121.5)</w:t>
            </w:r>
          </w:p>
        </w:tc>
      </w:tr>
    </w:tbl>
    <w:p>
      <w:pPr>
        <w:sectPr>
          <w:pgSz w:w="11900" w:h="16838" w:orient="portrait"/>
          <w:cols w:equalWidth="0" w:num="1">
            <w:col w:w="11240"/>
          </w:cols>
          <w:pgMar w:left="320" w:top="930" w:right="339" w:bottom="1440" w:gutter="0" w:footer="0" w:header="0"/>
        </w:sectPr>
      </w:pPr>
    </w:p>
    <w:bookmarkStart w:id="155" w:name="page156"/>
    <w:bookmarkEnd w:id="155"/>
    <w:p>
      <w:pPr>
        <w:spacing w:after="0" w:line="1" w:lineRule="exact"/>
        <w:rPr>
          <w:sz w:val="20"/>
          <w:szCs w:val="20"/>
          <w:color w:val="auto"/>
        </w:rPr>
      </w:pPr>
    </w:p>
    <w:tbl>
      <w:tblPr>
        <w:tblLayout w:type="fixed"/>
        <w:tblInd w:w="270" w:type="dxa"/>
        <w:tblCellMar>
          <w:top w:w="0" w:type="dxa"/>
          <w:left w:w="0" w:type="dxa"/>
          <w:bottom w:w="0" w:type="dxa"/>
          <w:right w:w="0" w:type="dxa"/>
        </w:tblCellMar>
      </w:tblPr>
      <w:tr>
        <w:trPr>
          <w:trHeight w:val="224"/>
        </w:trPr>
        <w:tc>
          <w:tcPr>
            <w:tcW w:w="2920" w:type="dxa"/>
            <w:vAlign w:val="bottom"/>
            <w:tcBorders>
              <w:top w:val="single" w:sz="8" w:color="2360A6"/>
              <w:left w:val="single" w:sz="8" w:color="2360A6"/>
              <w:right w:val="single" w:sz="8" w:color="2360A6"/>
            </w:tcBorders>
          </w:tcPr>
          <w:p>
            <w:pPr>
              <w:spacing w:after="0"/>
              <w:rPr>
                <w:sz w:val="19"/>
                <w:szCs w:val="19"/>
                <w:color w:val="auto"/>
              </w:rPr>
            </w:pPr>
          </w:p>
        </w:tc>
        <w:tc>
          <w:tcPr>
            <w:tcW w:w="880" w:type="dxa"/>
            <w:vAlign w:val="bottom"/>
            <w:tcBorders>
              <w:top w:val="single" w:sz="8" w:color="2360A6"/>
              <w:bottom w:val="single" w:sz="8" w:color="2360A6"/>
            </w:tcBorders>
          </w:tcPr>
          <w:p>
            <w:pPr>
              <w:spacing w:after="0"/>
              <w:rPr>
                <w:sz w:val="19"/>
                <w:szCs w:val="19"/>
                <w:color w:val="auto"/>
              </w:rPr>
            </w:pPr>
          </w:p>
        </w:tc>
        <w:tc>
          <w:tcPr>
            <w:tcW w:w="1300" w:type="dxa"/>
            <w:vAlign w:val="bottom"/>
            <w:tcBorders>
              <w:top w:val="single" w:sz="8" w:color="2360A6"/>
              <w:bottom w:val="single" w:sz="8" w:color="2360A6"/>
            </w:tcBorders>
          </w:tcPr>
          <w:p>
            <w:pPr>
              <w:spacing w:after="0"/>
              <w:rPr>
                <w:sz w:val="19"/>
                <w:szCs w:val="19"/>
                <w:color w:val="auto"/>
              </w:rPr>
            </w:pPr>
          </w:p>
        </w:tc>
        <w:tc>
          <w:tcPr>
            <w:tcW w:w="1280" w:type="dxa"/>
            <w:vAlign w:val="bottom"/>
            <w:tcBorders>
              <w:top w:val="single" w:sz="8" w:color="2360A6"/>
              <w:bottom w:val="single" w:sz="8" w:color="2360A6"/>
            </w:tcBorders>
          </w:tcPr>
          <w:p>
            <w:pPr>
              <w:spacing w:after="0"/>
              <w:rPr>
                <w:sz w:val="19"/>
                <w:szCs w:val="19"/>
                <w:color w:val="auto"/>
              </w:rPr>
            </w:pPr>
          </w:p>
        </w:tc>
        <w:tc>
          <w:tcPr>
            <w:tcW w:w="300" w:type="dxa"/>
            <w:vAlign w:val="bottom"/>
            <w:tcBorders>
              <w:top w:val="single" w:sz="8" w:color="2360A6"/>
              <w:bottom w:val="single" w:sz="8" w:color="2360A6"/>
            </w:tcBorders>
          </w:tcPr>
          <w:p>
            <w:pPr>
              <w:spacing w:after="0"/>
              <w:rPr>
                <w:sz w:val="19"/>
                <w:szCs w:val="19"/>
                <w:color w:val="auto"/>
              </w:rPr>
            </w:pPr>
          </w:p>
        </w:tc>
        <w:tc>
          <w:tcPr>
            <w:tcW w:w="1000" w:type="dxa"/>
            <w:vAlign w:val="bottom"/>
            <w:tcBorders>
              <w:top w:val="single" w:sz="8" w:color="2360A6"/>
              <w:bottom w:val="single" w:sz="8" w:color="2360A6"/>
            </w:tcBorders>
          </w:tcPr>
          <w:p>
            <w:pPr>
              <w:jc w:val="right"/>
              <w:ind w:right="608"/>
              <w:spacing w:after="0"/>
              <w:rPr>
                <w:sz w:val="20"/>
                <w:szCs w:val="20"/>
                <w:color w:val="auto"/>
              </w:rPr>
            </w:pPr>
            <w:r>
              <w:rPr>
                <w:rFonts w:ascii="Arial" w:cs="Arial" w:eastAsia="Arial" w:hAnsi="Arial"/>
                <w:sz w:val="14"/>
                <w:szCs w:val="14"/>
                <w:b w:val="1"/>
                <w:bCs w:val="1"/>
                <w:color w:val="2360A6"/>
                <w:w w:val="96"/>
              </w:rPr>
              <w:t>2014</w:t>
            </w:r>
          </w:p>
        </w:tc>
        <w:tc>
          <w:tcPr>
            <w:tcW w:w="1380" w:type="dxa"/>
            <w:vAlign w:val="bottom"/>
            <w:tcBorders>
              <w:top w:val="single" w:sz="8" w:color="2360A6"/>
              <w:bottom w:val="single" w:sz="8" w:color="2360A6"/>
            </w:tcBorders>
          </w:tcPr>
          <w:p>
            <w:pPr>
              <w:spacing w:after="0"/>
              <w:rPr>
                <w:sz w:val="19"/>
                <w:szCs w:val="19"/>
                <w:color w:val="auto"/>
              </w:rPr>
            </w:pPr>
          </w:p>
        </w:tc>
        <w:tc>
          <w:tcPr>
            <w:tcW w:w="1720" w:type="dxa"/>
            <w:vAlign w:val="bottom"/>
            <w:tcBorders>
              <w:top w:val="single" w:sz="8" w:color="2360A6"/>
              <w:bottom w:val="single" w:sz="8" w:color="2360A6"/>
              <w:right w:val="single" w:sz="8" w:color="2360A6"/>
            </w:tcBorders>
          </w:tcPr>
          <w:p>
            <w:pPr>
              <w:spacing w:after="0"/>
              <w:rPr>
                <w:sz w:val="19"/>
                <w:szCs w:val="19"/>
                <w:color w:val="auto"/>
              </w:rPr>
            </w:pPr>
          </w:p>
        </w:tc>
      </w:tr>
      <w:tr>
        <w:trPr>
          <w:trHeight w:val="264"/>
        </w:trPr>
        <w:tc>
          <w:tcPr>
            <w:tcW w:w="2920" w:type="dxa"/>
            <w:vAlign w:val="bottom"/>
            <w:tcBorders>
              <w:left w:val="single" w:sz="8" w:color="2360A6"/>
              <w:right w:val="single" w:sz="8" w:color="2360A6"/>
            </w:tcBorders>
          </w:tcPr>
          <w:p>
            <w:pPr>
              <w:spacing w:after="0"/>
              <w:rPr>
                <w:sz w:val="22"/>
                <w:szCs w:val="22"/>
                <w:color w:val="auto"/>
              </w:rPr>
            </w:pPr>
          </w:p>
        </w:tc>
        <w:tc>
          <w:tcPr>
            <w:tcW w:w="880" w:type="dxa"/>
            <w:vAlign w:val="bottom"/>
            <w:tcBorders>
              <w:bottom w:val="single" w:sz="8" w:color="2360A6"/>
              <w:right w:val="single" w:sz="8" w:color="2360A6"/>
            </w:tcBorders>
          </w:tcPr>
          <w:p>
            <w:pPr>
              <w:spacing w:after="0"/>
              <w:rPr>
                <w:sz w:val="22"/>
                <w:szCs w:val="22"/>
                <w:color w:val="auto"/>
              </w:rPr>
            </w:pPr>
          </w:p>
        </w:tc>
        <w:tc>
          <w:tcPr>
            <w:tcW w:w="2880" w:type="dxa"/>
            <w:vAlign w:val="bottom"/>
            <w:tcBorders>
              <w:bottom w:val="single" w:sz="8" w:color="2360A6"/>
            </w:tcBorders>
            <w:gridSpan w:val="3"/>
          </w:tcPr>
          <w:p>
            <w:pPr>
              <w:ind w:left="980"/>
              <w:spacing w:after="0"/>
              <w:rPr>
                <w:sz w:val="20"/>
                <w:szCs w:val="20"/>
                <w:color w:val="auto"/>
              </w:rPr>
            </w:pPr>
            <w:r>
              <w:rPr>
                <w:rFonts w:ascii="Arial" w:cs="Arial" w:eastAsia="Arial" w:hAnsi="Arial"/>
                <w:sz w:val="14"/>
                <w:szCs w:val="14"/>
                <w:b w:val="1"/>
                <w:bCs w:val="1"/>
                <w:color w:val="2360A6"/>
              </w:rPr>
              <w:t>From Subsequent Valuation</w:t>
            </w:r>
          </w:p>
        </w:tc>
        <w:tc>
          <w:tcPr>
            <w:tcW w:w="1000" w:type="dxa"/>
            <w:vAlign w:val="bottom"/>
            <w:tcBorders>
              <w:bottom w:val="single" w:sz="8" w:color="2360A6"/>
              <w:right w:val="single" w:sz="8" w:color="2360A6"/>
            </w:tcBorders>
          </w:tcPr>
          <w:p>
            <w:pPr>
              <w:spacing w:after="0"/>
              <w:rPr>
                <w:sz w:val="22"/>
                <w:szCs w:val="22"/>
                <w:color w:val="auto"/>
              </w:rPr>
            </w:pPr>
          </w:p>
        </w:tc>
        <w:tc>
          <w:tcPr>
            <w:tcW w:w="1380" w:type="dxa"/>
            <w:vAlign w:val="bottom"/>
            <w:tcBorders>
              <w:bottom w:val="single" w:sz="8" w:color="2360A6"/>
              <w:right w:val="single" w:sz="8" w:color="2360A6"/>
            </w:tcBorders>
          </w:tcPr>
          <w:p>
            <w:pPr>
              <w:spacing w:after="0"/>
              <w:rPr>
                <w:sz w:val="22"/>
                <w:szCs w:val="22"/>
                <w:color w:val="auto"/>
              </w:rPr>
            </w:pPr>
          </w:p>
        </w:tc>
        <w:tc>
          <w:tcPr>
            <w:tcW w:w="1720" w:type="dxa"/>
            <w:vAlign w:val="bottom"/>
            <w:tcBorders>
              <w:bottom w:val="single" w:sz="8" w:color="2360A6"/>
              <w:right w:val="single" w:sz="8" w:color="2360A6"/>
            </w:tcBorders>
          </w:tcPr>
          <w:p>
            <w:pPr>
              <w:spacing w:after="0"/>
              <w:rPr>
                <w:sz w:val="22"/>
                <w:szCs w:val="22"/>
                <w:color w:val="auto"/>
              </w:rPr>
            </w:pPr>
          </w:p>
        </w:tc>
      </w:tr>
      <w:tr>
        <w:trPr>
          <w:trHeight w:val="216"/>
        </w:trPr>
        <w:tc>
          <w:tcPr>
            <w:tcW w:w="2920" w:type="dxa"/>
            <w:vAlign w:val="bottom"/>
            <w:tcBorders>
              <w:left w:val="single" w:sz="8" w:color="2360A6"/>
              <w:right w:val="single" w:sz="8" w:color="2360A6"/>
            </w:tcBorders>
          </w:tcPr>
          <w:p>
            <w:pPr>
              <w:spacing w:after="0"/>
              <w:rPr>
                <w:sz w:val="18"/>
                <w:szCs w:val="18"/>
                <w:color w:val="auto"/>
              </w:rPr>
            </w:pPr>
          </w:p>
        </w:tc>
        <w:tc>
          <w:tcPr>
            <w:tcW w:w="880" w:type="dxa"/>
            <w:vAlign w:val="bottom"/>
            <w:tcBorders>
              <w:right w:val="single" w:sz="8" w:color="2360A6"/>
            </w:tcBorders>
          </w:tcPr>
          <w:p>
            <w:pPr>
              <w:spacing w:after="0"/>
              <w:rPr>
                <w:sz w:val="18"/>
                <w:szCs w:val="18"/>
                <w:color w:val="auto"/>
              </w:rPr>
            </w:pPr>
          </w:p>
        </w:tc>
        <w:tc>
          <w:tcPr>
            <w:tcW w:w="1300" w:type="dxa"/>
            <w:vAlign w:val="bottom"/>
            <w:tcBorders>
              <w:right w:val="single" w:sz="8" w:color="2360A6"/>
            </w:tcBorders>
          </w:tcPr>
          <w:p>
            <w:pPr>
              <w:spacing w:after="0"/>
              <w:rPr>
                <w:sz w:val="18"/>
                <w:szCs w:val="18"/>
                <w:color w:val="auto"/>
              </w:rPr>
            </w:pPr>
          </w:p>
        </w:tc>
        <w:tc>
          <w:tcPr>
            <w:tcW w:w="1280" w:type="dxa"/>
            <w:vAlign w:val="bottom"/>
            <w:tcBorders>
              <w:right w:val="single" w:sz="8" w:color="2360A6"/>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Impairment</w:t>
            </w:r>
          </w:p>
        </w:tc>
        <w:tc>
          <w:tcPr>
            <w:tcW w:w="1380" w:type="dxa"/>
            <w:vAlign w:val="bottom"/>
            <w:tcBorders>
              <w:right w:val="single" w:sz="8" w:color="2360A6"/>
            </w:tcBorders>
          </w:tcPr>
          <w:p>
            <w:pPr>
              <w:spacing w:after="0"/>
              <w:rPr>
                <w:sz w:val="18"/>
                <w:szCs w:val="18"/>
                <w:color w:val="auto"/>
              </w:rPr>
            </w:pPr>
          </w:p>
        </w:tc>
        <w:tc>
          <w:tcPr>
            <w:tcW w:w="1720" w:type="dxa"/>
            <w:vAlign w:val="bottom"/>
            <w:tcBorders>
              <w:right w:val="single" w:sz="8" w:color="2360A6"/>
            </w:tcBorders>
          </w:tcPr>
          <w:p>
            <w:pPr>
              <w:spacing w:after="0"/>
              <w:rPr>
                <w:sz w:val="18"/>
                <w:szCs w:val="18"/>
                <w:color w:val="auto"/>
              </w:rPr>
            </w:pPr>
          </w:p>
        </w:tc>
      </w:tr>
      <w:tr>
        <w:trPr>
          <w:trHeight w:val="162"/>
        </w:trPr>
        <w:tc>
          <w:tcPr>
            <w:tcW w:w="2920" w:type="dxa"/>
            <w:vAlign w:val="bottom"/>
            <w:tcBorders>
              <w:left w:val="single" w:sz="8" w:color="2360A6"/>
              <w:right w:val="single" w:sz="8" w:color="2360A6"/>
            </w:tcBorders>
          </w:tcPr>
          <w:p>
            <w:pPr>
              <w:spacing w:after="0"/>
              <w:rPr>
                <w:sz w:val="14"/>
                <w:szCs w:val="14"/>
                <w:color w:val="auto"/>
              </w:rPr>
            </w:pPr>
          </w:p>
        </w:tc>
        <w:tc>
          <w:tcPr>
            <w:tcW w:w="880" w:type="dxa"/>
            <w:vAlign w:val="bottom"/>
            <w:tcBorders>
              <w:right w:val="single" w:sz="8" w:color="2360A6"/>
            </w:tcBorders>
          </w:tcPr>
          <w:p>
            <w:pPr>
              <w:spacing w:after="0"/>
              <w:rPr>
                <w:sz w:val="14"/>
                <w:szCs w:val="14"/>
                <w:color w:val="auto"/>
              </w:rPr>
            </w:pPr>
          </w:p>
        </w:tc>
        <w:tc>
          <w:tcPr>
            <w:tcW w:w="1300" w:type="dxa"/>
            <w:vAlign w:val="bottom"/>
            <w:tcBorders>
              <w:right w:val="single" w:sz="8" w:color="2360A6"/>
            </w:tcBorders>
          </w:tcPr>
          <w:p>
            <w:pPr>
              <w:spacing w:after="0"/>
              <w:rPr>
                <w:sz w:val="14"/>
                <w:szCs w:val="14"/>
                <w:color w:val="auto"/>
              </w:rPr>
            </w:pPr>
          </w:p>
        </w:tc>
        <w:tc>
          <w:tcPr>
            <w:tcW w:w="128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Currency</w:t>
            </w:r>
          </w:p>
        </w:tc>
        <w:tc>
          <w:tcPr>
            <w:tcW w:w="300" w:type="dxa"/>
            <w:vAlign w:val="bottom"/>
          </w:tcPr>
          <w:p>
            <w:pPr>
              <w:spacing w:after="0"/>
              <w:rPr>
                <w:sz w:val="14"/>
                <w:szCs w:val="14"/>
                <w:color w:val="auto"/>
              </w:rPr>
            </w:pPr>
          </w:p>
        </w:tc>
        <w:tc>
          <w:tcPr>
            <w:tcW w:w="100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/Reversal of</w:t>
            </w:r>
          </w:p>
        </w:tc>
        <w:tc>
          <w:tcPr>
            <w:tcW w:w="1380" w:type="dxa"/>
            <w:vAlign w:val="bottom"/>
            <w:tcBorders>
              <w:right w:val="single" w:sz="8" w:color="2360A6"/>
            </w:tcBorders>
          </w:tcPr>
          <w:p>
            <w:pPr>
              <w:spacing w:after="0"/>
              <w:rPr>
                <w:sz w:val="14"/>
                <w:szCs w:val="14"/>
                <w:color w:val="auto"/>
              </w:rPr>
            </w:pPr>
          </w:p>
        </w:tc>
        <w:tc>
          <w:tcPr>
            <w:tcW w:w="1720" w:type="dxa"/>
            <w:vAlign w:val="bottom"/>
            <w:tcBorders>
              <w:right w:val="single" w:sz="8" w:color="2360A6"/>
            </w:tcBorders>
          </w:tcPr>
          <w:p>
            <w:pPr>
              <w:spacing w:after="0"/>
              <w:rPr>
                <w:sz w:val="14"/>
                <w:szCs w:val="14"/>
                <w:color w:val="auto"/>
              </w:rPr>
            </w:pPr>
          </w:p>
        </w:tc>
      </w:tr>
      <w:tr>
        <w:trPr>
          <w:trHeight w:val="196"/>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8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Interest</w:t>
            </w:r>
          </w:p>
        </w:tc>
        <w:tc>
          <w:tcPr>
            <w:tcW w:w="13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At Fair Value</w:t>
            </w:r>
          </w:p>
        </w:tc>
        <w:tc>
          <w:tcPr>
            <w:tcW w:w="12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Translation</w:t>
            </w:r>
          </w:p>
        </w:tc>
        <w:tc>
          <w:tcPr>
            <w:tcW w:w="300" w:type="dxa"/>
            <w:vAlign w:val="bottom"/>
            <w:tcBorders>
              <w:bottom w:val="single" w:sz="8" w:color="2360A6"/>
            </w:tcBorders>
          </w:tcPr>
          <w:p>
            <w:pPr>
              <w:spacing w:after="0"/>
              <w:rPr>
                <w:sz w:val="17"/>
                <w:szCs w:val="17"/>
                <w:color w:val="auto"/>
              </w:rPr>
            </w:pPr>
          </w:p>
        </w:tc>
        <w:tc>
          <w:tcPr>
            <w:tcW w:w="10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Impairment</w:t>
            </w:r>
          </w:p>
        </w:tc>
        <w:tc>
          <w:tcPr>
            <w:tcW w:w="13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Derecognition</w:t>
            </w:r>
          </w:p>
        </w:tc>
        <w:tc>
          <w:tcPr>
            <w:tcW w:w="17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Net Gains/ (Losses)</w:t>
            </w:r>
          </w:p>
        </w:tc>
      </w:tr>
      <w:tr>
        <w:trPr>
          <w:trHeight w:val="264"/>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1F20"/>
              </w:rPr>
              <w:t>Categories of Financial Instruments</w:t>
            </w:r>
          </w:p>
        </w:tc>
        <w:tc>
          <w:tcPr>
            <w:tcW w:w="880" w:type="dxa"/>
            <w:vAlign w:val="bottom"/>
            <w:tcBorders>
              <w:bottom w:val="single" w:sz="8" w:color="2360A6"/>
              <w:right w:val="single" w:sz="8" w:color="2360A6"/>
            </w:tcBorders>
          </w:tcPr>
          <w:p>
            <w:pPr>
              <w:spacing w:after="0"/>
              <w:rPr>
                <w:sz w:val="22"/>
                <w:szCs w:val="22"/>
                <w:color w:val="auto"/>
              </w:rPr>
            </w:pPr>
          </w:p>
        </w:tc>
        <w:tc>
          <w:tcPr>
            <w:tcW w:w="1300" w:type="dxa"/>
            <w:vAlign w:val="bottom"/>
            <w:tcBorders>
              <w:bottom w:val="single" w:sz="8" w:color="2360A6"/>
              <w:right w:val="single" w:sz="8" w:color="2360A6"/>
            </w:tcBorders>
          </w:tcPr>
          <w:p>
            <w:pPr>
              <w:spacing w:after="0"/>
              <w:rPr>
                <w:sz w:val="22"/>
                <w:szCs w:val="22"/>
                <w:color w:val="auto"/>
              </w:rPr>
            </w:pPr>
          </w:p>
        </w:tc>
        <w:tc>
          <w:tcPr>
            <w:tcW w:w="1280" w:type="dxa"/>
            <w:vAlign w:val="bottom"/>
            <w:tcBorders>
              <w:bottom w:val="single" w:sz="8" w:color="2360A6"/>
              <w:right w:val="single" w:sz="8" w:color="2360A6"/>
            </w:tcBorders>
          </w:tcPr>
          <w:p>
            <w:pPr>
              <w:spacing w:after="0"/>
              <w:rPr>
                <w:sz w:val="22"/>
                <w:szCs w:val="22"/>
                <w:color w:val="auto"/>
              </w:rPr>
            </w:pPr>
          </w:p>
        </w:tc>
        <w:tc>
          <w:tcPr>
            <w:tcW w:w="300" w:type="dxa"/>
            <w:vAlign w:val="bottom"/>
            <w:tcBorders>
              <w:bottom w:val="single" w:sz="8" w:color="2360A6"/>
            </w:tcBorders>
          </w:tcPr>
          <w:p>
            <w:pPr>
              <w:spacing w:after="0"/>
              <w:rPr>
                <w:sz w:val="22"/>
                <w:szCs w:val="22"/>
                <w:color w:val="auto"/>
              </w:rPr>
            </w:pPr>
          </w:p>
        </w:tc>
        <w:tc>
          <w:tcPr>
            <w:tcW w:w="1000" w:type="dxa"/>
            <w:vAlign w:val="bottom"/>
            <w:tcBorders>
              <w:bottom w:val="single" w:sz="8" w:color="2360A6"/>
              <w:right w:val="single" w:sz="8" w:color="2360A6"/>
            </w:tcBorders>
          </w:tcPr>
          <w:p>
            <w:pPr>
              <w:spacing w:after="0"/>
              <w:rPr>
                <w:sz w:val="22"/>
                <w:szCs w:val="22"/>
                <w:color w:val="auto"/>
              </w:rPr>
            </w:pPr>
          </w:p>
        </w:tc>
        <w:tc>
          <w:tcPr>
            <w:tcW w:w="1380" w:type="dxa"/>
            <w:vAlign w:val="bottom"/>
            <w:tcBorders>
              <w:bottom w:val="single" w:sz="8" w:color="2360A6"/>
              <w:right w:val="single" w:sz="8" w:color="2360A6"/>
            </w:tcBorders>
          </w:tcPr>
          <w:p>
            <w:pPr>
              <w:spacing w:after="0"/>
              <w:rPr>
                <w:sz w:val="22"/>
                <w:szCs w:val="22"/>
                <w:color w:val="auto"/>
              </w:rPr>
            </w:pPr>
          </w:p>
        </w:tc>
        <w:tc>
          <w:tcPr>
            <w:tcW w:w="1720" w:type="dxa"/>
            <w:vAlign w:val="bottom"/>
            <w:tcBorders>
              <w:bottom w:val="single" w:sz="8" w:color="2360A6"/>
              <w:right w:val="single" w:sz="8" w:color="2360A6"/>
            </w:tcBorders>
          </w:tcPr>
          <w:p>
            <w:pPr>
              <w:spacing w:after="0"/>
              <w:rPr>
                <w:sz w:val="22"/>
                <w:szCs w:val="22"/>
                <w:color w:val="auto"/>
              </w:rPr>
            </w:pPr>
          </w:p>
        </w:tc>
      </w:tr>
      <w:tr>
        <w:trPr>
          <w:trHeight w:val="210"/>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At Fair Value through Profit or Loss</w:t>
            </w:r>
          </w:p>
        </w:tc>
        <w:tc>
          <w:tcPr>
            <w:tcW w:w="8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37.8</w:t>
            </w:r>
          </w:p>
        </w:tc>
        <w:tc>
          <w:tcPr>
            <w:tcW w:w="13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300" w:type="dxa"/>
            <w:vAlign w:val="bottom"/>
            <w:tcBorders>
              <w:bottom w:val="single" w:sz="8" w:color="2360A6"/>
            </w:tcBorders>
          </w:tcPr>
          <w:p>
            <w:pPr>
              <w:spacing w:after="0"/>
              <w:rPr>
                <w:sz w:val="18"/>
                <w:szCs w:val="18"/>
                <w:color w:val="auto"/>
              </w:rPr>
            </w:pPr>
          </w:p>
        </w:tc>
        <w:tc>
          <w:tcPr>
            <w:tcW w:w="10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7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37.8</w:t>
            </w:r>
          </w:p>
        </w:tc>
      </w:tr>
      <w:tr>
        <w:trPr>
          <w:trHeight w:val="210"/>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Liabilities at Amortized Cost</w:t>
            </w:r>
          </w:p>
        </w:tc>
        <w:tc>
          <w:tcPr>
            <w:tcW w:w="88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(102.7)</w:t>
            </w:r>
          </w:p>
        </w:tc>
        <w:tc>
          <w:tcPr>
            <w:tcW w:w="13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300" w:type="dxa"/>
            <w:vAlign w:val="bottom"/>
            <w:tcBorders>
              <w:bottom w:val="single" w:sz="8" w:color="2360A6"/>
            </w:tcBorders>
          </w:tcPr>
          <w:p>
            <w:pPr>
              <w:spacing w:after="0"/>
              <w:rPr>
                <w:sz w:val="18"/>
                <w:szCs w:val="18"/>
                <w:color w:val="auto"/>
              </w:rPr>
            </w:pPr>
          </w:p>
        </w:tc>
        <w:tc>
          <w:tcPr>
            <w:tcW w:w="10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7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(102.7)</w:t>
            </w:r>
          </w:p>
        </w:tc>
      </w:tr>
      <w:tr>
        <w:trPr>
          <w:trHeight w:val="210"/>
        </w:trPr>
        <w:tc>
          <w:tcPr>
            <w:tcW w:w="29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Financial Instruments</w:t>
            </w:r>
          </w:p>
        </w:tc>
        <w:tc>
          <w:tcPr>
            <w:tcW w:w="8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60A6"/>
              <w:right w:val="single" w:sz="8" w:color="2360A6"/>
            </w:tcBorders>
          </w:tcPr>
          <w:p>
            <w:pPr>
              <w:jc w:val="right"/>
              <w:ind w:right="28"/>
              <w:spacing w:after="0"/>
              <w:rPr>
                <w:sz w:val="20"/>
                <w:szCs w:val="20"/>
                <w:color w:val="auto"/>
              </w:rPr>
            </w:pPr>
            <w:r>
              <w:rPr>
                <w:rFonts w:ascii="Arial" w:cs="Arial" w:eastAsia="Arial" w:hAnsi="Arial"/>
                <w:sz w:val="14"/>
                <w:szCs w:val="14"/>
                <w:color w:val="231F20"/>
              </w:rPr>
              <w:t>(58.3)</w:t>
            </w:r>
          </w:p>
        </w:tc>
        <w:tc>
          <w:tcPr>
            <w:tcW w:w="12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300" w:type="dxa"/>
            <w:vAlign w:val="bottom"/>
            <w:tcBorders>
              <w:bottom w:val="single" w:sz="8" w:color="2360A6"/>
            </w:tcBorders>
          </w:tcPr>
          <w:p>
            <w:pPr>
              <w:spacing w:after="0"/>
              <w:rPr>
                <w:sz w:val="18"/>
                <w:szCs w:val="18"/>
                <w:color w:val="auto"/>
              </w:rPr>
            </w:pPr>
          </w:p>
        </w:tc>
        <w:tc>
          <w:tcPr>
            <w:tcW w:w="100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7.5</w:t>
            </w:r>
          </w:p>
        </w:tc>
        <w:tc>
          <w:tcPr>
            <w:tcW w:w="13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c>
          <w:tcPr>
            <w:tcW w:w="17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(50.8)</w:t>
            </w:r>
          </w:p>
        </w:tc>
      </w:tr>
      <w:tr>
        <w:trPr>
          <w:trHeight w:val="210"/>
        </w:trPr>
        <w:tc>
          <w:tcPr>
            <w:tcW w:w="292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NET GAINS/(LOSSES)</w:t>
            </w:r>
          </w:p>
        </w:tc>
        <w:tc>
          <w:tcPr>
            <w:tcW w:w="880" w:type="dxa"/>
            <w:vAlign w:val="bottom"/>
            <w:tcBorders>
              <w:bottom w:val="single" w:sz="8" w:color="2360A6"/>
              <w:right w:val="single" w:sz="8" w:color="2360A6"/>
            </w:tcBorders>
            <w:shd w:val="clear" w:color="auto" w:fill="D2DEEC"/>
          </w:tcPr>
          <w:p>
            <w:pPr>
              <w:jc w:val="right"/>
              <w:ind w:right="28"/>
              <w:spacing w:after="0"/>
              <w:rPr>
                <w:sz w:val="20"/>
                <w:szCs w:val="20"/>
                <w:color w:val="auto"/>
              </w:rPr>
            </w:pPr>
            <w:r>
              <w:rPr>
                <w:rFonts w:ascii="Arial" w:cs="Arial" w:eastAsia="Arial" w:hAnsi="Arial"/>
                <w:sz w:val="14"/>
                <w:szCs w:val="14"/>
                <w:b w:val="1"/>
                <w:bCs w:val="1"/>
                <w:color w:val="2360A6"/>
              </w:rPr>
              <w:t>(64.9)</w:t>
            </w:r>
          </w:p>
        </w:tc>
        <w:tc>
          <w:tcPr>
            <w:tcW w:w="1300" w:type="dxa"/>
            <w:vAlign w:val="bottom"/>
            <w:tcBorders>
              <w:bottom w:val="single" w:sz="8" w:color="2360A6"/>
              <w:right w:val="single" w:sz="8" w:color="2360A6"/>
            </w:tcBorders>
            <w:shd w:val="clear" w:color="auto" w:fill="D2DEEC"/>
          </w:tcPr>
          <w:p>
            <w:pPr>
              <w:jc w:val="right"/>
              <w:ind w:right="28"/>
              <w:spacing w:after="0"/>
              <w:rPr>
                <w:sz w:val="20"/>
                <w:szCs w:val="20"/>
                <w:color w:val="auto"/>
              </w:rPr>
            </w:pPr>
            <w:r>
              <w:rPr>
                <w:rFonts w:ascii="Arial" w:cs="Arial" w:eastAsia="Arial" w:hAnsi="Arial"/>
                <w:sz w:val="14"/>
                <w:szCs w:val="14"/>
                <w:b w:val="1"/>
                <w:bCs w:val="1"/>
                <w:color w:val="2360A6"/>
              </w:rPr>
              <w:t>(58.3)</w:t>
            </w:r>
          </w:p>
        </w:tc>
        <w:tc>
          <w:tcPr>
            <w:tcW w:w="12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w:t>
            </w:r>
          </w:p>
        </w:tc>
        <w:tc>
          <w:tcPr>
            <w:tcW w:w="300" w:type="dxa"/>
            <w:vAlign w:val="bottom"/>
            <w:tcBorders>
              <w:bottom w:val="single" w:sz="8" w:color="2360A6"/>
            </w:tcBorders>
            <w:shd w:val="clear" w:color="auto" w:fill="D2DEEC"/>
          </w:tcPr>
          <w:p>
            <w:pPr>
              <w:spacing w:after="0"/>
              <w:rPr>
                <w:sz w:val="18"/>
                <w:szCs w:val="18"/>
                <w:color w:val="auto"/>
              </w:rPr>
            </w:pPr>
          </w:p>
        </w:tc>
        <w:tc>
          <w:tcPr>
            <w:tcW w:w="100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7.5</w:t>
            </w:r>
          </w:p>
        </w:tc>
        <w:tc>
          <w:tcPr>
            <w:tcW w:w="13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w:t>
            </w:r>
          </w:p>
        </w:tc>
        <w:tc>
          <w:tcPr>
            <w:tcW w:w="172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(115.7)</w:t>
            </w:r>
          </w:p>
        </w:tc>
      </w:tr>
    </w:tbl>
    <w:p>
      <w:pPr>
        <w:spacing w:after="0" w:line="294" w:lineRule="exact"/>
        <w:rPr>
          <w:sz w:val="20"/>
          <w:szCs w:val="20"/>
          <w:color w:val="auto"/>
        </w:rPr>
      </w:pPr>
    </w:p>
    <w:p>
      <w:pPr>
        <w:ind w:left="100"/>
        <w:spacing w:after="0"/>
        <w:rPr>
          <w:sz w:val="20"/>
          <w:szCs w:val="20"/>
          <w:color w:val="auto"/>
        </w:rPr>
      </w:pPr>
      <w:r>
        <w:rPr>
          <w:rFonts w:ascii="Arial" w:cs="Arial" w:eastAsia="Arial" w:hAnsi="Arial"/>
          <w:sz w:val="25"/>
          <w:szCs w:val="25"/>
          <w:b w:val="1"/>
          <w:bCs w:val="1"/>
          <w:color w:val="231F20"/>
        </w:rPr>
        <w:t>(C) Derivative Financial Instruments</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The breakdown by category of derivative financial instruments is as follows:</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4900" w:type="dxa"/>
            <w:vAlign w:val="bottom"/>
            <w:tcBorders>
              <w:top w:val="single" w:sz="8" w:color="2360A6"/>
              <w:left w:val="single" w:sz="8" w:color="2360A6"/>
              <w:right w:val="single" w:sz="8" w:color="2360A6"/>
            </w:tcBorders>
          </w:tcPr>
          <w:p>
            <w:pPr>
              <w:spacing w:after="0"/>
              <w:rPr>
                <w:sz w:val="16"/>
                <w:szCs w:val="16"/>
                <w:color w:val="auto"/>
              </w:rPr>
            </w:pPr>
          </w:p>
        </w:tc>
        <w:tc>
          <w:tcPr>
            <w:tcW w:w="840" w:type="dxa"/>
            <w:vAlign w:val="bottom"/>
            <w:tcBorders>
              <w:top w:val="single" w:sz="8" w:color="2360A6"/>
            </w:tcBorders>
            <w:shd w:val="clear" w:color="auto" w:fill="2360A6"/>
          </w:tcPr>
          <w:p>
            <w:pPr>
              <w:spacing w:after="0"/>
              <w:rPr>
                <w:sz w:val="16"/>
                <w:szCs w:val="16"/>
                <w:color w:val="auto"/>
              </w:rPr>
            </w:pPr>
          </w:p>
        </w:tc>
        <w:tc>
          <w:tcPr>
            <w:tcW w:w="120" w:type="dxa"/>
            <w:vAlign w:val="bottom"/>
            <w:tcBorders>
              <w:top w:val="single" w:sz="8" w:color="2360A6"/>
              <w:right w:val="single" w:sz="8" w:color="2360A6"/>
            </w:tcBorders>
            <w:shd w:val="clear" w:color="auto" w:fill="2360A6"/>
          </w:tcPr>
          <w:p>
            <w:pPr>
              <w:spacing w:after="0"/>
              <w:rPr>
                <w:sz w:val="16"/>
                <w:szCs w:val="16"/>
                <w:color w:val="auto"/>
              </w:rPr>
            </w:pPr>
          </w:p>
        </w:tc>
        <w:tc>
          <w:tcPr>
            <w:tcW w:w="960" w:type="dxa"/>
            <w:vAlign w:val="bottom"/>
            <w:tcBorders>
              <w:top w:val="single" w:sz="8" w:color="2360A6"/>
              <w:right w:val="single" w:sz="8" w:color="2360A6"/>
            </w:tcBorders>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As of</w:t>
            </w:r>
          </w:p>
        </w:tc>
        <w:tc>
          <w:tcPr>
            <w:tcW w:w="840" w:type="dxa"/>
            <w:vAlign w:val="bottom"/>
            <w:tcBorders>
              <w:top w:val="single" w:sz="8" w:color="2360A6"/>
            </w:tcBorders>
          </w:tcPr>
          <w:p>
            <w:pPr>
              <w:spacing w:after="0"/>
              <w:rPr>
                <w:sz w:val="16"/>
                <w:szCs w:val="16"/>
                <w:color w:val="auto"/>
              </w:rPr>
            </w:pPr>
          </w:p>
        </w:tc>
        <w:tc>
          <w:tcPr>
            <w:tcW w:w="120" w:type="dxa"/>
            <w:vAlign w:val="bottom"/>
            <w:tcBorders>
              <w:top w:val="single" w:sz="8" w:color="2360A6"/>
            </w:tcBorders>
          </w:tcPr>
          <w:p>
            <w:pPr>
              <w:spacing w:after="0"/>
              <w:rPr>
                <w:sz w:val="16"/>
                <w:szCs w:val="16"/>
                <w:color w:val="auto"/>
              </w:rPr>
            </w:pPr>
          </w:p>
        </w:tc>
        <w:tc>
          <w:tcPr>
            <w:tcW w:w="960" w:type="dxa"/>
            <w:vAlign w:val="bottom"/>
            <w:tcBorders>
              <w:top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BA"/>
              </w:rPr>
              <w:t>As of</w:t>
            </w:r>
          </w:p>
        </w:tc>
        <w:tc>
          <w:tcPr>
            <w:tcW w:w="820" w:type="dxa"/>
            <w:vAlign w:val="bottom"/>
            <w:tcBorders>
              <w:top w:val="single" w:sz="8" w:color="2360A6"/>
            </w:tcBorders>
          </w:tcPr>
          <w:p>
            <w:pPr>
              <w:spacing w:after="0"/>
              <w:rPr>
                <w:sz w:val="16"/>
                <w:szCs w:val="16"/>
                <w:color w:val="auto"/>
              </w:rPr>
            </w:pPr>
          </w:p>
        </w:tc>
        <w:tc>
          <w:tcPr>
            <w:tcW w:w="140" w:type="dxa"/>
            <w:vAlign w:val="bottom"/>
            <w:tcBorders>
              <w:top w:val="single" w:sz="8" w:color="2360A6"/>
            </w:tcBorders>
          </w:tcPr>
          <w:p>
            <w:pPr>
              <w:spacing w:after="0"/>
              <w:rPr>
                <w:sz w:val="16"/>
                <w:szCs w:val="16"/>
                <w:color w:val="auto"/>
              </w:rPr>
            </w:pPr>
          </w:p>
        </w:tc>
        <w:tc>
          <w:tcPr>
            <w:tcW w:w="920" w:type="dxa"/>
            <w:vAlign w:val="bottom"/>
            <w:tcBorders>
              <w:top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As of</w:t>
            </w:r>
          </w:p>
        </w:tc>
      </w:tr>
      <w:tr>
        <w:trPr>
          <w:trHeight w:val="162"/>
        </w:trPr>
        <w:tc>
          <w:tcPr>
            <w:tcW w:w="4900" w:type="dxa"/>
            <w:vAlign w:val="bottom"/>
            <w:tcBorders>
              <w:left w:val="single" w:sz="8" w:color="2360A6"/>
              <w:right w:val="single" w:sz="8" w:color="2360A6"/>
            </w:tcBorders>
          </w:tcPr>
          <w:p>
            <w:pPr>
              <w:spacing w:after="0"/>
              <w:rPr>
                <w:sz w:val="14"/>
                <w:szCs w:val="14"/>
                <w:color w:val="auto"/>
              </w:rPr>
            </w:pPr>
          </w:p>
        </w:tc>
        <w:tc>
          <w:tcPr>
            <w:tcW w:w="840" w:type="dxa"/>
            <w:vAlign w:val="bottom"/>
            <w:shd w:val="clear" w:color="auto" w:fill="2360A6"/>
          </w:tcPr>
          <w:p>
            <w:pPr>
              <w:spacing w:after="0"/>
              <w:rPr>
                <w:sz w:val="14"/>
                <w:szCs w:val="14"/>
                <w:color w:val="auto"/>
              </w:rPr>
            </w:pPr>
          </w:p>
        </w:tc>
        <w:tc>
          <w:tcPr>
            <w:tcW w:w="1080" w:type="dxa"/>
            <w:vAlign w:val="bottom"/>
            <w:tcBorders>
              <w:right w:val="single" w:sz="8" w:color="2360A6"/>
            </w:tcBorders>
            <w:gridSpan w:val="2"/>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December 31,</w:t>
            </w:r>
          </w:p>
        </w:tc>
        <w:tc>
          <w:tcPr>
            <w:tcW w:w="840" w:type="dxa"/>
            <w:vAlign w:val="bottom"/>
          </w:tcPr>
          <w:p>
            <w:pPr>
              <w:spacing w:after="0"/>
              <w:rPr>
                <w:sz w:val="14"/>
                <w:szCs w:val="14"/>
                <w:color w:val="auto"/>
              </w:rPr>
            </w:pPr>
          </w:p>
        </w:tc>
        <w:tc>
          <w:tcPr>
            <w:tcW w:w="1080" w:type="dxa"/>
            <w:vAlign w:val="bottom"/>
            <w:tcBorders>
              <w:right w:val="single" w:sz="8" w:color="2360A6"/>
            </w:tcBorders>
            <w:gridSpan w:val="2"/>
          </w:tcPr>
          <w:p>
            <w:pPr>
              <w:jc w:val="right"/>
              <w:ind w:right="68"/>
              <w:spacing w:after="0"/>
              <w:rPr>
                <w:sz w:val="20"/>
                <w:szCs w:val="20"/>
                <w:color w:val="auto"/>
              </w:rPr>
            </w:pPr>
            <w:r>
              <w:rPr>
                <w:rFonts w:ascii="Arial" w:cs="Arial" w:eastAsia="Arial" w:hAnsi="Arial"/>
                <w:sz w:val="14"/>
                <w:szCs w:val="14"/>
                <w:b w:val="1"/>
                <w:bCs w:val="1"/>
                <w:color w:val="2360BA"/>
              </w:rPr>
              <w:t>December 31,</w:t>
            </w:r>
          </w:p>
        </w:tc>
        <w:tc>
          <w:tcPr>
            <w:tcW w:w="820" w:type="dxa"/>
            <w:vAlign w:val="bottom"/>
          </w:tcPr>
          <w:p>
            <w:pPr>
              <w:spacing w:after="0"/>
              <w:rPr>
                <w:sz w:val="14"/>
                <w:szCs w:val="14"/>
                <w:color w:val="auto"/>
              </w:rPr>
            </w:pPr>
          </w:p>
        </w:tc>
        <w:tc>
          <w:tcPr>
            <w:tcW w:w="1060" w:type="dxa"/>
            <w:vAlign w:val="bottom"/>
            <w:tcBorders>
              <w:right w:val="single" w:sz="8" w:color="2360A6"/>
            </w:tcBorders>
            <w:gridSpan w:val="2"/>
          </w:tcPr>
          <w:p>
            <w:pPr>
              <w:jc w:val="right"/>
              <w:ind w:right="48"/>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4900" w:type="dxa"/>
            <w:vAlign w:val="bottom"/>
            <w:tcBorders>
              <w:left w:val="single" w:sz="8" w:color="2360A6"/>
              <w:right w:val="single" w:sz="8" w:color="2360A6"/>
            </w:tcBorders>
          </w:tcPr>
          <w:p>
            <w:pPr>
              <w:spacing w:after="0"/>
              <w:rPr>
                <w:sz w:val="17"/>
                <w:szCs w:val="17"/>
                <w:color w:val="auto"/>
              </w:rPr>
            </w:pPr>
          </w:p>
        </w:tc>
        <w:tc>
          <w:tcPr>
            <w:tcW w:w="840" w:type="dxa"/>
            <w:vAlign w:val="bottom"/>
            <w:tcBorders>
              <w:bottom w:val="single" w:sz="8" w:color="2360A6"/>
            </w:tcBorders>
            <w:shd w:val="clear" w:color="auto" w:fill="2360A6"/>
          </w:tcPr>
          <w:p>
            <w:pPr>
              <w:spacing w:after="0"/>
              <w:rPr>
                <w:sz w:val="17"/>
                <w:szCs w:val="17"/>
                <w:color w:val="auto"/>
              </w:rPr>
            </w:pPr>
          </w:p>
        </w:tc>
        <w:tc>
          <w:tcPr>
            <w:tcW w:w="1080" w:type="dxa"/>
            <w:vAlign w:val="bottom"/>
            <w:tcBorders>
              <w:bottom w:val="single" w:sz="8" w:color="2360A6"/>
              <w:right w:val="single" w:sz="8" w:color="2360A6"/>
            </w:tcBorders>
            <w:gridSpan w:val="2"/>
            <w:shd w:val="clear" w:color="auto" w:fill="2360A6"/>
          </w:tcPr>
          <w:p>
            <w:pPr>
              <w:jc w:val="right"/>
              <w:ind w:right="68"/>
              <w:spacing w:after="0"/>
              <w:rPr>
                <w:sz w:val="20"/>
                <w:szCs w:val="20"/>
                <w:color w:val="auto"/>
              </w:rPr>
            </w:pPr>
            <w:r>
              <w:rPr>
                <w:rFonts w:ascii="Arial" w:cs="Arial" w:eastAsia="Arial" w:hAnsi="Arial"/>
                <w:sz w:val="14"/>
                <w:szCs w:val="14"/>
                <w:b w:val="1"/>
                <w:bCs w:val="1"/>
                <w:color w:val="FFFFFF"/>
              </w:rPr>
              <w:t>2016</w:t>
            </w:r>
          </w:p>
        </w:tc>
        <w:tc>
          <w:tcPr>
            <w:tcW w:w="840" w:type="dxa"/>
            <w:vAlign w:val="bottom"/>
            <w:tcBorders>
              <w:bottom w:val="single" w:sz="8" w:color="2360A6"/>
            </w:tcBorders>
          </w:tcPr>
          <w:p>
            <w:pPr>
              <w:spacing w:after="0"/>
              <w:rPr>
                <w:sz w:val="17"/>
                <w:szCs w:val="17"/>
                <w:color w:val="auto"/>
              </w:rPr>
            </w:pPr>
          </w:p>
        </w:tc>
        <w:tc>
          <w:tcPr>
            <w:tcW w:w="1080" w:type="dxa"/>
            <w:vAlign w:val="bottom"/>
            <w:tcBorders>
              <w:bottom w:val="single" w:sz="8" w:color="2360A6"/>
              <w:right w:val="single" w:sz="8" w:color="2360A6"/>
            </w:tcBorders>
            <w:gridSpan w:val="2"/>
          </w:tcPr>
          <w:p>
            <w:pPr>
              <w:jc w:val="right"/>
              <w:ind w:right="68"/>
              <w:spacing w:after="0"/>
              <w:rPr>
                <w:sz w:val="20"/>
                <w:szCs w:val="20"/>
                <w:color w:val="auto"/>
              </w:rPr>
            </w:pPr>
            <w:r>
              <w:rPr>
                <w:rFonts w:ascii="Arial" w:cs="Arial" w:eastAsia="Arial" w:hAnsi="Arial"/>
                <w:sz w:val="14"/>
                <w:szCs w:val="14"/>
                <w:b w:val="1"/>
                <w:bCs w:val="1"/>
                <w:color w:val="2360BA"/>
              </w:rPr>
              <w:t>2015</w:t>
            </w:r>
          </w:p>
        </w:tc>
        <w:tc>
          <w:tcPr>
            <w:tcW w:w="820" w:type="dxa"/>
            <w:vAlign w:val="bottom"/>
            <w:tcBorders>
              <w:bottom w:val="single" w:sz="8" w:color="2360A6"/>
            </w:tcBorders>
          </w:tcPr>
          <w:p>
            <w:pPr>
              <w:spacing w:after="0"/>
              <w:rPr>
                <w:sz w:val="17"/>
                <w:szCs w:val="17"/>
                <w:color w:val="auto"/>
              </w:rPr>
            </w:pPr>
          </w:p>
        </w:tc>
        <w:tc>
          <w:tcPr>
            <w:tcW w:w="1060" w:type="dxa"/>
            <w:vAlign w:val="bottom"/>
            <w:tcBorders>
              <w:bottom w:val="single" w:sz="8" w:color="2360A6"/>
              <w:right w:val="single" w:sz="8" w:color="2360A6"/>
            </w:tcBorders>
            <w:gridSpan w:val="2"/>
          </w:tcPr>
          <w:p>
            <w:pPr>
              <w:jc w:val="right"/>
              <w:ind w:right="48"/>
              <w:spacing w:after="0"/>
              <w:rPr>
                <w:sz w:val="20"/>
                <w:szCs w:val="20"/>
                <w:color w:val="auto"/>
              </w:rPr>
            </w:pPr>
            <w:r>
              <w:rPr>
                <w:rFonts w:ascii="Arial" w:cs="Arial" w:eastAsia="Arial" w:hAnsi="Arial"/>
                <w:sz w:val="14"/>
                <w:szCs w:val="14"/>
                <w:b w:val="1"/>
                <w:bCs w:val="1"/>
                <w:color w:val="2360A6"/>
              </w:rPr>
              <w:t>2014</w:t>
            </w:r>
          </w:p>
        </w:tc>
      </w:tr>
      <w:tr>
        <w:trPr>
          <w:trHeight w:val="210"/>
        </w:trPr>
        <w:tc>
          <w:tcPr>
            <w:tcW w:w="490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8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b w:val="1"/>
                <w:bCs w:val="1"/>
                <w:color w:val="2360A6"/>
              </w:rPr>
              <w:t>Asset</w:t>
            </w:r>
          </w:p>
        </w:tc>
        <w:tc>
          <w:tcPr>
            <w:tcW w:w="120" w:type="dxa"/>
            <w:vAlign w:val="bottom"/>
            <w:tcBorders>
              <w:bottom w:val="single" w:sz="8" w:color="2360A6"/>
              <w:right w:val="single" w:sz="8" w:color="2360A6"/>
            </w:tcBorders>
            <w:shd w:val="clear" w:color="auto" w:fill="DCDDDE"/>
          </w:tcPr>
          <w:p>
            <w:pPr>
              <w:spacing w:after="0"/>
              <w:rPr>
                <w:sz w:val="18"/>
                <w:szCs w:val="18"/>
                <w:color w:val="auto"/>
              </w:rPr>
            </w:pPr>
          </w:p>
        </w:tc>
        <w:tc>
          <w:tcPr>
            <w:tcW w:w="96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b w:val="1"/>
                <w:bCs w:val="1"/>
                <w:color w:val="2360A6"/>
              </w:rPr>
              <w:t>Liability</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Asset</w:t>
            </w:r>
          </w:p>
        </w:tc>
        <w:tc>
          <w:tcPr>
            <w:tcW w:w="120" w:type="dxa"/>
            <w:vAlign w:val="bottom"/>
            <w:tcBorders>
              <w:bottom w:val="single" w:sz="8" w:color="2360A6"/>
              <w:right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Liability</w:t>
            </w:r>
          </w:p>
        </w:tc>
        <w:tc>
          <w:tcPr>
            <w:tcW w:w="82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A6"/>
              </w:rPr>
              <w:t>Asset</w:t>
            </w:r>
          </w:p>
        </w:tc>
        <w:tc>
          <w:tcPr>
            <w:tcW w:w="140" w:type="dxa"/>
            <w:vAlign w:val="bottom"/>
            <w:tcBorders>
              <w:bottom w:val="single" w:sz="8" w:color="2360A6"/>
              <w:right w:val="single" w:sz="8" w:color="2360A6"/>
            </w:tcBorders>
          </w:tcPr>
          <w:p>
            <w:pPr>
              <w:spacing w:after="0"/>
              <w:rPr>
                <w:sz w:val="18"/>
                <w:szCs w:val="18"/>
                <w:color w:val="auto"/>
              </w:rPr>
            </w:pPr>
          </w:p>
        </w:tc>
        <w:tc>
          <w:tcPr>
            <w:tcW w:w="9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Liability</w:t>
            </w:r>
          </w:p>
        </w:tc>
      </w:tr>
      <w:tr>
        <w:trPr>
          <w:trHeight w:val="210"/>
        </w:trPr>
        <w:tc>
          <w:tcPr>
            <w:tcW w:w="490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Forward Foreign Exchange Contracts - Fair Value Hedge</w:t>
            </w:r>
          </w:p>
        </w:tc>
        <w:tc>
          <w:tcPr>
            <w:tcW w:w="8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2360A6"/>
              <w:right w:val="single" w:sz="8" w:color="2360A6"/>
            </w:tcBorders>
            <w:shd w:val="clear" w:color="auto" w:fill="DCDDDE"/>
          </w:tcPr>
          <w:p>
            <w:pPr>
              <w:spacing w:after="0"/>
              <w:rPr>
                <w:sz w:val="18"/>
                <w:szCs w:val="18"/>
                <w:color w:val="auto"/>
              </w:rPr>
            </w:pPr>
          </w:p>
        </w:tc>
        <w:tc>
          <w:tcPr>
            <w:tcW w:w="96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auto"/>
              </w:rPr>
              <w:t>28.5</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7.2</w:t>
            </w:r>
          </w:p>
        </w:tc>
        <w:tc>
          <w:tcPr>
            <w:tcW w:w="120" w:type="dxa"/>
            <w:vAlign w:val="bottom"/>
            <w:tcBorders>
              <w:bottom w:val="single" w:sz="8" w:color="2360A6"/>
              <w:right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57.9</w:t>
            </w:r>
          </w:p>
        </w:tc>
        <w:tc>
          <w:tcPr>
            <w:tcW w:w="82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1.5</w:t>
            </w:r>
          </w:p>
        </w:tc>
        <w:tc>
          <w:tcPr>
            <w:tcW w:w="140" w:type="dxa"/>
            <w:vAlign w:val="bottom"/>
            <w:tcBorders>
              <w:bottom w:val="single" w:sz="8" w:color="2360A6"/>
              <w:right w:val="single" w:sz="8" w:color="2360A6"/>
            </w:tcBorders>
          </w:tcPr>
          <w:p>
            <w:pPr>
              <w:spacing w:after="0"/>
              <w:rPr>
                <w:sz w:val="18"/>
                <w:szCs w:val="18"/>
                <w:color w:val="auto"/>
              </w:rPr>
            </w:pPr>
          </w:p>
        </w:tc>
        <w:tc>
          <w:tcPr>
            <w:tcW w:w="9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53.1</w:t>
            </w:r>
          </w:p>
        </w:tc>
      </w:tr>
      <w:tr>
        <w:trPr>
          <w:trHeight w:val="210"/>
        </w:trPr>
        <w:tc>
          <w:tcPr>
            <w:tcW w:w="490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Forward Foreign Exchange Contracts - Cash Flow Hedge</w:t>
            </w:r>
          </w:p>
        </w:tc>
        <w:tc>
          <w:tcPr>
            <w:tcW w:w="8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Borders>
              <w:bottom w:val="single" w:sz="8" w:color="2360A6"/>
              <w:right w:val="single" w:sz="8" w:color="2360A6"/>
            </w:tcBorders>
            <w:shd w:val="clear" w:color="auto" w:fill="DCDDDE"/>
          </w:tcPr>
          <w:p>
            <w:pPr>
              <w:spacing w:after="0"/>
              <w:rPr>
                <w:sz w:val="18"/>
                <w:szCs w:val="18"/>
                <w:color w:val="auto"/>
              </w:rPr>
            </w:pPr>
          </w:p>
        </w:tc>
        <w:tc>
          <w:tcPr>
            <w:tcW w:w="96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auto"/>
              </w:rPr>
              <w:t>190.2</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39.9</w:t>
            </w:r>
          </w:p>
        </w:tc>
        <w:tc>
          <w:tcPr>
            <w:tcW w:w="120" w:type="dxa"/>
            <w:vAlign w:val="bottom"/>
            <w:tcBorders>
              <w:bottom w:val="single" w:sz="8" w:color="2360A6"/>
              <w:right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276.5</w:t>
            </w:r>
          </w:p>
        </w:tc>
        <w:tc>
          <w:tcPr>
            <w:tcW w:w="82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45.1</w:t>
            </w:r>
          </w:p>
        </w:tc>
        <w:tc>
          <w:tcPr>
            <w:tcW w:w="140" w:type="dxa"/>
            <w:vAlign w:val="bottom"/>
            <w:tcBorders>
              <w:bottom w:val="single" w:sz="8" w:color="2360A6"/>
              <w:right w:val="single" w:sz="8" w:color="2360A6"/>
            </w:tcBorders>
          </w:tcPr>
          <w:p>
            <w:pPr>
              <w:spacing w:after="0"/>
              <w:rPr>
                <w:sz w:val="18"/>
                <w:szCs w:val="18"/>
                <w:color w:val="auto"/>
              </w:rPr>
            </w:pPr>
          </w:p>
        </w:tc>
        <w:tc>
          <w:tcPr>
            <w:tcW w:w="9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247.0</w:t>
            </w:r>
          </w:p>
        </w:tc>
      </w:tr>
      <w:tr>
        <w:trPr>
          <w:trHeight w:val="193"/>
        </w:trPr>
        <w:tc>
          <w:tcPr>
            <w:tcW w:w="4900" w:type="dxa"/>
            <w:vAlign w:val="bottom"/>
            <w:tcBorders>
              <w:left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Forward Foreign Exchange Contracts - not Designated as</w:t>
            </w:r>
          </w:p>
        </w:tc>
        <w:tc>
          <w:tcPr>
            <w:tcW w:w="840" w:type="dxa"/>
            <w:vAlign w:val="bottom"/>
            <w:shd w:val="clear" w:color="auto" w:fill="DCDDDE"/>
          </w:tcPr>
          <w:p>
            <w:pPr>
              <w:spacing w:after="0"/>
              <w:rPr>
                <w:sz w:val="16"/>
                <w:szCs w:val="16"/>
                <w:color w:val="auto"/>
              </w:rPr>
            </w:pPr>
          </w:p>
        </w:tc>
        <w:tc>
          <w:tcPr>
            <w:tcW w:w="120" w:type="dxa"/>
            <w:vAlign w:val="bottom"/>
            <w:tcBorders>
              <w:right w:val="single" w:sz="8" w:color="2360A6"/>
            </w:tcBorders>
            <w:shd w:val="clear" w:color="auto" w:fill="DCDDDE"/>
          </w:tcPr>
          <w:p>
            <w:pPr>
              <w:spacing w:after="0"/>
              <w:rPr>
                <w:sz w:val="16"/>
                <w:szCs w:val="16"/>
                <w:color w:val="auto"/>
              </w:rPr>
            </w:pPr>
          </w:p>
        </w:tc>
        <w:tc>
          <w:tcPr>
            <w:tcW w:w="960" w:type="dxa"/>
            <w:vAlign w:val="bottom"/>
            <w:tcBorders>
              <w:right w:val="single" w:sz="8" w:color="2360A6"/>
            </w:tcBorders>
            <w:shd w:val="clear" w:color="auto" w:fill="DCDDDE"/>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2360A6"/>
            </w:tcBorders>
          </w:tcPr>
          <w:p>
            <w:pPr>
              <w:spacing w:after="0"/>
              <w:rPr>
                <w:sz w:val="16"/>
                <w:szCs w:val="16"/>
                <w:color w:val="auto"/>
              </w:rPr>
            </w:pPr>
          </w:p>
        </w:tc>
        <w:tc>
          <w:tcPr>
            <w:tcW w:w="960" w:type="dxa"/>
            <w:vAlign w:val="bottom"/>
            <w:tcBorders>
              <w:right w:val="single" w:sz="8" w:color="2360A6"/>
            </w:tcBorders>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2360A6"/>
            </w:tcBorders>
          </w:tcPr>
          <w:p>
            <w:pPr>
              <w:spacing w:after="0"/>
              <w:rPr>
                <w:sz w:val="16"/>
                <w:szCs w:val="16"/>
                <w:color w:val="auto"/>
              </w:rPr>
            </w:pPr>
          </w:p>
        </w:tc>
        <w:tc>
          <w:tcPr>
            <w:tcW w:w="920" w:type="dxa"/>
            <w:vAlign w:val="bottom"/>
            <w:tcBorders>
              <w:right w:val="single" w:sz="8" w:color="2360A6"/>
            </w:tcBorders>
          </w:tcPr>
          <w:p>
            <w:pPr>
              <w:spacing w:after="0"/>
              <w:rPr>
                <w:sz w:val="16"/>
                <w:szCs w:val="16"/>
                <w:color w:val="auto"/>
              </w:rPr>
            </w:pPr>
          </w:p>
        </w:tc>
      </w:tr>
      <w:tr>
        <w:trPr>
          <w:trHeight w:val="178"/>
        </w:trPr>
        <w:tc>
          <w:tcPr>
            <w:tcW w:w="490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Hedges for Accounting Purposes</w:t>
            </w:r>
          </w:p>
        </w:tc>
        <w:tc>
          <w:tcPr>
            <w:tcW w:w="8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2360A6"/>
              <w:right w:val="single" w:sz="8" w:color="2360A6"/>
            </w:tcBorders>
            <w:shd w:val="clear" w:color="auto" w:fill="DCDDDE"/>
          </w:tcPr>
          <w:p>
            <w:pPr>
              <w:spacing w:after="0"/>
              <w:rPr>
                <w:sz w:val="15"/>
                <w:szCs w:val="15"/>
                <w:color w:val="auto"/>
              </w:rPr>
            </w:pPr>
          </w:p>
        </w:tc>
        <w:tc>
          <w:tcPr>
            <w:tcW w:w="96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2360A6"/>
              <w:right w:val="single" w:sz="8" w:color="2360A6"/>
            </w:tcBorders>
          </w:tcPr>
          <w:p>
            <w:pPr>
              <w:spacing w:after="0"/>
              <w:rPr>
                <w:sz w:val="15"/>
                <w:szCs w:val="15"/>
                <w:color w:val="auto"/>
              </w:rPr>
            </w:pPr>
          </w:p>
        </w:tc>
        <w:tc>
          <w:tcPr>
            <w:tcW w:w="9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tcPr>
          <w:p>
            <w:pPr>
              <w:spacing w:after="0"/>
              <w:rPr>
                <w:sz w:val="15"/>
                <w:szCs w:val="15"/>
                <w:color w:val="auto"/>
              </w:rPr>
            </w:pPr>
          </w:p>
        </w:tc>
        <w:tc>
          <w:tcPr>
            <w:tcW w:w="9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0.4</w:t>
            </w:r>
          </w:p>
        </w:tc>
      </w:tr>
      <w:tr>
        <w:trPr>
          <w:trHeight w:val="210"/>
        </w:trPr>
        <w:tc>
          <w:tcPr>
            <w:tcW w:w="490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Synthetic Bonds - Call Option Premium</w:t>
            </w:r>
          </w:p>
        </w:tc>
        <w:tc>
          <w:tcPr>
            <w:tcW w:w="8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auto"/>
              </w:rPr>
              <w:t>170.9</w:t>
            </w:r>
          </w:p>
        </w:tc>
        <w:tc>
          <w:tcPr>
            <w:tcW w:w="120" w:type="dxa"/>
            <w:vAlign w:val="bottom"/>
            <w:tcBorders>
              <w:bottom w:val="single" w:sz="8" w:color="2360A6"/>
              <w:right w:val="single" w:sz="8" w:color="2360A6"/>
            </w:tcBorders>
            <w:shd w:val="clear" w:color="auto" w:fill="DCDDDE"/>
          </w:tcPr>
          <w:p>
            <w:pPr>
              <w:spacing w:after="0"/>
              <w:rPr>
                <w:sz w:val="18"/>
                <w:szCs w:val="18"/>
                <w:color w:val="auto"/>
              </w:rPr>
            </w:pPr>
          </w:p>
        </w:tc>
        <w:tc>
          <w:tcPr>
            <w:tcW w:w="96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2360A6"/>
              <w:right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tcPr>
          <w:p>
            <w:pPr>
              <w:spacing w:after="0"/>
              <w:rPr>
                <w:sz w:val="18"/>
                <w:szCs w:val="18"/>
                <w:color w:val="auto"/>
              </w:rPr>
            </w:pPr>
          </w:p>
        </w:tc>
        <w:tc>
          <w:tcPr>
            <w:tcW w:w="9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w:t>
            </w:r>
          </w:p>
        </w:tc>
      </w:tr>
      <w:tr>
        <w:trPr>
          <w:trHeight w:val="210"/>
        </w:trPr>
        <w:tc>
          <w:tcPr>
            <w:tcW w:w="490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Synthetic Bonds - Embedded Derivatives</w:t>
            </w:r>
          </w:p>
        </w:tc>
        <w:tc>
          <w:tcPr>
            <w:tcW w:w="840" w:type="dxa"/>
            <w:vAlign w:val="bottom"/>
            <w:tcBorders>
              <w:bottom w:val="single" w:sz="8" w:color="2360A6"/>
            </w:tcBorders>
            <w:shd w:val="clear" w:color="auto" w:fill="DCDDDE"/>
          </w:tcPr>
          <w:p>
            <w:pPr>
              <w:jc w:val="right"/>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2360A6"/>
              <w:right w:val="single" w:sz="8" w:color="2360A6"/>
            </w:tcBorders>
            <w:shd w:val="clear" w:color="auto" w:fill="DCDDDE"/>
          </w:tcPr>
          <w:p>
            <w:pPr>
              <w:spacing w:after="0"/>
              <w:rPr>
                <w:sz w:val="18"/>
                <w:szCs w:val="18"/>
                <w:color w:val="auto"/>
              </w:rPr>
            </w:pPr>
          </w:p>
        </w:tc>
        <w:tc>
          <w:tcPr>
            <w:tcW w:w="960" w:type="dxa"/>
            <w:vAlign w:val="bottom"/>
            <w:tcBorders>
              <w:bottom w:val="single" w:sz="8" w:color="2360A6"/>
              <w:right w:val="single" w:sz="8" w:color="2360A6"/>
            </w:tcBorders>
            <w:shd w:val="clear" w:color="auto" w:fill="DCDDDE"/>
          </w:tcPr>
          <w:p>
            <w:pPr>
              <w:jc w:val="right"/>
              <w:ind w:right="68"/>
              <w:spacing w:after="0"/>
              <w:rPr>
                <w:sz w:val="20"/>
                <w:szCs w:val="20"/>
                <w:color w:val="auto"/>
              </w:rPr>
            </w:pPr>
            <w:r>
              <w:rPr>
                <w:rFonts w:ascii="Arial" w:cs="Arial" w:eastAsia="Arial" w:hAnsi="Arial"/>
                <w:sz w:val="14"/>
                <w:szCs w:val="14"/>
                <w:color w:val="231F20"/>
              </w:rPr>
              <w:t>170.9</w:t>
            </w:r>
          </w:p>
        </w:tc>
        <w:tc>
          <w:tcPr>
            <w:tcW w:w="84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2360A6"/>
              <w:right w:val="single" w:sz="8" w:color="2360A6"/>
            </w:tcBorders>
          </w:tcPr>
          <w:p>
            <w:pPr>
              <w:spacing w:after="0"/>
              <w:rPr>
                <w:sz w:val="18"/>
                <w:szCs w:val="18"/>
                <w:color w:val="auto"/>
              </w:rPr>
            </w:pPr>
          </w:p>
        </w:tc>
        <w:tc>
          <w:tcPr>
            <w:tcW w:w="9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right w:val="single" w:sz="8" w:color="2360A6"/>
            </w:tcBorders>
          </w:tcPr>
          <w:p>
            <w:pPr>
              <w:spacing w:after="0"/>
              <w:rPr>
                <w:sz w:val="18"/>
                <w:szCs w:val="18"/>
                <w:color w:val="auto"/>
              </w:rPr>
            </w:pPr>
          </w:p>
        </w:tc>
        <w:tc>
          <w:tcPr>
            <w:tcW w:w="9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w:t>
            </w:r>
          </w:p>
        </w:tc>
      </w:tr>
      <w:tr>
        <w:trPr>
          <w:trHeight w:val="210"/>
        </w:trPr>
        <w:tc>
          <w:tcPr>
            <w:tcW w:w="4900" w:type="dxa"/>
            <w:vAlign w:val="bottom"/>
            <w:tcBorders>
              <w:left w:val="single" w:sz="8" w:color="2360A6"/>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DERIVATIVE FINANCIAL INSTRUMENTS</w:t>
            </w:r>
          </w:p>
        </w:tc>
        <w:tc>
          <w:tcPr>
            <w:tcW w:w="84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225.8</w:t>
            </w:r>
          </w:p>
        </w:tc>
        <w:tc>
          <w:tcPr>
            <w:tcW w:w="120" w:type="dxa"/>
            <w:vAlign w:val="bottom"/>
            <w:tcBorders>
              <w:bottom w:val="single" w:sz="8" w:color="2360A6"/>
              <w:right w:val="single" w:sz="8" w:color="2360A6"/>
            </w:tcBorders>
            <w:shd w:val="clear" w:color="auto" w:fill="D2DEEC"/>
          </w:tcPr>
          <w:p>
            <w:pPr>
              <w:spacing w:after="0"/>
              <w:rPr>
                <w:sz w:val="18"/>
                <w:szCs w:val="18"/>
                <w:color w:val="auto"/>
              </w:rPr>
            </w:pPr>
          </w:p>
        </w:tc>
        <w:tc>
          <w:tcPr>
            <w:tcW w:w="96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389.6</w:t>
            </w:r>
          </w:p>
        </w:tc>
        <w:tc>
          <w:tcPr>
            <w:tcW w:w="84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47.1</w:t>
            </w:r>
          </w:p>
        </w:tc>
        <w:tc>
          <w:tcPr>
            <w:tcW w:w="120" w:type="dxa"/>
            <w:vAlign w:val="bottom"/>
            <w:tcBorders>
              <w:bottom w:val="single" w:sz="8" w:color="2360A6"/>
              <w:right w:val="single" w:sz="8" w:color="2360A6"/>
            </w:tcBorders>
            <w:shd w:val="clear" w:color="auto" w:fill="D2DEEC"/>
          </w:tcPr>
          <w:p>
            <w:pPr>
              <w:spacing w:after="0"/>
              <w:rPr>
                <w:sz w:val="18"/>
                <w:szCs w:val="18"/>
                <w:color w:val="auto"/>
              </w:rPr>
            </w:pPr>
          </w:p>
        </w:tc>
        <w:tc>
          <w:tcPr>
            <w:tcW w:w="96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334.4</w:t>
            </w:r>
          </w:p>
        </w:tc>
        <w:tc>
          <w:tcPr>
            <w:tcW w:w="820" w:type="dxa"/>
            <w:vAlign w:val="bottom"/>
            <w:tcBorders>
              <w:bottom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46.6</w:t>
            </w:r>
          </w:p>
        </w:tc>
        <w:tc>
          <w:tcPr>
            <w:tcW w:w="140" w:type="dxa"/>
            <w:vAlign w:val="bottom"/>
            <w:tcBorders>
              <w:bottom w:val="single" w:sz="8" w:color="2360A6"/>
              <w:right w:val="single" w:sz="8" w:color="2360A6"/>
            </w:tcBorders>
            <w:shd w:val="clear" w:color="auto" w:fill="D2DEEC"/>
          </w:tcPr>
          <w:p>
            <w:pPr>
              <w:spacing w:after="0"/>
              <w:rPr>
                <w:sz w:val="18"/>
                <w:szCs w:val="18"/>
                <w:color w:val="auto"/>
              </w:rPr>
            </w:pPr>
          </w:p>
        </w:tc>
        <w:tc>
          <w:tcPr>
            <w:tcW w:w="92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300.5</w:t>
            </w:r>
          </w:p>
        </w:tc>
      </w:tr>
    </w:tbl>
    <w:p>
      <w:pPr>
        <w:spacing w:after="0" w:line="258" w:lineRule="exact"/>
        <w:rPr>
          <w:sz w:val="20"/>
          <w:szCs w:val="20"/>
          <w:color w:val="auto"/>
        </w:rPr>
      </w:pPr>
    </w:p>
    <w:p>
      <w:pPr>
        <w:ind w:left="100"/>
        <w:spacing w:after="0"/>
        <w:rPr>
          <w:sz w:val="20"/>
          <w:szCs w:val="20"/>
          <w:color w:val="auto"/>
        </w:rPr>
      </w:pPr>
      <w:r>
        <w:rPr>
          <w:rFonts w:ascii="Arial" w:cs="Arial" w:eastAsia="Arial" w:hAnsi="Arial"/>
          <w:sz w:val="16"/>
          <w:szCs w:val="16"/>
          <w:color w:val="231F20"/>
        </w:rPr>
        <w:t>The breakdown of gains and losses on derivative financial instruments that affect shareholders’ equity in fair value reserves is as follows:</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224"/>
        </w:trPr>
        <w:tc>
          <w:tcPr>
            <w:tcW w:w="6820" w:type="dxa"/>
            <w:vAlign w:val="bottom"/>
            <w:tcBorders>
              <w:top w:val="single" w:sz="8" w:color="2360A6"/>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1260" w:type="dxa"/>
            <w:vAlign w:val="bottom"/>
            <w:tcBorders>
              <w:top w:val="single" w:sz="8" w:color="2360A6"/>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128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2015</w:t>
            </w:r>
          </w:p>
        </w:tc>
        <w:tc>
          <w:tcPr>
            <w:tcW w:w="126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68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b w:val="1"/>
                <w:bCs w:val="1"/>
                <w:color w:val="2360A6"/>
              </w:rPr>
              <w:t>Total Gains/(Losses) on Derivative Financial Instruments as Reported in Equity as of January 1</w:t>
            </w:r>
          </w:p>
        </w:tc>
        <w:tc>
          <w:tcPr>
            <w:tcW w:w="126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b w:val="1"/>
                <w:bCs w:val="1"/>
                <w:color w:val="2360A6"/>
              </w:rPr>
              <w:t>(376.0)</w:t>
            </w:r>
          </w:p>
        </w:tc>
        <w:tc>
          <w:tcPr>
            <w:tcW w:w="12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(285.0)</w:t>
            </w:r>
          </w:p>
        </w:tc>
        <w:tc>
          <w:tcPr>
            <w:tcW w:w="12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63.1</w:t>
            </w:r>
          </w:p>
        </w:tc>
      </w:tr>
      <w:tr>
        <w:trPr>
          <w:trHeight w:val="210"/>
        </w:trPr>
        <w:tc>
          <w:tcPr>
            <w:tcW w:w="68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Fair Value Gains/(Losses) on Derivative Financial Instruments - Cash Flow Hedge</w:t>
            </w:r>
          </w:p>
        </w:tc>
        <w:tc>
          <w:tcPr>
            <w:tcW w:w="126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4"/>
                <w:szCs w:val="14"/>
                <w:color w:val="auto"/>
              </w:rPr>
              <w:t>200.7</w:t>
            </w:r>
          </w:p>
        </w:tc>
        <w:tc>
          <w:tcPr>
            <w:tcW w:w="12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(91.0)</w:t>
            </w:r>
          </w:p>
        </w:tc>
        <w:tc>
          <w:tcPr>
            <w:tcW w:w="12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(348.1)</w:t>
            </w:r>
          </w:p>
        </w:tc>
      </w:tr>
      <w:tr>
        <w:trPr>
          <w:trHeight w:val="175"/>
        </w:trPr>
        <w:tc>
          <w:tcPr>
            <w:tcW w:w="6820" w:type="dxa"/>
            <w:vAlign w:val="bottom"/>
            <w:tcBorders>
              <w:left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GAINS/(LOSSES) ON DERIVATIVE FINANCIAL INSTRUMENTS AS REPORTED IN EQUITY</w:t>
            </w:r>
          </w:p>
        </w:tc>
        <w:tc>
          <w:tcPr>
            <w:tcW w:w="1260" w:type="dxa"/>
            <w:vAlign w:val="bottom"/>
            <w:tcBorders>
              <w:right w:val="single" w:sz="8" w:color="2360A6"/>
            </w:tcBorders>
            <w:shd w:val="clear" w:color="auto" w:fill="D2DEEC"/>
          </w:tcPr>
          <w:p>
            <w:pPr>
              <w:spacing w:after="0"/>
              <w:rPr>
                <w:sz w:val="15"/>
                <w:szCs w:val="15"/>
                <w:color w:val="auto"/>
              </w:rPr>
            </w:pPr>
          </w:p>
        </w:tc>
        <w:tc>
          <w:tcPr>
            <w:tcW w:w="1280" w:type="dxa"/>
            <w:vAlign w:val="bottom"/>
            <w:tcBorders>
              <w:right w:val="single" w:sz="8" w:color="2360A6"/>
            </w:tcBorders>
            <w:shd w:val="clear" w:color="auto" w:fill="D2DEEC"/>
          </w:tcPr>
          <w:p>
            <w:pPr>
              <w:spacing w:after="0"/>
              <w:rPr>
                <w:sz w:val="15"/>
                <w:szCs w:val="15"/>
                <w:color w:val="auto"/>
              </w:rPr>
            </w:pPr>
          </w:p>
        </w:tc>
        <w:tc>
          <w:tcPr>
            <w:tcW w:w="1260" w:type="dxa"/>
            <w:vAlign w:val="bottom"/>
            <w:tcBorders>
              <w:right w:val="single" w:sz="8" w:color="2360A6"/>
            </w:tcBorders>
            <w:shd w:val="clear" w:color="auto" w:fill="D2DEEC"/>
          </w:tcPr>
          <w:p>
            <w:pPr>
              <w:spacing w:after="0"/>
              <w:rPr>
                <w:sz w:val="15"/>
                <w:szCs w:val="15"/>
                <w:color w:val="auto"/>
              </w:rPr>
            </w:pPr>
          </w:p>
        </w:tc>
      </w:tr>
      <w:tr>
        <w:trPr>
          <w:trHeight w:val="196"/>
        </w:trPr>
        <w:tc>
          <w:tcPr>
            <w:tcW w:w="6820" w:type="dxa"/>
            <w:vAlign w:val="bottom"/>
            <w:tcBorders>
              <w:left w:val="single" w:sz="8" w:color="2360A6"/>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AS OF DECEMBER 31</w:t>
            </w:r>
          </w:p>
        </w:tc>
        <w:tc>
          <w:tcPr>
            <w:tcW w:w="12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(175.3)</w:t>
            </w:r>
          </w:p>
        </w:tc>
        <w:tc>
          <w:tcPr>
            <w:tcW w:w="128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(376.0)</w:t>
            </w:r>
          </w:p>
        </w:tc>
        <w:tc>
          <w:tcPr>
            <w:tcW w:w="12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(285.0)</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231F20"/>
        </w:rPr>
        <w:t>Analysis of gains and losses on derivative financial instruments that affect the statement of income is as follows:</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224"/>
        </w:trPr>
        <w:tc>
          <w:tcPr>
            <w:tcW w:w="6820" w:type="dxa"/>
            <w:vAlign w:val="bottom"/>
            <w:tcBorders>
              <w:top w:val="single" w:sz="8" w:color="2360A6"/>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1260" w:type="dxa"/>
            <w:vAlign w:val="bottom"/>
            <w:tcBorders>
              <w:top w:val="single" w:sz="8" w:color="2360A6"/>
              <w:bottom w:val="single" w:sz="8" w:color="2360A6"/>
              <w:right w:val="single" w:sz="8" w:color="2360A6"/>
            </w:tcBorders>
            <w:shd w:val="clear" w:color="auto" w:fill="2360A6"/>
          </w:tcPr>
          <w:p>
            <w:pPr>
              <w:jc w:val="right"/>
              <w:ind w:right="48"/>
              <w:spacing w:after="0"/>
              <w:rPr>
                <w:sz w:val="20"/>
                <w:szCs w:val="20"/>
                <w:color w:val="auto"/>
              </w:rPr>
            </w:pPr>
            <w:r>
              <w:rPr>
                <w:rFonts w:ascii="Arial" w:cs="Arial" w:eastAsia="Arial" w:hAnsi="Arial"/>
                <w:sz w:val="14"/>
                <w:szCs w:val="14"/>
                <w:b w:val="1"/>
                <w:bCs w:val="1"/>
                <w:color w:val="FFFFFF"/>
              </w:rPr>
              <w:t>2016</w:t>
            </w:r>
          </w:p>
        </w:tc>
        <w:tc>
          <w:tcPr>
            <w:tcW w:w="128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2015</w:t>
            </w:r>
          </w:p>
        </w:tc>
        <w:tc>
          <w:tcPr>
            <w:tcW w:w="126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68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Effectiveness Gains/(Losses) on Fair Value Hedge (*)</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31.3</w:t>
            </w:r>
          </w:p>
        </w:tc>
        <w:tc>
          <w:tcPr>
            <w:tcW w:w="12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(0.4)</w:t>
            </w:r>
          </w:p>
        </w:tc>
        <w:tc>
          <w:tcPr>
            <w:tcW w:w="12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(49.7)</w:t>
            </w:r>
          </w:p>
        </w:tc>
      </w:tr>
      <w:tr>
        <w:trPr>
          <w:trHeight w:val="210"/>
        </w:trPr>
        <w:tc>
          <w:tcPr>
            <w:tcW w:w="68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Ineffectiveness Gains/(Losses) on Fair Value Hedge</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(1.7)</w:t>
            </w:r>
          </w:p>
        </w:tc>
        <w:tc>
          <w:tcPr>
            <w:tcW w:w="12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1.3</w:t>
            </w:r>
          </w:p>
        </w:tc>
        <w:tc>
          <w:tcPr>
            <w:tcW w:w="12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(2.0)</w:t>
            </w:r>
          </w:p>
        </w:tc>
      </w:tr>
      <w:tr>
        <w:trPr>
          <w:trHeight w:val="210"/>
        </w:trPr>
        <w:tc>
          <w:tcPr>
            <w:tcW w:w="68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Ineffectiveness Gains/(Losses) on Cash Flow Hedge</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(5.8)</w:t>
            </w:r>
          </w:p>
        </w:tc>
        <w:tc>
          <w:tcPr>
            <w:tcW w:w="12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(16.0)</w:t>
            </w:r>
          </w:p>
        </w:tc>
        <w:tc>
          <w:tcPr>
            <w:tcW w:w="12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9.5</w:t>
            </w:r>
          </w:p>
        </w:tc>
      </w:tr>
      <w:tr>
        <w:trPr>
          <w:trHeight w:val="210"/>
        </w:trPr>
        <w:tc>
          <w:tcPr>
            <w:tcW w:w="68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Gains/(Losses) on Economic Hedge not Designated as Hedges for Accounting Purposes</w:t>
            </w:r>
          </w:p>
        </w:tc>
        <w:tc>
          <w:tcPr>
            <w:tcW w:w="1260" w:type="dxa"/>
            <w:vAlign w:val="bottom"/>
            <w:tcBorders>
              <w:bottom w:val="single" w:sz="8" w:color="2360A6"/>
              <w:right w:val="single" w:sz="8" w:color="2360A6"/>
            </w:tcBorders>
            <w:shd w:val="clear" w:color="auto" w:fill="DCDDDE"/>
          </w:tcPr>
          <w:p>
            <w:pPr>
              <w:jc w:val="right"/>
              <w:ind w:right="48"/>
              <w:spacing w:after="0"/>
              <w:rPr>
                <w:sz w:val="20"/>
                <w:szCs w:val="20"/>
                <w:color w:val="auto"/>
              </w:rPr>
            </w:pPr>
            <w:r>
              <w:rPr>
                <w:rFonts w:ascii="Arial" w:cs="Arial" w:eastAsia="Arial" w:hAnsi="Arial"/>
                <w:sz w:val="14"/>
                <w:szCs w:val="14"/>
                <w:color w:val="231F20"/>
              </w:rPr>
              <w:t>—</w:t>
            </w:r>
          </w:p>
        </w:tc>
        <w:tc>
          <w:tcPr>
            <w:tcW w:w="12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0.4</w:t>
            </w:r>
          </w:p>
        </w:tc>
        <w:tc>
          <w:tcPr>
            <w:tcW w:w="12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(0.2)</w:t>
            </w:r>
          </w:p>
        </w:tc>
      </w:tr>
      <w:tr>
        <w:trPr>
          <w:trHeight w:val="175"/>
        </w:trPr>
        <w:tc>
          <w:tcPr>
            <w:tcW w:w="6820" w:type="dxa"/>
            <w:vAlign w:val="bottom"/>
            <w:tcBorders>
              <w:left w:val="single" w:sz="8" w:color="2360A6"/>
              <w:right w:val="single" w:sz="8" w:color="2360A6"/>
            </w:tcBorders>
            <w:shd w:val="clear" w:color="auto" w:fill="CCD1E7"/>
          </w:tcPr>
          <w:p>
            <w:pPr>
              <w:ind w:left="20"/>
              <w:spacing w:after="0"/>
              <w:rPr>
                <w:sz w:val="20"/>
                <w:szCs w:val="20"/>
                <w:color w:val="auto"/>
              </w:rPr>
            </w:pPr>
            <w:r>
              <w:rPr>
                <w:rFonts w:ascii="Arial" w:cs="Arial" w:eastAsia="Arial" w:hAnsi="Arial"/>
                <w:sz w:val="14"/>
                <w:szCs w:val="14"/>
                <w:b w:val="1"/>
                <w:bCs w:val="1"/>
                <w:color w:val="1E4BA0"/>
              </w:rPr>
              <w:t>TOTAL GAINS/(LOSSES) ON DERIVATIVE INSTRUMENTS AS RECOGNIZED IN STATEMENT OF</w:t>
            </w:r>
          </w:p>
        </w:tc>
        <w:tc>
          <w:tcPr>
            <w:tcW w:w="1260" w:type="dxa"/>
            <w:vAlign w:val="bottom"/>
            <w:tcBorders>
              <w:right w:val="single" w:sz="8" w:color="2360A6"/>
            </w:tcBorders>
            <w:shd w:val="clear" w:color="auto" w:fill="CCD1E7"/>
          </w:tcPr>
          <w:p>
            <w:pPr>
              <w:spacing w:after="0"/>
              <w:rPr>
                <w:sz w:val="15"/>
                <w:szCs w:val="15"/>
                <w:color w:val="auto"/>
              </w:rPr>
            </w:pPr>
          </w:p>
        </w:tc>
        <w:tc>
          <w:tcPr>
            <w:tcW w:w="1280" w:type="dxa"/>
            <w:vAlign w:val="bottom"/>
            <w:tcBorders>
              <w:right w:val="single" w:sz="8" w:color="2360A6"/>
            </w:tcBorders>
            <w:shd w:val="clear" w:color="auto" w:fill="CCD1E7"/>
          </w:tcPr>
          <w:p>
            <w:pPr>
              <w:spacing w:after="0"/>
              <w:rPr>
                <w:sz w:val="15"/>
                <w:szCs w:val="15"/>
                <w:color w:val="auto"/>
              </w:rPr>
            </w:pPr>
          </w:p>
        </w:tc>
        <w:tc>
          <w:tcPr>
            <w:tcW w:w="1260" w:type="dxa"/>
            <w:vAlign w:val="bottom"/>
            <w:tcBorders>
              <w:right w:val="single" w:sz="8" w:color="2360A6"/>
            </w:tcBorders>
            <w:shd w:val="clear" w:color="auto" w:fill="CCD1E7"/>
          </w:tcPr>
          <w:p>
            <w:pPr>
              <w:spacing w:after="0"/>
              <w:rPr>
                <w:sz w:val="15"/>
                <w:szCs w:val="15"/>
                <w:color w:val="auto"/>
              </w:rPr>
            </w:pPr>
          </w:p>
        </w:tc>
      </w:tr>
      <w:tr>
        <w:trPr>
          <w:trHeight w:val="196"/>
        </w:trPr>
        <w:tc>
          <w:tcPr>
            <w:tcW w:w="6820" w:type="dxa"/>
            <w:vAlign w:val="bottom"/>
            <w:tcBorders>
              <w:left w:val="single" w:sz="8" w:color="2360A6"/>
              <w:bottom w:val="single" w:sz="8" w:color="2360A6"/>
              <w:right w:val="single" w:sz="8" w:color="2360A6"/>
            </w:tcBorders>
            <w:shd w:val="clear" w:color="auto" w:fill="CCD1E7"/>
          </w:tcPr>
          <w:p>
            <w:pPr>
              <w:ind w:left="20"/>
              <w:spacing w:after="0"/>
              <w:rPr>
                <w:sz w:val="20"/>
                <w:szCs w:val="20"/>
                <w:color w:val="auto"/>
              </w:rPr>
            </w:pPr>
            <w:r>
              <w:rPr>
                <w:rFonts w:ascii="Arial" w:cs="Arial" w:eastAsia="Arial" w:hAnsi="Arial"/>
                <w:sz w:val="14"/>
                <w:szCs w:val="14"/>
                <w:b w:val="1"/>
                <w:bCs w:val="1"/>
                <w:color w:val="1E4BA0"/>
              </w:rPr>
              <w:t>INCOME</w:t>
            </w:r>
          </w:p>
        </w:tc>
        <w:tc>
          <w:tcPr>
            <w:tcW w:w="1260" w:type="dxa"/>
            <w:vAlign w:val="bottom"/>
            <w:tcBorders>
              <w:bottom w:val="single" w:sz="8" w:color="2360A6"/>
              <w:right w:val="single" w:sz="8" w:color="2360A6"/>
            </w:tcBorders>
            <w:shd w:val="clear" w:color="auto" w:fill="CCD1E7"/>
          </w:tcPr>
          <w:p>
            <w:pPr>
              <w:jc w:val="right"/>
              <w:ind w:right="48"/>
              <w:spacing w:after="0"/>
              <w:rPr>
                <w:sz w:val="20"/>
                <w:szCs w:val="20"/>
                <w:color w:val="auto"/>
              </w:rPr>
            </w:pPr>
            <w:r>
              <w:rPr>
                <w:rFonts w:ascii="Arial" w:cs="Arial" w:eastAsia="Arial" w:hAnsi="Arial"/>
                <w:sz w:val="14"/>
                <w:szCs w:val="14"/>
                <w:b w:val="1"/>
                <w:bCs w:val="1"/>
                <w:color w:val="1E4BA0"/>
              </w:rPr>
              <w:t>23.8</w:t>
            </w:r>
          </w:p>
        </w:tc>
        <w:tc>
          <w:tcPr>
            <w:tcW w:w="128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1E4BA0"/>
              </w:rPr>
              <w:t>(14.7)</w:t>
            </w:r>
          </w:p>
        </w:tc>
        <w:tc>
          <w:tcPr>
            <w:tcW w:w="126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1E4BA0"/>
              </w:rPr>
              <w:t>(42.4)</w:t>
            </w:r>
          </w:p>
        </w:tc>
      </w:tr>
      <w:tr>
        <w:trPr>
          <w:trHeight w:val="263"/>
        </w:trPr>
        <w:tc>
          <w:tcPr>
            <w:tcW w:w="68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3"/>
                <w:szCs w:val="13"/>
                <w:color w:val="231F20"/>
              </w:rPr>
              <w:t>(*) Excluding the revaluation of related current receivables and payables.</w:t>
            </w:r>
          </w:p>
        </w:tc>
        <w:tc>
          <w:tcPr>
            <w:tcW w:w="1260" w:type="dxa"/>
            <w:vAlign w:val="bottom"/>
            <w:tcBorders>
              <w:bottom w:val="single" w:sz="8" w:color="2360A6"/>
              <w:right w:val="single" w:sz="8" w:color="2360A6"/>
            </w:tcBorders>
          </w:tcPr>
          <w:p>
            <w:pPr>
              <w:spacing w:after="0"/>
              <w:rPr>
                <w:sz w:val="22"/>
                <w:szCs w:val="22"/>
                <w:color w:val="auto"/>
              </w:rPr>
            </w:pPr>
          </w:p>
        </w:tc>
        <w:tc>
          <w:tcPr>
            <w:tcW w:w="1280" w:type="dxa"/>
            <w:vAlign w:val="bottom"/>
            <w:tcBorders>
              <w:bottom w:val="single" w:sz="8" w:color="2360A6"/>
              <w:right w:val="single" w:sz="8" w:color="2360A6"/>
            </w:tcBorders>
          </w:tcPr>
          <w:p>
            <w:pPr>
              <w:spacing w:after="0"/>
              <w:rPr>
                <w:sz w:val="22"/>
                <w:szCs w:val="22"/>
                <w:color w:val="auto"/>
              </w:rPr>
            </w:pPr>
          </w:p>
        </w:tc>
        <w:tc>
          <w:tcPr>
            <w:tcW w:w="1260" w:type="dxa"/>
            <w:vAlign w:val="bottom"/>
            <w:tcBorders>
              <w:bottom w:val="single" w:sz="8" w:color="2360A6"/>
              <w:right w:val="single" w:sz="8" w:color="2360A6"/>
            </w:tcBorders>
          </w:tcPr>
          <w:p>
            <w:pPr>
              <w:spacing w:after="0"/>
              <w:rPr>
                <w:sz w:val="22"/>
                <w:szCs w:val="22"/>
                <w:color w:val="auto"/>
              </w:rPr>
            </w:pPr>
          </w:p>
        </w:tc>
      </w:tr>
    </w:tbl>
    <w:p>
      <w:pPr>
        <w:sectPr>
          <w:pgSz w:w="11900" w:h="16838" w:orient="portrait"/>
          <w:cols w:equalWidth="0" w:num="1">
            <w:col w:w="11020"/>
          </w:cols>
          <w:pgMar w:left="320" w:top="930" w:right="559" w:bottom="1440" w:gutter="0" w:footer="0" w:header="0"/>
        </w:sectPr>
      </w:pPr>
    </w:p>
    <w:bookmarkStart w:id="156" w:name="page157"/>
    <w:bookmarkEnd w:id="156"/>
    <w:p>
      <w:pPr>
        <w:spacing w:after="0"/>
        <w:rPr>
          <w:sz w:val="20"/>
          <w:szCs w:val="20"/>
          <w:color w:val="auto"/>
        </w:rPr>
      </w:pPr>
      <w:r>
        <w:rPr>
          <w:rFonts w:ascii="Arial" w:cs="Arial" w:eastAsia="Arial" w:hAnsi="Arial"/>
          <w:sz w:val="25"/>
          <w:szCs w:val="25"/>
          <w:b w:val="1"/>
          <w:bCs w:val="1"/>
          <w:color w:val="231F20"/>
        </w:rPr>
        <w:t>(D) Offsetting Financial Assets and Financial Liabilities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231F20"/>
        </w:rPr>
        <w:t>The analysis of the offsetting financial assets and financial liabilities, exclusively composed of derivative financial instruments, is as follows:</w:t>
      </w:r>
    </w:p>
    <w:p>
      <w:pPr>
        <w:spacing w:after="0" w:line="118" w:lineRule="exact"/>
        <w:rPr>
          <w:sz w:val="20"/>
          <w:szCs w:val="20"/>
          <w:color w:val="auto"/>
        </w:rPr>
      </w:pPr>
    </w:p>
    <w:tbl>
      <w:tblPr>
        <w:tblLayout w:type="fixed"/>
        <w:tblInd w:w="310" w:type="dxa"/>
        <w:tblCellMar>
          <w:top w:w="0" w:type="dxa"/>
          <w:left w:w="0" w:type="dxa"/>
          <w:bottom w:w="0" w:type="dxa"/>
          <w:right w:w="0" w:type="dxa"/>
        </w:tblCellMar>
      </w:tblPr>
      <w:tr>
        <w:trPr>
          <w:trHeight w:val="224"/>
        </w:trPr>
        <w:tc>
          <w:tcPr>
            <w:tcW w:w="3440" w:type="dxa"/>
            <w:vAlign w:val="bottom"/>
            <w:tcBorders>
              <w:top w:val="single" w:sz="8" w:color="2360A6"/>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98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150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2340" w:type="dxa"/>
            <w:vAlign w:val="bottom"/>
            <w:tcBorders>
              <w:top w:val="single" w:sz="8" w:color="2360A6"/>
              <w:bottom w:val="single" w:sz="8" w:color="2360A6"/>
              <w:right w:val="single" w:sz="8" w:color="2360A6"/>
            </w:tcBorders>
            <w:gridSpan w:val="2"/>
            <w:shd w:val="clear" w:color="auto" w:fill="2360A6"/>
          </w:tcPr>
          <w:p>
            <w:pPr>
              <w:jc w:val="right"/>
              <w:ind w:right="296"/>
              <w:spacing w:after="0"/>
              <w:rPr>
                <w:sz w:val="20"/>
                <w:szCs w:val="20"/>
                <w:color w:val="auto"/>
              </w:rPr>
            </w:pPr>
            <w:r>
              <w:rPr>
                <w:rFonts w:ascii="Arial" w:cs="Arial" w:eastAsia="Arial" w:hAnsi="Arial"/>
                <w:sz w:val="14"/>
                <w:szCs w:val="14"/>
                <w:b w:val="1"/>
                <w:bCs w:val="1"/>
                <w:color w:val="FFFFFF"/>
              </w:rPr>
              <w:t>As of December 31, 2016</w:t>
            </w:r>
          </w:p>
        </w:tc>
        <w:tc>
          <w:tcPr>
            <w:tcW w:w="128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116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Financial Assets (by Type of</w:t>
            </w:r>
          </w:p>
        </w:tc>
        <w:tc>
          <w:tcPr>
            <w:tcW w:w="980" w:type="dxa"/>
            <w:vAlign w:val="bottom"/>
            <w:tcBorders>
              <w:right w:val="single" w:sz="8" w:color="2360A6"/>
            </w:tcBorders>
            <w:shd w:val="clear" w:color="auto" w:fill="DCDDDE"/>
          </w:tcPr>
          <w:p>
            <w:pPr>
              <w:spacing w:after="0"/>
              <w:rPr>
                <w:sz w:val="15"/>
                <w:szCs w:val="15"/>
                <w:color w:val="auto"/>
              </w:rPr>
            </w:pPr>
          </w:p>
        </w:tc>
        <w:tc>
          <w:tcPr>
            <w:tcW w:w="1500" w:type="dxa"/>
            <w:vAlign w:val="bottom"/>
            <w:tcBorders>
              <w:right w:val="single" w:sz="8" w:color="2360A6"/>
            </w:tcBorders>
            <w:shd w:val="clear" w:color="auto" w:fill="DCDDDE"/>
          </w:tcPr>
          <w:p>
            <w:pPr>
              <w:spacing w:after="0"/>
              <w:rPr>
                <w:sz w:val="15"/>
                <w:szCs w:val="15"/>
                <w:color w:val="auto"/>
              </w:rPr>
            </w:pPr>
          </w:p>
        </w:tc>
        <w:tc>
          <w:tcPr>
            <w:tcW w:w="1160" w:type="dxa"/>
            <w:vAlign w:val="bottom"/>
            <w:tcBorders>
              <w:right w:val="single" w:sz="8" w:color="2360A6"/>
            </w:tcBorders>
            <w:shd w:val="clear" w:color="auto" w:fill="DCDDDE"/>
          </w:tcPr>
          <w:p>
            <w:pPr>
              <w:spacing w:after="0"/>
              <w:rPr>
                <w:sz w:val="15"/>
                <w:szCs w:val="15"/>
                <w:color w:val="auto"/>
              </w:rPr>
            </w:pPr>
          </w:p>
        </w:tc>
        <w:tc>
          <w:tcPr>
            <w:tcW w:w="1180" w:type="dxa"/>
            <w:vAlign w:val="bottom"/>
            <w:tcBorders>
              <w:right w:val="single" w:sz="8" w:color="DCDDDE"/>
            </w:tcBorders>
            <w:shd w:val="clear" w:color="auto" w:fill="DCDDDE"/>
          </w:tcPr>
          <w:p>
            <w:pPr>
              <w:spacing w:after="0"/>
              <w:rPr>
                <w:sz w:val="15"/>
                <w:szCs w:val="15"/>
                <w:color w:val="auto"/>
              </w:rPr>
            </w:pPr>
          </w:p>
        </w:tc>
        <w:tc>
          <w:tcPr>
            <w:tcW w:w="1280" w:type="dxa"/>
            <w:vAlign w:val="bottom"/>
            <w:tcBorders>
              <w:right w:val="single" w:sz="8" w:color="2360A6"/>
            </w:tcBorders>
            <w:shd w:val="clear" w:color="auto" w:fill="DCDDDE"/>
          </w:tcPr>
          <w:p>
            <w:pPr>
              <w:spacing w:after="0"/>
              <w:rPr>
                <w:sz w:val="15"/>
                <w:szCs w:val="15"/>
                <w:color w:val="auto"/>
              </w:rPr>
            </w:pPr>
          </w:p>
        </w:tc>
        <w:tc>
          <w:tcPr>
            <w:tcW w:w="1160" w:type="dxa"/>
            <w:vAlign w:val="bottom"/>
            <w:tcBorders>
              <w:right w:val="single" w:sz="8" w:color="2360A6"/>
            </w:tcBorders>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Financial Instruments)</w:t>
            </w:r>
          </w:p>
        </w:tc>
        <w:tc>
          <w:tcPr>
            <w:tcW w:w="980" w:type="dxa"/>
            <w:vAlign w:val="bottom"/>
            <w:tcBorders>
              <w:bottom w:val="single" w:sz="8" w:color="2360A6"/>
              <w:right w:val="single" w:sz="8" w:color="2360A6"/>
            </w:tcBorders>
            <w:shd w:val="clear" w:color="auto" w:fill="DCDDDE"/>
          </w:tcPr>
          <w:p>
            <w:pPr>
              <w:ind w:left="20"/>
              <w:spacing w:after="0"/>
              <w:rPr>
                <w:sz w:val="20"/>
                <w:szCs w:val="20"/>
                <w:color w:val="auto"/>
              </w:rPr>
            </w:pPr>
            <w:r>
              <w:rPr>
                <w:rFonts w:ascii="Arial" w:cs="Arial" w:eastAsia="Arial" w:hAnsi="Arial"/>
                <w:sz w:val="13"/>
                <w:szCs w:val="13"/>
                <w:b w:val="1"/>
                <w:bCs w:val="1"/>
                <w:color w:val="2360A6"/>
              </w:rPr>
              <w:t>a</w:t>
            </w:r>
          </w:p>
        </w:tc>
        <w:tc>
          <w:tcPr>
            <w:tcW w:w="1500" w:type="dxa"/>
            <w:vAlign w:val="bottom"/>
            <w:tcBorders>
              <w:bottom w:val="single" w:sz="8" w:color="2360A6"/>
              <w:right w:val="single" w:sz="8" w:color="2360A6"/>
            </w:tcBorders>
            <w:shd w:val="clear" w:color="auto" w:fill="DCDDDE"/>
          </w:tcPr>
          <w:p>
            <w:pPr>
              <w:jc w:val="right"/>
              <w:ind w:right="1336"/>
              <w:spacing w:after="0"/>
              <w:rPr>
                <w:sz w:val="20"/>
                <w:szCs w:val="20"/>
                <w:color w:val="auto"/>
              </w:rPr>
            </w:pPr>
            <w:r>
              <w:rPr>
                <w:rFonts w:ascii="Arial" w:cs="Arial" w:eastAsia="Arial" w:hAnsi="Arial"/>
                <w:sz w:val="13"/>
                <w:szCs w:val="13"/>
                <w:b w:val="1"/>
                <w:bCs w:val="1"/>
                <w:color w:val="2360A6"/>
              </w:rPr>
              <w:t>b</w:t>
            </w:r>
          </w:p>
        </w:tc>
        <w:tc>
          <w:tcPr>
            <w:tcW w:w="1160" w:type="dxa"/>
            <w:vAlign w:val="bottom"/>
            <w:tcBorders>
              <w:bottom w:val="single" w:sz="8" w:color="2360A6"/>
              <w:right w:val="single" w:sz="8" w:color="2360A6"/>
            </w:tcBorders>
            <w:shd w:val="clear" w:color="auto" w:fill="DCDDDE"/>
          </w:tcPr>
          <w:p>
            <w:pPr>
              <w:jc w:val="right"/>
              <w:ind w:right="1015"/>
              <w:spacing w:after="0"/>
              <w:rPr>
                <w:sz w:val="20"/>
                <w:szCs w:val="20"/>
                <w:color w:val="auto"/>
              </w:rPr>
            </w:pPr>
            <w:r>
              <w:rPr>
                <w:rFonts w:ascii="Arial" w:cs="Arial" w:eastAsia="Arial" w:hAnsi="Arial"/>
                <w:sz w:val="13"/>
                <w:szCs w:val="13"/>
                <w:b w:val="1"/>
                <w:bCs w:val="1"/>
                <w:color w:val="2360A6"/>
                <w:w w:val="82"/>
              </w:rPr>
              <w:t>c</w:t>
            </w:r>
          </w:p>
        </w:tc>
        <w:tc>
          <w:tcPr>
            <w:tcW w:w="1180" w:type="dxa"/>
            <w:vAlign w:val="bottom"/>
            <w:tcBorders>
              <w:bottom w:val="single" w:sz="8" w:color="2360A6"/>
              <w:right w:val="single" w:sz="8" w:color="DCDDDE"/>
            </w:tcBorders>
            <w:shd w:val="clear" w:color="auto" w:fill="DCDDDE"/>
          </w:tcPr>
          <w:p>
            <w:pPr>
              <w:ind w:left="40"/>
              <w:spacing w:after="0"/>
              <w:rPr>
                <w:sz w:val="20"/>
                <w:szCs w:val="20"/>
                <w:color w:val="auto"/>
              </w:rPr>
            </w:pPr>
            <w:r>
              <w:rPr>
                <w:rFonts w:ascii="Arial" w:cs="Arial" w:eastAsia="Arial" w:hAnsi="Arial"/>
                <w:sz w:val="13"/>
                <w:szCs w:val="13"/>
                <w:b w:val="1"/>
                <w:bCs w:val="1"/>
                <w:color w:val="2360A6"/>
              </w:rPr>
              <w:t>d</w:t>
            </w:r>
          </w:p>
        </w:tc>
        <w:tc>
          <w:tcPr>
            <w:tcW w:w="1280" w:type="dxa"/>
            <w:vAlign w:val="bottom"/>
            <w:tcBorders>
              <w:bottom w:val="single" w:sz="8" w:color="2360A6"/>
              <w:right w:val="single" w:sz="8" w:color="2360A6"/>
            </w:tcBorders>
            <w:shd w:val="clear" w:color="auto" w:fill="DCDDDE"/>
          </w:tcPr>
          <w:p>
            <w:pPr>
              <w:spacing w:after="0"/>
              <w:rPr>
                <w:sz w:val="17"/>
                <w:szCs w:val="17"/>
                <w:color w:val="auto"/>
              </w:rPr>
            </w:pPr>
          </w:p>
        </w:tc>
        <w:tc>
          <w:tcPr>
            <w:tcW w:w="1160" w:type="dxa"/>
            <w:vAlign w:val="bottom"/>
            <w:tcBorders>
              <w:bottom w:val="single" w:sz="8" w:color="2360A6"/>
              <w:right w:val="single" w:sz="8" w:color="2360A6"/>
            </w:tcBorders>
            <w:shd w:val="clear" w:color="auto" w:fill="DCDDDE"/>
          </w:tcPr>
          <w:p>
            <w:pPr>
              <w:jc w:val="right"/>
              <w:ind w:right="1015"/>
              <w:spacing w:after="0"/>
              <w:rPr>
                <w:sz w:val="20"/>
                <w:szCs w:val="20"/>
                <w:color w:val="auto"/>
              </w:rPr>
            </w:pPr>
            <w:r>
              <w:rPr>
                <w:rFonts w:ascii="Arial" w:cs="Arial" w:eastAsia="Arial" w:hAnsi="Arial"/>
                <w:sz w:val="13"/>
                <w:szCs w:val="13"/>
                <w:b w:val="1"/>
                <w:bCs w:val="1"/>
                <w:color w:val="2360A6"/>
                <w:w w:val="82"/>
              </w:rPr>
              <w:t>e</w:t>
            </w:r>
          </w:p>
        </w:tc>
        <w:tc>
          <w:tcPr>
            <w:tcW w:w="0" w:type="dxa"/>
            <w:vAlign w:val="bottom"/>
          </w:tcPr>
          <w:p>
            <w:pPr>
              <w:spacing w:after="0"/>
              <w:rPr>
                <w:sz w:val="1"/>
                <w:szCs w:val="1"/>
                <w:color w:val="auto"/>
              </w:rPr>
            </w:pPr>
          </w:p>
        </w:tc>
      </w:tr>
      <w:tr>
        <w:trPr>
          <w:trHeight w:val="275"/>
        </w:trPr>
        <w:tc>
          <w:tcPr>
            <w:tcW w:w="3440" w:type="dxa"/>
            <w:vAlign w:val="bottom"/>
            <w:tcBorders>
              <w:left w:val="single" w:sz="8" w:color="2360A6"/>
              <w:right w:val="single" w:sz="8" w:color="2360A6"/>
            </w:tcBorders>
          </w:tcPr>
          <w:p>
            <w:pPr>
              <w:spacing w:after="0"/>
              <w:rPr>
                <w:sz w:val="23"/>
                <w:szCs w:val="23"/>
                <w:color w:val="auto"/>
              </w:rPr>
            </w:pPr>
          </w:p>
        </w:tc>
        <w:tc>
          <w:tcPr>
            <w:tcW w:w="980" w:type="dxa"/>
            <w:vAlign w:val="bottom"/>
            <w:tcBorders>
              <w:right w:val="single" w:sz="8" w:color="2360A6"/>
            </w:tcBorders>
            <w:shd w:val="clear" w:color="auto" w:fill="DCDDDE"/>
          </w:tcPr>
          <w:p>
            <w:pPr>
              <w:spacing w:after="0"/>
              <w:rPr>
                <w:sz w:val="23"/>
                <w:szCs w:val="23"/>
                <w:color w:val="auto"/>
              </w:rPr>
            </w:pPr>
          </w:p>
        </w:tc>
        <w:tc>
          <w:tcPr>
            <w:tcW w:w="1500" w:type="dxa"/>
            <w:vAlign w:val="bottom"/>
            <w:tcBorders>
              <w:right w:val="single" w:sz="8" w:color="2360A6"/>
            </w:tcBorders>
            <w:vMerge w:val="restart"/>
            <w:shd w:val="clear" w:color="auto" w:fill="DCDDDE"/>
          </w:tcPr>
          <w:p>
            <w:pPr>
              <w:jc w:val="right"/>
              <w:ind w:right="76"/>
              <w:spacing w:after="0"/>
              <w:rPr>
                <w:sz w:val="20"/>
                <w:szCs w:val="20"/>
                <w:color w:val="auto"/>
              </w:rPr>
            </w:pPr>
            <w:r>
              <w:rPr>
                <w:rFonts w:ascii="Arial" w:cs="Arial" w:eastAsia="Arial" w:hAnsi="Arial"/>
                <w:sz w:val="13"/>
                <w:szCs w:val="13"/>
                <w:b w:val="1"/>
                <w:bCs w:val="1"/>
                <w:color w:val="2360A6"/>
              </w:rPr>
              <w:t>Gross Amounts Set</w:t>
            </w:r>
          </w:p>
        </w:tc>
        <w:tc>
          <w:tcPr>
            <w:tcW w:w="1160" w:type="dxa"/>
            <w:vAlign w:val="bottom"/>
            <w:tcBorders>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2360A6"/>
              </w:rPr>
              <w:t>Net Amounts</w:t>
            </w:r>
          </w:p>
        </w:tc>
        <w:tc>
          <w:tcPr>
            <w:tcW w:w="1180" w:type="dxa"/>
            <w:vAlign w:val="bottom"/>
            <w:tcBorders>
              <w:right w:val="single" w:sz="8" w:color="DCDDDE"/>
            </w:tcBorders>
            <w:shd w:val="clear" w:color="auto" w:fill="DCDDDE"/>
          </w:tcPr>
          <w:p>
            <w:pPr>
              <w:spacing w:after="0"/>
              <w:rPr>
                <w:sz w:val="23"/>
                <w:szCs w:val="23"/>
                <w:color w:val="auto"/>
              </w:rPr>
            </w:pPr>
          </w:p>
        </w:tc>
        <w:tc>
          <w:tcPr>
            <w:tcW w:w="1280" w:type="dxa"/>
            <w:vAlign w:val="bottom"/>
            <w:tcBorders>
              <w:right w:val="single" w:sz="8" w:color="2360A6"/>
            </w:tcBorders>
            <w:shd w:val="clear" w:color="auto" w:fill="DCDDDE"/>
          </w:tcPr>
          <w:p>
            <w:pPr>
              <w:spacing w:after="0"/>
              <w:rPr>
                <w:sz w:val="23"/>
                <w:szCs w:val="23"/>
                <w:color w:val="auto"/>
              </w:rPr>
            </w:pPr>
          </w:p>
        </w:tc>
        <w:tc>
          <w:tcPr>
            <w:tcW w:w="1160" w:type="dxa"/>
            <w:vAlign w:val="bottom"/>
            <w:tcBorders>
              <w:right w:val="single" w:sz="8" w:color="2360A6"/>
            </w:tcBorders>
            <w:shd w:val="clear" w:color="auto" w:fill="DCDDDE"/>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3440" w:type="dxa"/>
            <w:vAlign w:val="bottom"/>
            <w:tcBorders>
              <w:left w:val="single" w:sz="8" w:color="2360A6"/>
              <w:right w:val="single" w:sz="8" w:color="2360A6"/>
            </w:tcBorders>
          </w:tcPr>
          <w:p>
            <w:pPr>
              <w:spacing w:after="0"/>
              <w:rPr>
                <w:sz w:val="5"/>
                <w:szCs w:val="5"/>
                <w:color w:val="auto"/>
              </w:rPr>
            </w:pPr>
          </w:p>
        </w:tc>
        <w:tc>
          <w:tcPr>
            <w:tcW w:w="980" w:type="dxa"/>
            <w:vAlign w:val="bottom"/>
            <w:tcBorders>
              <w:right w:val="single" w:sz="8" w:color="2360A6"/>
            </w:tcBorders>
            <w:shd w:val="clear" w:color="auto" w:fill="DCDDDE"/>
          </w:tcPr>
          <w:p>
            <w:pPr>
              <w:spacing w:after="0"/>
              <w:rPr>
                <w:sz w:val="5"/>
                <w:szCs w:val="5"/>
                <w:color w:val="auto"/>
              </w:rPr>
            </w:pPr>
          </w:p>
        </w:tc>
        <w:tc>
          <w:tcPr>
            <w:tcW w:w="1500" w:type="dxa"/>
            <w:vAlign w:val="bottom"/>
            <w:tcBorders>
              <w:right w:val="single" w:sz="8" w:color="2360A6"/>
            </w:tcBorders>
            <w:vMerge w:val="continue"/>
            <w:shd w:val="clear" w:color="auto" w:fill="DCDDDE"/>
          </w:tcPr>
          <w:p>
            <w:pPr>
              <w:spacing w:after="0"/>
              <w:rPr>
                <w:sz w:val="5"/>
                <w:szCs w:val="5"/>
                <w:color w:val="auto"/>
              </w:rPr>
            </w:pPr>
          </w:p>
        </w:tc>
        <w:tc>
          <w:tcPr>
            <w:tcW w:w="1160" w:type="dxa"/>
            <w:vAlign w:val="bottom"/>
            <w:tcBorders>
              <w:right w:val="single" w:sz="8" w:color="2360A6"/>
            </w:tcBorders>
            <w:vMerge w:val="restart"/>
            <w:shd w:val="clear" w:color="auto" w:fill="DCDDDE"/>
          </w:tcPr>
          <w:p>
            <w:pPr>
              <w:jc w:val="right"/>
              <w:spacing w:after="0" w:line="135" w:lineRule="exact"/>
              <w:rPr>
                <w:sz w:val="20"/>
                <w:szCs w:val="20"/>
                <w:color w:val="auto"/>
              </w:rPr>
            </w:pPr>
            <w:r>
              <w:rPr>
                <w:rFonts w:ascii="Arial" w:cs="Arial" w:eastAsia="Arial" w:hAnsi="Arial"/>
                <w:sz w:val="13"/>
                <w:szCs w:val="13"/>
                <w:b w:val="1"/>
                <w:bCs w:val="1"/>
                <w:color w:val="2360A6"/>
              </w:rPr>
              <w:t>Recorded in the</w:t>
            </w:r>
          </w:p>
        </w:tc>
        <w:tc>
          <w:tcPr>
            <w:tcW w:w="1180" w:type="dxa"/>
            <w:vAlign w:val="bottom"/>
            <w:tcBorders>
              <w:right w:val="single" w:sz="8" w:color="DCDDDE"/>
            </w:tcBorders>
            <w:shd w:val="clear" w:color="auto" w:fill="DCDDDE"/>
          </w:tcPr>
          <w:p>
            <w:pPr>
              <w:spacing w:after="0"/>
              <w:rPr>
                <w:sz w:val="5"/>
                <w:szCs w:val="5"/>
                <w:color w:val="auto"/>
              </w:rPr>
            </w:pPr>
          </w:p>
        </w:tc>
        <w:tc>
          <w:tcPr>
            <w:tcW w:w="1280" w:type="dxa"/>
            <w:vAlign w:val="bottom"/>
            <w:tcBorders>
              <w:right w:val="single" w:sz="8" w:color="2360A6"/>
            </w:tcBorders>
            <w:shd w:val="clear" w:color="auto" w:fill="DCDDDE"/>
          </w:tcPr>
          <w:p>
            <w:pPr>
              <w:spacing w:after="0"/>
              <w:rPr>
                <w:sz w:val="5"/>
                <w:szCs w:val="5"/>
                <w:color w:val="auto"/>
              </w:rPr>
            </w:pPr>
          </w:p>
        </w:tc>
        <w:tc>
          <w:tcPr>
            <w:tcW w:w="1160" w:type="dxa"/>
            <w:vAlign w:val="bottom"/>
            <w:tcBorders>
              <w:right w:val="single" w:sz="8" w:color="2360A6"/>
            </w:tcBorders>
            <w:shd w:val="clear" w:color="auto" w:fill="DCDDD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440" w:type="dxa"/>
            <w:vAlign w:val="bottom"/>
            <w:tcBorders>
              <w:left w:val="single" w:sz="8" w:color="2360A6"/>
              <w:right w:val="single" w:sz="8" w:color="2360A6"/>
            </w:tcBorders>
          </w:tcPr>
          <w:p>
            <w:pPr>
              <w:spacing w:after="0"/>
              <w:rPr>
                <w:sz w:val="5"/>
                <w:szCs w:val="5"/>
                <w:color w:val="auto"/>
              </w:rPr>
            </w:pPr>
          </w:p>
        </w:tc>
        <w:tc>
          <w:tcPr>
            <w:tcW w:w="980" w:type="dxa"/>
            <w:vAlign w:val="bottom"/>
            <w:tcBorders>
              <w:right w:val="single" w:sz="8" w:color="2360A6"/>
            </w:tcBorders>
            <w:shd w:val="clear" w:color="auto" w:fill="DCDDDE"/>
          </w:tcPr>
          <w:p>
            <w:pPr>
              <w:spacing w:after="0"/>
              <w:rPr>
                <w:sz w:val="5"/>
                <w:szCs w:val="5"/>
                <w:color w:val="auto"/>
              </w:rPr>
            </w:pPr>
          </w:p>
        </w:tc>
        <w:tc>
          <w:tcPr>
            <w:tcW w:w="1500" w:type="dxa"/>
            <w:vAlign w:val="bottom"/>
            <w:tcBorders>
              <w:right w:val="single" w:sz="8" w:color="2360A6"/>
            </w:tcBorders>
            <w:vMerge w:val="restart"/>
            <w:shd w:val="clear" w:color="auto" w:fill="DCDDDE"/>
          </w:tcPr>
          <w:p>
            <w:pPr>
              <w:jc w:val="right"/>
              <w:ind w:right="76"/>
              <w:spacing w:after="0" w:line="135" w:lineRule="exact"/>
              <w:rPr>
                <w:sz w:val="20"/>
                <w:szCs w:val="20"/>
                <w:color w:val="auto"/>
              </w:rPr>
            </w:pPr>
            <w:r>
              <w:rPr>
                <w:rFonts w:ascii="Arial" w:cs="Arial" w:eastAsia="Arial" w:hAnsi="Arial"/>
                <w:sz w:val="13"/>
                <w:szCs w:val="13"/>
                <w:b w:val="1"/>
                <w:bCs w:val="1"/>
                <w:color w:val="2360A6"/>
              </w:rPr>
              <w:t>off in the Financial</w:t>
            </w:r>
          </w:p>
        </w:tc>
        <w:tc>
          <w:tcPr>
            <w:tcW w:w="1160" w:type="dxa"/>
            <w:vAlign w:val="bottom"/>
            <w:tcBorders>
              <w:right w:val="single" w:sz="8" w:color="2360A6"/>
            </w:tcBorders>
            <w:vMerge w:val="continue"/>
            <w:shd w:val="clear" w:color="auto" w:fill="DCDDDE"/>
          </w:tcPr>
          <w:p>
            <w:pPr>
              <w:spacing w:after="0"/>
              <w:rPr>
                <w:sz w:val="5"/>
                <w:szCs w:val="5"/>
                <w:color w:val="auto"/>
              </w:rPr>
            </w:pPr>
          </w:p>
        </w:tc>
        <w:tc>
          <w:tcPr>
            <w:tcW w:w="1180" w:type="dxa"/>
            <w:vAlign w:val="bottom"/>
            <w:tcBorders>
              <w:right w:val="single" w:sz="8" w:color="DCDDDE"/>
            </w:tcBorders>
            <w:shd w:val="clear" w:color="auto" w:fill="DCDDDE"/>
          </w:tcPr>
          <w:p>
            <w:pPr>
              <w:spacing w:after="0"/>
              <w:rPr>
                <w:sz w:val="5"/>
                <w:szCs w:val="5"/>
                <w:color w:val="auto"/>
              </w:rPr>
            </w:pPr>
          </w:p>
        </w:tc>
        <w:tc>
          <w:tcPr>
            <w:tcW w:w="1280" w:type="dxa"/>
            <w:vAlign w:val="bottom"/>
            <w:tcBorders>
              <w:right w:val="single" w:sz="8" w:color="2360A6"/>
            </w:tcBorders>
            <w:shd w:val="clear" w:color="auto" w:fill="DCDDDE"/>
          </w:tcPr>
          <w:p>
            <w:pPr>
              <w:spacing w:after="0"/>
              <w:rPr>
                <w:sz w:val="5"/>
                <w:szCs w:val="5"/>
                <w:color w:val="auto"/>
              </w:rPr>
            </w:pPr>
          </w:p>
        </w:tc>
        <w:tc>
          <w:tcPr>
            <w:tcW w:w="1160" w:type="dxa"/>
            <w:vAlign w:val="bottom"/>
            <w:tcBorders>
              <w:right w:val="single" w:sz="8" w:color="2360A6"/>
            </w:tcBorders>
            <w:shd w:val="clear" w:color="auto" w:fill="DCDDD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440" w:type="dxa"/>
            <w:vAlign w:val="bottom"/>
            <w:tcBorders>
              <w:left w:val="single" w:sz="8" w:color="2360A6"/>
              <w:right w:val="single" w:sz="8" w:color="2360A6"/>
            </w:tcBorders>
          </w:tcPr>
          <w:p>
            <w:pPr>
              <w:spacing w:after="0"/>
              <w:rPr>
                <w:sz w:val="5"/>
                <w:szCs w:val="5"/>
                <w:color w:val="auto"/>
              </w:rPr>
            </w:pPr>
          </w:p>
        </w:tc>
        <w:tc>
          <w:tcPr>
            <w:tcW w:w="980" w:type="dxa"/>
            <w:vAlign w:val="bottom"/>
            <w:tcBorders>
              <w:right w:val="single" w:sz="8" w:color="2360A6"/>
            </w:tcBorders>
            <w:shd w:val="clear" w:color="auto" w:fill="DCDDDE"/>
          </w:tcPr>
          <w:p>
            <w:pPr>
              <w:spacing w:after="0"/>
              <w:rPr>
                <w:sz w:val="5"/>
                <w:szCs w:val="5"/>
                <w:color w:val="auto"/>
              </w:rPr>
            </w:pPr>
          </w:p>
        </w:tc>
        <w:tc>
          <w:tcPr>
            <w:tcW w:w="1500" w:type="dxa"/>
            <w:vAlign w:val="bottom"/>
            <w:tcBorders>
              <w:right w:val="single" w:sz="8" w:color="2360A6"/>
            </w:tcBorders>
            <w:vMerge w:val="continue"/>
            <w:shd w:val="clear" w:color="auto" w:fill="DCDDDE"/>
          </w:tcPr>
          <w:p>
            <w:pPr>
              <w:spacing w:after="0"/>
              <w:rPr>
                <w:sz w:val="5"/>
                <w:szCs w:val="5"/>
                <w:color w:val="auto"/>
              </w:rPr>
            </w:pPr>
          </w:p>
        </w:tc>
        <w:tc>
          <w:tcPr>
            <w:tcW w:w="1160" w:type="dxa"/>
            <w:vAlign w:val="bottom"/>
            <w:tcBorders>
              <w:right w:val="single" w:sz="8" w:color="2360A6"/>
            </w:tcBorders>
            <w:vMerge w:val="restart"/>
            <w:shd w:val="clear" w:color="auto" w:fill="DCDDDE"/>
          </w:tcPr>
          <w:p>
            <w:pPr>
              <w:jc w:val="right"/>
              <w:spacing w:after="0"/>
              <w:rPr>
                <w:sz w:val="20"/>
                <w:szCs w:val="20"/>
                <w:color w:val="auto"/>
              </w:rPr>
            </w:pPr>
            <w:r>
              <w:rPr>
                <w:rFonts w:ascii="Arial" w:cs="Arial" w:eastAsia="Arial" w:hAnsi="Arial"/>
                <w:sz w:val="13"/>
                <w:szCs w:val="13"/>
                <w:b w:val="1"/>
                <w:bCs w:val="1"/>
                <w:color w:val="2360A6"/>
              </w:rPr>
              <w:t>Financial</w:t>
            </w:r>
          </w:p>
        </w:tc>
        <w:tc>
          <w:tcPr>
            <w:tcW w:w="1180" w:type="dxa"/>
            <w:vAlign w:val="bottom"/>
            <w:tcBorders>
              <w:right w:val="single" w:sz="8" w:color="DCDDDE"/>
            </w:tcBorders>
            <w:shd w:val="clear" w:color="auto" w:fill="DCDDDE"/>
          </w:tcPr>
          <w:p>
            <w:pPr>
              <w:spacing w:after="0"/>
              <w:rPr>
                <w:sz w:val="5"/>
                <w:szCs w:val="5"/>
                <w:color w:val="auto"/>
              </w:rPr>
            </w:pPr>
          </w:p>
        </w:tc>
        <w:tc>
          <w:tcPr>
            <w:tcW w:w="1280" w:type="dxa"/>
            <w:vAlign w:val="bottom"/>
            <w:tcBorders>
              <w:right w:val="single" w:sz="8" w:color="2360A6"/>
            </w:tcBorders>
            <w:shd w:val="clear" w:color="auto" w:fill="DCDDDE"/>
          </w:tcPr>
          <w:p>
            <w:pPr>
              <w:spacing w:after="0"/>
              <w:rPr>
                <w:sz w:val="5"/>
                <w:szCs w:val="5"/>
                <w:color w:val="auto"/>
              </w:rPr>
            </w:pPr>
          </w:p>
        </w:tc>
        <w:tc>
          <w:tcPr>
            <w:tcW w:w="1160" w:type="dxa"/>
            <w:vAlign w:val="bottom"/>
            <w:tcBorders>
              <w:right w:val="single" w:sz="8" w:color="2360A6"/>
            </w:tcBorders>
            <w:shd w:val="clear" w:color="auto" w:fill="DCDDD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shd w:val="clear" w:color="auto" w:fill="DCDDDE"/>
          </w:tcPr>
          <w:p>
            <w:pPr>
              <w:ind w:left="20"/>
              <w:spacing w:after="0" w:line="130" w:lineRule="exact"/>
              <w:rPr>
                <w:sz w:val="20"/>
                <w:szCs w:val="20"/>
                <w:color w:val="auto"/>
              </w:rPr>
            </w:pPr>
            <w:r>
              <w:rPr>
                <w:rFonts w:ascii="Arial" w:cs="Arial" w:eastAsia="Arial" w:hAnsi="Arial"/>
                <w:sz w:val="13"/>
                <w:szCs w:val="13"/>
                <w:b w:val="1"/>
                <w:bCs w:val="1"/>
                <w:color w:val="2360A6"/>
              </w:rPr>
              <w:t>Gross Amount</w:t>
            </w:r>
          </w:p>
        </w:tc>
        <w:tc>
          <w:tcPr>
            <w:tcW w:w="1500" w:type="dxa"/>
            <w:vAlign w:val="bottom"/>
            <w:tcBorders>
              <w:right w:val="single" w:sz="8" w:color="2360A6"/>
            </w:tcBorders>
            <w:shd w:val="clear" w:color="auto" w:fill="DCDDDE"/>
          </w:tcPr>
          <w:p>
            <w:pPr>
              <w:jc w:val="right"/>
              <w:ind w:right="76"/>
              <w:spacing w:after="0" w:line="130" w:lineRule="exact"/>
              <w:rPr>
                <w:sz w:val="20"/>
                <w:szCs w:val="20"/>
                <w:color w:val="auto"/>
              </w:rPr>
            </w:pPr>
            <w:r>
              <w:rPr>
                <w:rFonts w:ascii="Arial" w:cs="Arial" w:eastAsia="Arial" w:hAnsi="Arial"/>
                <w:sz w:val="13"/>
                <w:szCs w:val="13"/>
                <w:b w:val="1"/>
                <w:bCs w:val="1"/>
                <w:color w:val="2360A6"/>
              </w:rPr>
              <w:t>Statements</w:t>
            </w:r>
          </w:p>
        </w:tc>
        <w:tc>
          <w:tcPr>
            <w:tcW w:w="1160" w:type="dxa"/>
            <w:vAlign w:val="bottom"/>
            <w:tcBorders>
              <w:right w:val="single" w:sz="8" w:color="2360A6"/>
            </w:tcBorders>
            <w:vMerge w:val="continue"/>
            <w:shd w:val="clear" w:color="auto" w:fill="DCDDDE"/>
          </w:tcPr>
          <w:p>
            <w:pPr>
              <w:spacing w:after="0"/>
              <w:rPr>
                <w:sz w:val="11"/>
                <w:szCs w:val="11"/>
                <w:color w:val="auto"/>
              </w:rPr>
            </w:pPr>
          </w:p>
        </w:tc>
        <w:tc>
          <w:tcPr>
            <w:tcW w:w="2460" w:type="dxa"/>
            <w:vAlign w:val="bottom"/>
            <w:tcBorders>
              <w:right w:val="single" w:sz="8" w:color="2360A6"/>
            </w:tcBorders>
            <w:gridSpan w:val="2"/>
            <w:shd w:val="clear" w:color="auto" w:fill="DCDDDE"/>
          </w:tcPr>
          <w:p>
            <w:pPr>
              <w:ind w:left="40"/>
              <w:spacing w:after="0" w:line="130" w:lineRule="exact"/>
              <w:rPr>
                <w:sz w:val="20"/>
                <w:szCs w:val="20"/>
                <w:color w:val="auto"/>
              </w:rPr>
            </w:pPr>
            <w:r>
              <w:rPr>
                <w:rFonts w:ascii="Arial" w:cs="Arial" w:eastAsia="Arial" w:hAnsi="Arial"/>
                <w:sz w:val="13"/>
                <w:szCs w:val="13"/>
                <w:b w:val="1"/>
                <w:bCs w:val="1"/>
                <w:color w:val="2360A6"/>
              </w:rPr>
              <w:t>Related Amounts not Set off in the</w:t>
            </w:r>
          </w:p>
        </w:tc>
        <w:tc>
          <w:tcPr>
            <w:tcW w:w="1160" w:type="dxa"/>
            <w:vAlign w:val="bottom"/>
            <w:tcBorders>
              <w:right w:val="single" w:sz="8" w:color="2360A6"/>
            </w:tcBorders>
            <w:shd w:val="clear" w:color="auto" w:fill="DCDDD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440" w:type="dxa"/>
            <w:vAlign w:val="bottom"/>
            <w:tcBorders>
              <w:left w:val="single" w:sz="8" w:color="2360A6"/>
              <w:right w:val="single" w:sz="8" w:color="2360A6"/>
            </w:tcBorders>
          </w:tcPr>
          <w:p>
            <w:pPr>
              <w:spacing w:after="0"/>
              <w:rPr>
                <w:sz w:val="12"/>
                <w:szCs w:val="12"/>
                <w:color w:val="auto"/>
              </w:rPr>
            </w:pPr>
          </w:p>
        </w:tc>
        <w:tc>
          <w:tcPr>
            <w:tcW w:w="980" w:type="dxa"/>
            <w:vAlign w:val="bottom"/>
            <w:tcBorders>
              <w:right w:val="single" w:sz="8" w:color="2360A6"/>
            </w:tcBorders>
            <w:shd w:val="clear" w:color="auto" w:fill="DCDDDE"/>
          </w:tcPr>
          <w:p>
            <w:pPr>
              <w:ind w:left="20"/>
              <w:spacing w:after="0" w:line="140" w:lineRule="exact"/>
              <w:rPr>
                <w:sz w:val="20"/>
                <w:szCs w:val="20"/>
                <w:color w:val="auto"/>
              </w:rPr>
            </w:pPr>
            <w:r>
              <w:rPr>
                <w:rFonts w:ascii="Arial" w:cs="Arial" w:eastAsia="Arial" w:hAnsi="Arial"/>
                <w:sz w:val="13"/>
                <w:szCs w:val="13"/>
                <w:b w:val="1"/>
                <w:bCs w:val="1"/>
                <w:color w:val="2360A6"/>
              </w:rPr>
              <w:t>(before</w:t>
            </w:r>
          </w:p>
        </w:tc>
        <w:tc>
          <w:tcPr>
            <w:tcW w:w="1500" w:type="dxa"/>
            <w:vAlign w:val="bottom"/>
            <w:tcBorders>
              <w:right w:val="single" w:sz="8" w:color="2360A6"/>
            </w:tcBorders>
            <w:shd w:val="clear" w:color="auto" w:fill="DCDDDE"/>
          </w:tcPr>
          <w:p>
            <w:pPr>
              <w:jc w:val="right"/>
              <w:ind w:right="76"/>
              <w:spacing w:after="0" w:line="140" w:lineRule="exact"/>
              <w:rPr>
                <w:sz w:val="20"/>
                <w:szCs w:val="20"/>
                <w:color w:val="auto"/>
              </w:rPr>
            </w:pPr>
            <w:r>
              <w:rPr>
                <w:rFonts w:ascii="Arial" w:cs="Arial" w:eastAsia="Arial" w:hAnsi="Arial"/>
                <w:sz w:val="13"/>
                <w:szCs w:val="13"/>
                <w:b w:val="1"/>
                <w:bCs w:val="1"/>
                <w:color w:val="2360A6"/>
              </w:rPr>
              <w:t>(according to</w:t>
            </w:r>
          </w:p>
        </w:tc>
        <w:tc>
          <w:tcPr>
            <w:tcW w:w="1160" w:type="dxa"/>
            <w:vAlign w:val="bottom"/>
            <w:tcBorders>
              <w:right w:val="single" w:sz="8" w:color="2360A6"/>
            </w:tcBorders>
            <w:shd w:val="clear" w:color="auto" w:fill="DCDDDE"/>
          </w:tcPr>
          <w:p>
            <w:pPr>
              <w:jc w:val="right"/>
              <w:spacing w:after="0" w:line="140" w:lineRule="exact"/>
              <w:rPr>
                <w:sz w:val="20"/>
                <w:szCs w:val="20"/>
                <w:color w:val="auto"/>
              </w:rPr>
            </w:pPr>
            <w:r>
              <w:rPr>
                <w:rFonts w:ascii="Arial" w:cs="Arial" w:eastAsia="Arial" w:hAnsi="Arial"/>
                <w:sz w:val="13"/>
                <w:szCs w:val="13"/>
                <w:b w:val="1"/>
                <w:bCs w:val="1"/>
                <w:color w:val="2360A6"/>
              </w:rPr>
              <w:t>Statements</w:t>
            </w:r>
          </w:p>
        </w:tc>
        <w:tc>
          <w:tcPr>
            <w:tcW w:w="2460" w:type="dxa"/>
            <w:vAlign w:val="bottom"/>
            <w:tcBorders>
              <w:right w:val="single" w:sz="8" w:color="2360A6"/>
            </w:tcBorders>
            <w:gridSpan w:val="2"/>
            <w:shd w:val="clear" w:color="auto" w:fill="DCDDDE"/>
          </w:tcPr>
          <w:p>
            <w:pPr>
              <w:ind w:left="40"/>
              <w:spacing w:after="0" w:line="140" w:lineRule="exact"/>
              <w:rPr>
                <w:sz w:val="20"/>
                <w:szCs w:val="20"/>
                <w:color w:val="auto"/>
              </w:rPr>
            </w:pPr>
            <w:r>
              <w:rPr>
                <w:rFonts w:ascii="Arial" w:cs="Arial" w:eastAsia="Arial" w:hAnsi="Arial"/>
                <w:sz w:val="13"/>
                <w:szCs w:val="13"/>
                <w:b w:val="1"/>
                <w:bCs w:val="1"/>
                <w:color w:val="2360A6"/>
              </w:rPr>
              <w:t>Statement of Financial Position (not</w:t>
            </w:r>
          </w:p>
        </w:tc>
        <w:tc>
          <w:tcPr>
            <w:tcW w:w="1160" w:type="dxa"/>
            <w:vAlign w:val="bottom"/>
            <w:tcBorders>
              <w:right w:val="single" w:sz="8" w:color="2360A6"/>
            </w:tcBorders>
            <w:shd w:val="clear" w:color="auto" w:fill="DCDDDE"/>
          </w:tcPr>
          <w:p>
            <w:pPr>
              <w:jc w:val="right"/>
              <w:ind w:right="55"/>
              <w:spacing w:after="0" w:line="140" w:lineRule="exact"/>
              <w:rPr>
                <w:sz w:val="20"/>
                <w:szCs w:val="20"/>
                <w:color w:val="auto"/>
              </w:rPr>
            </w:pPr>
            <w:r>
              <w:rPr>
                <w:rFonts w:ascii="Arial" w:cs="Arial" w:eastAsia="Arial" w:hAnsi="Arial"/>
                <w:sz w:val="13"/>
                <w:szCs w:val="13"/>
                <w:b w:val="1"/>
                <w:bCs w:val="1"/>
                <w:color w:val="2360A6"/>
              </w:rPr>
              <w:t>Net</w:t>
            </w:r>
          </w:p>
        </w:tc>
        <w:tc>
          <w:tcPr>
            <w:tcW w:w="0" w:type="dxa"/>
            <w:vAlign w:val="bottom"/>
          </w:tcPr>
          <w:p>
            <w:pPr>
              <w:spacing w:after="0"/>
              <w:rPr>
                <w:sz w:val="1"/>
                <w:szCs w:val="1"/>
                <w:color w:val="auto"/>
              </w:rPr>
            </w:pPr>
          </w:p>
        </w:tc>
      </w:tr>
      <w:tr>
        <w:trPr>
          <w:trHeight w:val="178"/>
        </w:trPr>
        <w:tc>
          <w:tcPr>
            <w:tcW w:w="3440" w:type="dxa"/>
            <w:vAlign w:val="bottom"/>
            <w:tcBorders>
              <w:left w:val="single" w:sz="8" w:color="2360A6"/>
              <w:right w:val="single" w:sz="8" w:color="2360A6"/>
            </w:tcBorders>
          </w:tcPr>
          <w:p>
            <w:pPr>
              <w:spacing w:after="0"/>
              <w:rPr>
                <w:sz w:val="15"/>
                <w:szCs w:val="15"/>
                <w:color w:val="auto"/>
              </w:rPr>
            </w:pPr>
          </w:p>
        </w:tc>
        <w:tc>
          <w:tcPr>
            <w:tcW w:w="980" w:type="dxa"/>
            <w:vAlign w:val="bottom"/>
            <w:tcBorders>
              <w:bottom w:val="single" w:sz="8" w:color="2360A6"/>
              <w:right w:val="single" w:sz="8" w:color="2360A6"/>
            </w:tcBorders>
            <w:shd w:val="clear" w:color="auto" w:fill="DCDDDE"/>
          </w:tcPr>
          <w:p>
            <w:pPr>
              <w:ind w:left="20"/>
              <w:spacing w:after="0"/>
              <w:rPr>
                <w:sz w:val="20"/>
                <w:szCs w:val="20"/>
                <w:color w:val="auto"/>
              </w:rPr>
            </w:pPr>
            <w:r>
              <w:rPr>
                <w:rFonts w:ascii="Arial" w:cs="Arial" w:eastAsia="Arial" w:hAnsi="Arial"/>
                <w:sz w:val="13"/>
                <w:szCs w:val="13"/>
                <w:b w:val="1"/>
                <w:bCs w:val="1"/>
                <w:color w:val="2360A6"/>
              </w:rPr>
              <w:t>Offsetting)</w:t>
            </w:r>
          </w:p>
        </w:tc>
        <w:tc>
          <w:tcPr>
            <w:tcW w:w="1500" w:type="dxa"/>
            <w:vAlign w:val="bottom"/>
            <w:tcBorders>
              <w:bottom w:val="single" w:sz="8" w:color="2360A6"/>
              <w:right w:val="single" w:sz="8" w:color="2360A6"/>
            </w:tcBorders>
            <w:shd w:val="clear" w:color="auto" w:fill="DCDDDE"/>
          </w:tcPr>
          <w:p>
            <w:pPr>
              <w:jc w:val="right"/>
              <w:ind w:right="76"/>
              <w:spacing w:after="0"/>
              <w:rPr>
                <w:sz w:val="20"/>
                <w:szCs w:val="20"/>
                <w:color w:val="auto"/>
              </w:rPr>
            </w:pPr>
            <w:r>
              <w:rPr>
                <w:rFonts w:ascii="Arial" w:cs="Arial" w:eastAsia="Arial" w:hAnsi="Arial"/>
                <w:sz w:val="13"/>
                <w:szCs w:val="13"/>
                <w:b w:val="1"/>
                <w:bCs w:val="1"/>
                <w:color w:val="2360A6"/>
              </w:rPr>
              <w:t>IAS 32)</w:t>
            </w:r>
          </w:p>
        </w:tc>
        <w:tc>
          <w:tcPr>
            <w:tcW w:w="116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2360A6"/>
              </w:rPr>
              <w:t>(a- b)</w:t>
            </w:r>
          </w:p>
        </w:tc>
        <w:tc>
          <w:tcPr>
            <w:tcW w:w="2460" w:type="dxa"/>
            <w:vAlign w:val="bottom"/>
            <w:tcBorders>
              <w:bottom w:val="single" w:sz="8" w:color="2360A6"/>
              <w:right w:val="single" w:sz="8" w:color="2360A6"/>
            </w:tcBorders>
            <w:gridSpan w:val="2"/>
            <w:shd w:val="clear" w:color="auto" w:fill="DCDDDE"/>
          </w:tcPr>
          <w:p>
            <w:pPr>
              <w:ind w:left="40"/>
              <w:spacing w:after="0"/>
              <w:rPr>
                <w:sz w:val="20"/>
                <w:szCs w:val="20"/>
                <w:color w:val="auto"/>
              </w:rPr>
            </w:pPr>
            <w:r>
              <w:rPr>
                <w:rFonts w:ascii="Arial" w:cs="Arial" w:eastAsia="Arial" w:hAnsi="Arial"/>
                <w:sz w:val="13"/>
                <w:szCs w:val="13"/>
                <w:b w:val="1"/>
                <w:bCs w:val="1"/>
                <w:color w:val="2360A6"/>
              </w:rPr>
              <w:t>Meeting Offsetting Criteria IAS 32)</w:t>
            </w:r>
          </w:p>
        </w:tc>
        <w:tc>
          <w:tcPr>
            <w:tcW w:w="1160" w:type="dxa"/>
            <w:vAlign w:val="bottom"/>
            <w:tcBorders>
              <w:bottom w:val="single" w:sz="8" w:color="2360A6"/>
              <w:right w:val="single" w:sz="8" w:color="2360A6"/>
            </w:tcBorders>
            <w:shd w:val="clear" w:color="auto" w:fill="DCDDDE"/>
          </w:tcPr>
          <w:p>
            <w:pPr>
              <w:jc w:val="right"/>
              <w:ind w:right="55"/>
              <w:spacing w:after="0"/>
              <w:rPr>
                <w:sz w:val="20"/>
                <w:szCs w:val="20"/>
                <w:color w:val="auto"/>
              </w:rPr>
            </w:pPr>
            <w:r>
              <w:rPr>
                <w:rFonts w:ascii="Arial" w:cs="Arial" w:eastAsia="Arial" w:hAnsi="Arial"/>
                <w:sz w:val="13"/>
                <w:szCs w:val="13"/>
                <w:b w:val="1"/>
                <w:bCs w:val="1"/>
                <w:color w:val="2360A6"/>
              </w:rPr>
              <w:t>Amount (c- d)</w:t>
            </w:r>
          </w:p>
        </w:tc>
        <w:tc>
          <w:tcPr>
            <w:tcW w:w="0" w:type="dxa"/>
            <w:vAlign w:val="bottom"/>
          </w:tcPr>
          <w:p>
            <w:pPr>
              <w:spacing w:after="0"/>
              <w:rPr>
                <w:sz w:val="1"/>
                <w:szCs w:val="1"/>
                <w:color w:val="auto"/>
              </w:rPr>
            </w:pPr>
          </w:p>
        </w:tc>
      </w:tr>
      <w:tr>
        <w:trPr>
          <w:trHeight w:val="208"/>
        </w:trPr>
        <w:tc>
          <w:tcPr>
            <w:tcW w:w="3440" w:type="dxa"/>
            <w:vAlign w:val="bottom"/>
            <w:tcBorders>
              <w:left w:val="single" w:sz="8" w:color="2360A6"/>
              <w:right w:val="single" w:sz="8" w:color="2360A6"/>
            </w:tcBorders>
          </w:tcPr>
          <w:p>
            <w:pPr>
              <w:spacing w:after="0"/>
              <w:rPr>
                <w:sz w:val="18"/>
                <w:szCs w:val="18"/>
                <w:color w:val="auto"/>
              </w:rPr>
            </w:pPr>
          </w:p>
        </w:tc>
        <w:tc>
          <w:tcPr>
            <w:tcW w:w="980" w:type="dxa"/>
            <w:vAlign w:val="bottom"/>
            <w:tcBorders>
              <w:right w:val="single" w:sz="8" w:color="2360A6"/>
            </w:tcBorders>
            <w:shd w:val="clear" w:color="auto" w:fill="DCDDDE"/>
          </w:tcPr>
          <w:p>
            <w:pPr>
              <w:spacing w:after="0"/>
              <w:rPr>
                <w:sz w:val="18"/>
                <w:szCs w:val="18"/>
                <w:color w:val="auto"/>
              </w:rPr>
            </w:pPr>
          </w:p>
        </w:tc>
        <w:tc>
          <w:tcPr>
            <w:tcW w:w="1500" w:type="dxa"/>
            <w:vAlign w:val="bottom"/>
            <w:tcBorders>
              <w:right w:val="single" w:sz="8" w:color="2360A6"/>
            </w:tcBorders>
            <w:shd w:val="clear" w:color="auto" w:fill="DCDDDE"/>
          </w:tcPr>
          <w:p>
            <w:pPr>
              <w:spacing w:after="0"/>
              <w:rPr>
                <w:sz w:val="18"/>
                <w:szCs w:val="18"/>
                <w:color w:val="auto"/>
              </w:rPr>
            </w:pPr>
          </w:p>
        </w:tc>
        <w:tc>
          <w:tcPr>
            <w:tcW w:w="1160" w:type="dxa"/>
            <w:vAlign w:val="bottom"/>
            <w:tcBorders>
              <w:right w:val="single" w:sz="8" w:color="2360A6"/>
            </w:tcBorders>
            <w:shd w:val="clear" w:color="auto" w:fill="DCDDDE"/>
          </w:tcPr>
          <w:p>
            <w:pPr>
              <w:spacing w:after="0"/>
              <w:rPr>
                <w:sz w:val="18"/>
                <w:szCs w:val="18"/>
                <w:color w:val="auto"/>
              </w:rPr>
            </w:pPr>
          </w:p>
        </w:tc>
        <w:tc>
          <w:tcPr>
            <w:tcW w:w="1180" w:type="dxa"/>
            <w:vAlign w:val="bottom"/>
            <w:tcBorders>
              <w:right w:val="single" w:sz="8" w:color="2360A6"/>
            </w:tcBorders>
            <w:shd w:val="clear" w:color="auto" w:fill="DCDDDE"/>
          </w:tcPr>
          <w:p>
            <w:pPr>
              <w:spacing w:after="0"/>
              <w:rPr>
                <w:sz w:val="18"/>
                <w:szCs w:val="18"/>
                <w:color w:val="auto"/>
              </w:rPr>
            </w:pPr>
          </w:p>
        </w:tc>
        <w:tc>
          <w:tcPr>
            <w:tcW w:w="1280" w:type="dxa"/>
            <w:vAlign w:val="bottom"/>
            <w:tcBorders>
              <w:right w:val="single" w:sz="8" w:color="2360A6"/>
            </w:tcBorders>
            <w:shd w:val="clear" w:color="auto" w:fill="DCDDDE"/>
          </w:tcPr>
          <w:p>
            <w:pPr>
              <w:jc w:val="right"/>
              <w:ind w:right="55"/>
              <w:spacing w:after="0"/>
              <w:rPr>
                <w:sz w:val="20"/>
                <w:szCs w:val="20"/>
                <w:color w:val="auto"/>
              </w:rPr>
            </w:pPr>
            <w:r>
              <w:rPr>
                <w:rFonts w:ascii="Arial" w:cs="Arial" w:eastAsia="Arial" w:hAnsi="Arial"/>
                <w:sz w:val="13"/>
                <w:szCs w:val="13"/>
                <w:b w:val="1"/>
                <w:bCs w:val="1"/>
                <w:color w:val="2360A6"/>
              </w:rPr>
              <w:t>Fair Value of</w:t>
            </w:r>
          </w:p>
        </w:tc>
        <w:tc>
          <w:tcPr>
            <w:tcW w:w="1160" w:type="dxa"/>
            <w:vAlign w:val="bottom"/>
            <w:tcBorders>
              <w:right w:val="single" w:sz="8" w:color="2360A6"/>
            </w:tcBorders>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shd w:val="clear" w:color="auto" w:fill="DCDDDE"/>
          </w:tcPr>
          <w:p>
            <w:pPr>
              <w:spacing w:after="0"/>
              <w:rPr>
                <w:sz w:val="11"/>
                <w:szCs w:val="11"/>
                <w:color w:val="auto"/>
              </w:rPr>
            </w:pPr>
          </w:p>
        </w:tc>
        <w:tc>
          <w:tcPr>
            <w:tcW w:w="1500" w:type="dxa"/>
            <w:vAlign w:val="bottom"/>
            <w:tcBorders>
              <w:right w:val="single" w:sz="8" w:color="2360A6"/>
            </w:tcBorders>
            <w:shd w:val="clear" w:color="auto" w:fill="DCDDDE"/>
          </w:tcPr>
          <w:p>
            <w:pPr>
              <w:spacing w:after="0"/>
              <w:rPr>
                <w:sz w:val="11"/>
                <w:szCs w:val="11"/>
                <w:color w:val="auto"/>
              </w:rPr>
            </w:pPr>
          </w:p>
        </w:tc>
        <w:tc>
          <w:tcPr>
            <w:tcW w:w="1160" w:type="dxa"/>
            <w:vAlign w:val="bottom"/>
            <w:tcBorders>
              <w:right w:val="single" w:sz="8" w:color="2360A6"/>
            </w:tcBorders>
            <w:shd w:val="clear" w:color="auto" w:fill="DCDDDE"/>
          </w:tcPr>
          <w:p>
            <w:pPr>
              <w:spacing w:after="0"/>
              <w:rPr>
                <w:sz w:val="11"/>
                <w:szCs w:val="11"/>
                <w:color w:val="auto"/>
              </w:rPr>
            </w:pPr>
          </w:p>
        </w:tc>
        <w:tc>
          <w:tcPr>
            <w:tcW w:w="1180" w:type="dxa"/>
            <w:vAlign w:val="bottom"/>
            <w:tcBorders>
              <w:right w:val="single" w:sz="8" w:color="2360A6"/>
            </w:tcBorders>
            <w:shd w:val="clear" w:color="auto" w:fill="DCDDDE"/>
          </w:tcPr>
          <w:p>
            <w:pPr>
              <w:jc w:val="center"/>
              <w:spacing w:after="0" w:line="135" w:lineRule="exact"/>
              <w:rPr>
                <w:sz w:val="20"/>
                <w:szCs w:val="20"/>
                <w:color w:val="auto"/>
              </w:rPr>
            </w:pPr>
            <w:r>
              <w:rPr>
                <w:rFonts w:ascii="Arial" w:cs="Arial" w:eastAsia="Arial" w:hAnsi="Arial"/>
                <w:sz w:val="13"/>
                <w:szCs w:val="13"/>
                <w:b w:val="1"/>
                <w:bCs w:val="1"/>
                <w:color w:val="2360A6"/>
                <w:w w:val="99"/>
              </w:rPr>
              <w:t>Financial</w:t>
            </w:r>
          </w:p>
        </w:tc>
        <w:tc>
          <w:tcPr>
            <w:tcW w:w="1280" w:type="dxa"/>
            <w:vAlign w:val="bottom"/>
            <w:tcBorders>
              <w:right w:val="single" w:sz="8" w:color="2360A6"/>
            </w:tcBorders>
            <w:shd w:val="clear" w:color="auto" w:fill="DCDDDE"/>
          </w:tcPr>
          <w:p>
            <w:pPr>
              <w:jc w:val="right"/>
              <w:ind w:right="55"/>
              <w:spacing w:after="0" w:line="135" w:lineRule="exact"/>
              <w:rPr>
                <w:sz w:val="20"/>
                <w:szCs w:val="20"/>
                <w:color w:val="auto"/>
              </w:rPr>
            </w:pPr>
            <w:r>
              <w:rPr>
                <w:rFonts w:ascii="Arial" w:cs="Arial" w:eastAsia="Arial" w:hAnsi="Arial"/>
                <w:sz w:val="13"/>
                <w:szCs w:val="13"/>
                <w:b w:val="1"/>
                <w:bCs w:val="1"/>
                <w:color w:val="2360A6"/>
              </w:rPr>
              <w:t>Financial</w:t>
            </w:r>
          </w:p>
        </w:tc>
        <w:tc>
          <w:tcPr>
            <w:tcW w:w="1160" w:type="dxa"/>
            <w:vAlign w:val="bottom"/>
            <w:tcBorders>
              <w:right w:val="single" w:sz="8" w:color="2360A6"/>
            </w:tcBorders>
            <w:shd w:val="clear" w:color="auto" w:fill="DCDDD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440" w:type="dxa"/>
            <w:vAlign w:val="bottom"/>
            <w:tcBorders>
              <w:left w:val="single" w:sz="8" w:color="2360A6"/>
              <w:bottom w:val="single" w:sz="8" w:color="2360A6"/>
              <w:right w:val="single" w:sz="8" w:color="2360A6"/>
            </w:tcBorders>
          </w:tcPr>
          <w:p>
            <w:pPr>
              <w:spacing w:after="0"/>
              <w:rPr>
                <w:sz w:val="15"/>
                <w:szCs w:val="15"/>
                <w:color w:val="auto"/>
              </w:rPr>
            </w:pPr>
          </w:p>
        </w:tc>
        <w:tc>
          <w:tcPr>
            <w:tcW w:w="980" w:type="dxa"/>
            <w:vAlign w:val="bottom"/>
            <w:tcBorders>
              <w:bottom w:val="single" w:sz="8" w:color="2360A6"/>
              <w:right w:val="single" w:sz="8" w:color="2360A6"/>
            </w:tcBorders>
            <w:shd w:val="clear" w:color="auto" w:fill="DCDDDE"/>
          </w:tcPr>
          <w:p>
            <w:pPr>
              <w:spacing w:after="0"/>
              <w:rPr>
                <w:sz w:val="15"/>
                <w:szCs w:val="15"/>
                <w:color w:val="auto"/>
              </w:rPr>
            </w:pPr>
          </w:p>
        </w:tc>
        <w:tc>
          <w:tcPr>
            <w:tcW w:w="1500" w:type="dxa"/>
            <w:vAlign w:val="bottom"/>
            <w:tcBorders>
              <w:bottom w:val="single" w:sz="8" w:color="2360A6"/>
              <w:right w:val="single" w:sz="8" w:color="2360A6"/>
            </w:tcBorders>
            <w:shd w:val="clear" w:color="auto" w:fill="DCDDDE"/>
          </w:tcPr>
          <w:p>
            <w:pPr>
              <w:spacing w:after="0"/>
              <w:rPr>
                <w:sz w:val="15"/>
                <w:szCs w:val="15"/>
                <w:color w:val="auto"/>
              </w:rPr>
            </w:pPr>
          </w:p>
        </w:tc>
        <w:tc>
          <w:tcPr>
            <w:tcW w:w="1160" w:type="dxa"/>
            <w:vAlign w:val="bottom"/>
            <w:tcBorders>
              <w:bottom w:val="single" w:sz="8" w:color="2360A6"/>
              <w:right w:val="single" w:sz="8" w:color="2360A6"/>
            </w:tcBorders>
            <w:shd w:val="clear" w:color="auto" w:fill="DCDDDE"/>
          </w:tcPr>
          <w:p>
            <w:pPr>
              <w:spacing w:after="0"/>
              <w:rPr>
                <w:sz w:val="15"/>
                <w:szCs w:val="15"/>
                <w:color w:val="auto"/>
              </w:rPr>
            </w:pPr>
          </w:p>
        </w:tc>
        <w:tc>
          <w:tcPr>
            <w:tcW w:w="1180" w:type="dxa"/>
            <w:vAlign w:val="bottom"/>
            <w:tcBorders>
              <w:bottom w:val="single" w:sz="8" w:color="2360A6"/>
              <w:right w:val="single" w:sz="8" w:color="2360A6"/>
            </w:tcBorders>
            <w:shd w:val="clear" w:color="auto" w:fill="DCDDDE"/>
          </w:tcPr>
          <w:p>
            <w:pPr>
              <w:jc w:val="center"/>
              <w:spacing w:after="0"/>
              <w:rPr>
                <w:sz w:val="20"/>
                <w:szCs w:val="20"/>
                <w:color w:val="auto"/>
              </w:rPr>
            </w:pPr>
            <w:r>
              <w:rPr>
                <w:rFonts w:ascii="Arial" w:cs="Arial" w:eastAsia="Arial" w:hAnsi="Arial"/>
                <w:sz w:val="13"/>
                <w:szCs w:val="13"/>
                <w:b w:val="1"/>
                <w:bCs w:val="1"/>
                <w:color w:val="2360A6"/>
                <w:w w:val="96"/>
              </w:rPr>
              <w:t>Instruments</w:t>
            </w:r>
          </w:p>
        </w:tc>
        <w:tc>
          <w:tcPr>
            <w:tcW w:w="1280" w:type="dxa"/>
            <w:vAlign w:val="bottom"/>
            <w:tcBorders>
              <w:bottom w:val="single" w:sz="8" w:color="2360A6"/>
              <w:right w:val="single" w:sz="8" w:color="2360A6"/>
            </w:tcBorders>
            <w:shd w:val="clear" w:color="auto" w:fill="DCDDDE"/>
          </w:tcPr>
          <w:p>
            <w:pPr>
              <w:jc w:val="right"/>
              <w:ind w:right="55"/>
              <w:spacing w:after="0"/>
              <w:rPr>
                <w:sz w:val="20"/>
                <w:szCs w:val="20"/>
                <w:color w:val="auto"/>
              </w:rPr>
            </w:pPr>
            <w:r>
              <w:rPr>
                <w:rFonts w:ascii="Arial" w:cs="Arial" w:eastAsia="Arial" w:hAnsi="Arial"/>
                <w:sz w:val="13"/>
                <w:szCs w:val="13"/>
                <w:b w:val="1"/>
                <w:bCs w:val="1"/>
                <w:color w:val="2360A6"/>
              </w:rPr>
              <w:t>Collaterals</w:t>
            </w:r>
          </w:p>
        </w:tc>
        <w:tc>
          <w:tcPr>
            <w:tcW w:w="1160" w:type="dxa"/>
            <w:vAlign w:val="bottom"/>
            <w:tcBorders>
              <w:bottom w:val="single" w:sz="8" w:color="2360A6"/>
              <w:right w:val="single" w:sz="8" w:color="2360A6"/>
            </w:tcBorders>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tcBorders>
              <w:left w:val="single" w:sz="8" w:color="2360A6"/>
              <w:bottom w:val="single" w:sz="8" w:color="2360A6"/>
              <w:right w:val="single" w:sz="8" w:color="2360A6"/>
            </w:tcBorders>
            <w:shd w:val="clear" w:color="auto" w:fill="CCD1E7"/>
          </w:tcPr>
          <w:p>
            <w:pPr>
              <w:ind w:left="40"/>
              <w:spacing w:after="0"/>
              <w:rPr>
                <w:sz w:val="20"/>
                <w:szCs w:val="20"/>
                <w:color w:val="auto"/>
              </w:rPr>
            </w:pPr>
            <w:r>
              <w:rPr>
                <w:rFonts w:ascii="Arial" w:cs="Arial" w:eastAsia="Arial" w:hAnsi="Arial"/>
                <w:sz w:val="14"/>
                <w:szCs w:val="14"/>
                <w:b w:val="1"/>
                <w:bCs w:val="1"/>
                <w:color w:val="2360A6"/>
              </w:rPr>
              <w:t>TOTAL DERIVATIVE FINANCIAL INSTRUMENTS</w:t>
            </w:r>
          </w:p>
        </w:tc>
        <w:tc>
          <w:tcPr>
            <w:tcW w:w="98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225.8</w:t>
            </w:r>
          </w:p>
        </w:tc>
        <w:tc>
          <w:tcPr>
            <w:tcW w:w="1500" w:type="dxa"/>
            <w:vAlign w:val="bottom"/>
            <w:tcBorders>
              <w:bottom w:val="single" w:sz="8" w:color="2360A6"/>
              <w:right w:val="single" w:sz="8" w:color="2360A6"/>
            </w:tcBorders>
            <w:shd w:val="clear" w:color="auto" w:fill="CCD1E7"/>
          </w:tcPr>
          <w:p>
            <w:pPr>
              <w:jc w:val="right"/>
              <w:ind w:right="76"/>
              <w:spacing w:after="0"/>
              <w:rPr>
                <w:sz w:val="20"/>
                <w:szCs w:val="20"/>
                <w:color w:val="auto"/>
              </w:rPr>
            </w:pPr>
            <w:r>
              <w:rPr>
                <w:rFonts w:ascii="Arial" w:cs="Arial" w:eastAsia="Arial" w:hAnsi="Arial"/>
                <w:sz w:val="14"/>
                <w:szCs w:val="14"/>
                <w:b w:val="1"/>
                <w:bCs w:val="1"/>
                <w:color w:val="2360A6"/>
              </w:rPr>
              <w:t>—</w:t>
            </w:r>
          </w:p>
        </w:tc>
        <w:tc>
          <w:tcPr>
            <w:tcW w:w="116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225.8</w:t>
            </w:r>
          </w:p>
        </w:tc>
        <w:tc>
          <w:tcPr>
            <w:tcW w:w="118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225.8</w:t>
            </w:r>
          </w:p>
        </w:tc>
        <w:tc>
          <w:tcPr>
            <w:tcW w:w="1280" w:type="dxa"/>
            <w:vAlign w:val="bottom"/>
            <w:tcBorders>
              <w:bottom w:val="single" w:sz="8" w:color="2360A6"/>
              <w:right w:val="single" w:sz="8" w:color="2360A6"/>
            </w:tcBorders>
            <w:shd w:val="clear" w:color="auto" w:fill="CCD1E7"/>
          </w:tcPr>
          <w:p>
            <w:pPr>
              <w:jc w:val="right"/>
              <w:ind w:right="55"/>
              <w:spacing w:after="0"/>
              <w:rPr>
                <w:sz w:val="20"/>
                <w:szCs w:val="20"/>
                <w:color w:val="auto"/>
              </w:rPr>
            </w:pPr>
            <w:r>
              <w:rPr>
                <w:rFonts w:ascii="Arial" w:cs="Arial" w:eastAsia="Arial" w:hAnsi="Arial"/>
                <w:sz w:val="14"/>
                <w:szCs w:val="14"/>
                <w:b w:val="1"/>
                <w:bCs w:val="1"/>
                <w:color w:val="2360A6"/>
              </w:rPr>
              <w:t>—</w:t>
            </w:r>
          </w:p>
        </w:tc>
        <w:tc>
          <w:tcPr>
            <w:tcW w:w="1160" w:type="dxa"/>
            <w:vAlign w:val="bottom"/>
            <w:tcBorders>
              <w:bottom w:val="single" w:sz="8" w:color="2360A6"/>
              <w:right w:val="single" w:sz="8" w:color="2360A6"/>
            </w:tcBorders>
            <w:shd w:val="clear" w:color="auto" w:fill="CCD1E7"/>
          </w:tcPr>
          <w:p>
            <w:pPr>
              <w:jc w:val="right"/>
              <w:ind w:right="55"/>
              <w:spacing w:after="0"/>
              <w:rPr>
                <w:sz w:val="20"/>
                <w:szCs w:val="20"/>
                <w:color w:val="auto"/>
              </w:rPr>
            </w:pPr>
            <w:r>
              <w:rPr>
                <w:rFonts w:ascii="Arial" w:cs="Arial" w:eastAsia="Arial" w:hAnsi="Arial"/>
                <w:sz w:val="14"/>
                <w:szCs w:val="14"/>
                <w:b w:val="1"/>
                <w:bCs w:val="1"/>
                <w:color w:val="2360A6"/>
              </w:rPr>
              <w:t>—</w:t>
            </w:r>
          </w:p>
        </w:tc>
        <w:tc>
          <w:tcPr>
            <w:tcW w:w="0" w:type="dxa"/>
            <w:vAlign w:val="bottom"/>
          </w:tcPr>
          <w:p>
            <w:pPr>
              <w:spacing w:after="0"/>
              <w:rPr>
                <w:sz w:val="1"/>
                <w:szCs w:val="1"/>
                <w:color w:val="auto"/>
              </w:rPr>
            </w:pPr>
          </w:p>
        </w:tc>
      </w:tr>
      <w:tr>
        <w:trPr>
          <w:trHeight w:val="283"/>
        </w:trPr>
        <w:tc>
          <w:tcPr>
            <w:tcW w:w="3440" w:type="dxa"/>
            <w:vAlign w:val="bottom"/>
            <w:tcBorders>
              <w:bottom w:val="single" w:sz="8" w:color="2360A6"/>
            </w:tcBorders>
          </w:tcPr>
          <w:p>
            <w:pPr>
              <w:spacing w:after="0"/>
              <w:rPr>
                <w:sz w:val="24"/>
                <w:szCs w:val="24"/>
                <w:color w:val="auto"/>
              </w:rPr>
            </w:pPr>
          </w:p>
        </w:tc>
        <w:tc>
          <w:tcPr>
            <w:tcW w:w="980" w:type="dxa"/>
            <w:vAlign w:val="bottom"/>
            <w:tcBorders>
              <w:bottom w:val="single" w:sz="8" w:color="2360A6"/>
            </w:tcBorders>
          </w:tcPr>
          <w:p>
            <w:pPr>
              <w:spacing w:after="0"/>
              <w:rPr>
                <w:sz w:val="24"/>
                <w:szCs w:val="24"/>
                <w:color w:val="auto"/>
              </w:rPr>
            </w:pPr>
          </w:p>
        </w:tc>
        <w:tc>
          <w:tcPr>
            <w:tcW w:w="1500" w:type="dxa"/>
            <w:vAlign w:val="bottom"/>
            <w:tcBorders>
              <w:bottom w:val="single" w:sz="8" w:color="2360A6"/>
            </w:tcBorders>
          </w:tcPr>
          <w:p>
            <w:pPr>
              <w:spacing w:after="0"/>
              <w:rPr>
                <w:sz w:val="24"/>
                <w:szCs w:val="24"/>
                <w:color w:val="auto"/>
              </w:rPr>
            </w:pPr>
          </w:p>
        </w:tc>
        <w:tc>
          <w:tcPr>
            <w:tcW w:w="1160" w:type="dxa"/>
            <w:vAlign w:val="bottom"/>
            <w:tcBorders>
              <w:bottom w:val="single" w:sz="8" w:color="2360A6"/>
            </w:tcBorders>
          </w:tcPr>
          <w:p>
            <w:pPr>
              <w:spacing w:after="0"/>
              <w:rPr>
                <w:sz w:val="24"/>
                <w:szCs w:val="24"/>
                <w:color w:val="auto"/>
              </w:rPr>
            </w:pPr>
          </w:p>
        </w:tc>
        <w:tc>
          <w:tcPr>
            <w:tcW w:w="1180" w:type="dxa"/>
            <w:vAlign w:val="bottom"/>
            <w:tcBorders>
              <w:bottom w:val="single" w:sz="8" w:color="2360A6"/>
            </w:tcBorders>
          </w:tcPr>
          <w:p>
            <w:pPr>
              <w:spacing w:after="0"/>
              <w:rPr>
                <w:sz w:val="24"/>
                <w:szCs w:val="24"/>
                <w:color w:val="auto"/>
              </w:rPr>
            </w:pPr>
          </w:p>
        </w:tc>
        <w:tc>
          <w:tcPr>
            <w:tcW w:w="1280" w:type="dxa"/>
            <w:vAlign w:val="bottom"/>
            <w:tcBorders>
              <w:bottom w:val="single" w:sz="8" w:color="2360A6"/>
            </w:tcBorders>
          </w:tcPr>
          <w:p>
            <w:pPr>
              <w:spacing w:after="0"/>
              <w:rPr>
                <w:sz w:val="24"/>
                <w:szCs w:val="24"/>
                <w:color w:val="auto"/>
              </w:rPr>
            </w:pPr>
          </w:p>
        </w:tc>
        <w:tc>
          <w:tcPr>
            <w:tcW w:w="1160" w:type="dxa"/>
            <w:vAlign w:val="bottom"/>
            <w:tcBorders>
              <w:bottom w:val="single" w:sz="8" w:color="2360A6"/>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4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980" w:type="dxa"/>
            <w:vAlign w:val="bottom"/>
            <w:tcBorders>
              <w:bottom w:val="single" w:sz="8" w:color="2360A6"/>
              <w:right w:val="single" w:sz="8" w:color="2360A6"/>
            </w:tcBorders>
            <w:shd w:val="clear" w:color="auto" w:fill="2360A6"/>
          </w:tcPr>
          <w:p>
            <w:pPr>
              <w:spacing w:after="0"/>
              <w:rPr>
                <w:sz w:val="17"/>
                <w:szCs w:val="17"/>
                <w:color w:val="auto"/>
              </w:rPr>
            </w:pPr>
          </w:p>
        </w:tc>
        <w:tc>
          <w:tcPr>
            <w:tcW w:w="1500" w:type="dxa"/>
            <w:vAlign w:val="bottom"/>
            <w:tcBorders>
              <w:bottom w:val="single" w:sz="8" w:color="2360A6"/>
              <w:right w:val="single" w:sz="8" w:color="2360A6"/>
            </w:tcBorders>
            <w:shd w:val="clear" w:color="auto" w:fill="2360A6"/>
          </w:tcPr>
          <w:p>
            <w:pPr>
              <w:spacing w:after="0"/>
              <w:rPr>
                <w:sz w:val="17"/>
                <w:szCs w:val="17"/>
                <w:color w:val="auto"/>
              </w:rPr>
            </w:pPr>
          </w:p>
        </w:tc>
        <w:tc>
          <w:tcPr>
            <w:tcW w:w="2340" w:type="dxa"/>
            <w:vAlign w:val="bottom"/>
            <w:tcBorders>
              <w:bottom w:val="single" w:sz="8" w:color="2360A6"/>
              <w:right w:val="single" w:sz="8" w:color="2360A6"/>
            </w:tcBorders>
            <w:gridSpan w:val="2"/>
            <w:shd w:val="clear" w:color="auto" w:fill="2360A6"/>
          </w:tcPr>
          <w:p>
            <w:pPr>
              <w:jc w:val="right"/>
              <w:ind w:right="296"/>
              <w:spacing w:after="0"/>
              <w:rPr>
                <w:sz w:val="20"/>
                <w:szCs w:val="20"/>
                <w:color w:val="auto"/>
              </w:rPr>
            </w:pPr>
            <w:r>
              <w:rPr>
                <w:rFonts w:ascii="Arial" w:cs="Arial" w:eastAsia="Arial" w:hAnsi="Arial"/>
                <w:sz w:val="14"/>
                <w:szCs w:val="14"/>
                <w:b w:val="1"/>
                <w:bCs w:val="1"/>
                <w:color w:val="FFFFFF"/>
              </w:rPr>
              <w:t>As of December 31, 2016</w:t>
            </w:r>
          </w:p>
        </w:tc>
        <w:tc>
          <w:tcPr>
            <w:tcW w:w="1280" w:type="dxa"/>
            <w:vAlign w:val="bottom"/>
            <w:tcBorders>
              <w:bottom w:val="single" w:sz="8" w:color="2360A6"/>
              <w:right w:val="single" w:sz="8" w:color="2360A6"/>
            </w:tcBorders>
            <w:shd w:val="clear" w:color="auto" w:fill="2360A6"/>
          </w:tcPr>
          <w:p>
            <w:pPr>
              <w:spacing w:after="0"/>
              <w:rPr>
                <w:sz w:val="17"/>
                <w:szCs w:val="17"/>
                <w:color w:val="auto"/>
              </w:rPr>
            </w:pPr>
          </w:p>
        </w:tc>
        <w:tc>
          <w:tcPr>
            <w:tcW w:w="1160" w:type="dxa"/>
            <w:vAlign w:val="bottom"/>
            <w:tcBorders>
              <w:bottom w:val="single" w:sz="8" w:color="2360A6"/>
              <w:right w:val="single" w:sz="8" w:color="2360A6"/>
            </w:tcBorders>
            <w:shd w:val="clear" w:color="auto" w:fill="2360A6"/>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Financial Liabilities (by Type of Financial</w:t>
            </w:r>
          </w:p>
        </w:tc>
        <w:tc>
          <w:tcPr>
            <w:tcW w:w="980" w:type="dxa"/>
            <w:vAlign w:val="bottom"/>
            <w:tcBorders>
              <w:right w:val="single" w:sz="8" w:color="2360A6"/>
            </w:tcBorders>
            <w:shd w:val="clear" w:color="auto" w:fill="DCDDDE"/>
          </w:tcPr>
          <w:p>
            <w:pPr>
              <w:spacing w:after="0"/>
              <w:rPr>
                <w:sz w:val="15"/>
                <w:szCs w:val="15"/>
                <w:color w:val="auto"/>
              </w:rPr>
            </w:pPr>
          </w:p>
        </w:tc>
        <w:tc>
          <w:tcPr>
            <w:tcW w:w="1500" w:type="dxa"/>
            <w:vAlign w:val="bottom"/>
            <w:tcBorders>
              <w:right w:val="single" w:sz="8" w:color="2360A6"/>
            </w:tcBorders>
            <w:shd w:val="clear" w:color="auto" w:fill="DCDDDE"/>
          </w:tcPr>
          <w:p>
            <w:pPr>
              <w:spacing w:after="0"/>
              <w:rPr>
                <w:sz w:val="15"/>
                <w:szCs w:val="15"/>
                <w:color w:val="auto"/>
              </w:rPr>
            </w:pPr>
          </w:p>
        </w:tc>
        <w:tc>
          <w:tcPr>
            <w:tcW w:w="1160" w:type="dxa"/>
            <w:vAlign w:val="bottom"/>
            <w:tcBorders>
              <w:right w:val="single" w:sz="8" w:color="2360A6"/>
            </w:tcBorders>
            <w:shd w:val="clear" w:color="auto" w:fill="DCDDDE"/>
          </w:tcPr>
          <w:p>
            <w:pPr>
              <w:spacing w:after="0"/>
              <w:rPr>
                <w:sz w:val="15"/>
                <w:szCs w:val="15"/>
                <w:color w:val="auto"/>
              </w:rPr>
            </w:pPr>
          </w:p>
        </w:tc>
        <w:tc>
          <w:tcPr>
            <w:tcW w:w="1180" w:type="dxa"/>
            <w:vAlign w:val="bottom"/>
            <w:tcBorders>
              <w:right w:val="single" w:sz="8" w:color="DCDDDE"/>
            </w:tcBorders>
            <w:shd w:val="clear" w:color="auto" w:fill="DCDDDE"/>
          </w:tcPr>
          <w:p>
            <w:pPr>
              <w:spacing w:after="0"/>
              <w:rPr>
                <w:sz w:val="15"/>
                <w:szCs w:val="15"/>
                <w:color w:val="auto"/>
              </w:rPr>
            </w:pPr>
          </w:p>
        </w:tc>
        <w:tc>
          <w:tcPr>
            <w:tcW w:w="1280" w:type="dxa"/>
            <w:vAlign w:val="bottom"/>
            <w:tcBorders>
              <w:right w:val="single" w:sz="8" w:color="2360A6"/>
            </w:tcBorders>
            <w:shd w:val="clear" w:color="auto" w:fill="DCDDDE"/>
          </w:tcPr>
          <w:p>
            <w:pPr>
              <w:spacing w:after="0"/>
              <w:rPr>
                <w:sz w:val="15"/>
                <w:szCs w:val="15"/>
                <w:color w:val="auto"/>
              </w:rPr>
            </w:pPr>
          </w:p>
        </w:tc>
        <w:tc>
          <w:tcPr>
            <w:tcW w:w="1160" w:type="dxa"/>
            <w:vAlign w:val="bottom"/>
            <w:tcBorders>
              <w:right w:val="single" w:sz="8" w:color="2360A6"/>
            </w:tcBorders>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Instruments)</w:t>
            </w:r>
          </w:p>
        </w:tc>
        <w:tc>
          <w:tcPr>
            <w:tcW w:w="980" w:type="dxa"/>
            <w:vAlign w:val="bottom"/>
            <w:tcBorders>
              <w:bottom w:val="single" w:sz="8" w:color="2360A6"/>
              <w:right w:val="single" w:sz="8" w:color="2360A6"/>
            </w:tcBorders>
            <w:shd w:val="clear" w:color="auto" w:fill="DCDDDE"/>
          </w:tcPr>
          <w:p>
            <w:pPr>
              <w:ind w:left="20"/>
              <w:spacing w:after="0"/>
              <w:rPr>
                <w:sz w:val="20"/>
                <w:szCs w:val="20"/>
                <w:color w:val="auto"/>
              </w:rPr>
            </w:pPr>
            <w:r>
              <w:rPr>
                <w:rFonts w:ascii="Arial" w:cs="Arial" w:eastAsia="Arial" w:hAnsi="Arial"/>
                <w:sz w:val="13"/>
                <w:szCs w:val="13"/>
                <w:b w:val="1"/>
                <w:bCs w:val="1"/>
                <w:color w:val="2360A6"/>
              </w:rPr>
              <w:t>a</w:t>
            </w:r>
          </w:p>
        </w:tc>
        <w:tc>
          <w:tcPr>
            <w:tcW w:w="1500" w:type="dxa"/>
            <w:vAlign w:val="bottom"/>
            <w:tcBorders>
              <w:bottom w:val="single" w:sz="8" w:color="2360A6"/>
              <w:right w:val="single" w:sz="8" w:color="2360A6"/>
            </w:tcBorders>
            <w:shd w:val="clear" w:color="auto" w:fill="DCDDDE"/>
          </w:tcPr>
          <w:p>
            <w:pPr>
              <w:jc w:val="right"/>
              <w:ind w:right="1336"/>
              <w:spacing w:after="0"/>
              <w:rPr>
                <w:sz w:val="20"/>
                <w:szCs w:val="20"/>
                <w:color w:val="auto"/>
              </w:rPr>
            </w:pPr>
            <w:r>
              <w:rPr>
                <w:rFonts w:ascii="Arial" w:cs="Arial" w:eastAsia="Arial" w:hAnsi="Arial"/>
                <w:sz w:val="13"/>
                <w:szCs w:val="13"/>
                <w:b w:val="1"/>
                <w:bCs w:val="1"/>
                <w:color w:val="2360A6"/>
              </w:rPr>
              <w:t>b</w:t>
            </w:r>
          </w:p>
        </w:tc>
        <w:tc>
          <w:tcPr>
            <w:tcW w:w="1160" w:type="dxa"/>
            <w:vAlign w:val="bottom"/>
            <w:tcBorders>
              <w:bottom w:val="single" w:sz="8" w:color="2360A6"/>
              <w:right w:val="single" w:sz="8" w:color="2360A6"/>
            </w:tcBorders>
            <w:shd w:val="clear" w:color="auto" w:fill="DCDDDE"/>
          </w:tcPr>
          <w:p>
            <w:pPr>
              <w:jc w:val="right"/>
              <w:ind w:right="1015"/>
              <w:spacing w:after="0"/>
              <w:rPr>
                <w:sz w:val="20"/>
                <w:szCs w:val="20"/>
                <w:color w:val="auto"/>
              </w:rPr>
            </w:pPr>
            <w:r>
              <w:rPr>
                <w:rFonts w:ascii="Arial" w:cs="Arial" w:eastAsia="Arial" w:hAnsi="Arial"/>
                <w:sz w:val="13"/>
                <w:szCs w:val="13"/>
                <w:b w:val="1"/>
                <w:bCs w:val="1"/>
                <w:color w:val="2360A6"/>
                <w:w w:val="82"/>
              </w:rPr>
              <w:t>c</w:t>
            </w:r>
          </w:p>
        </w:tc>
        <w:tc>
          <w:tcPr>
            <w:tcW w:w="1180" w:type="dxa"/>
            <w:vAlign w:val="bottom"/>
            <w:tcBorders>
              <w:bottom w:val="single" w:sz="8" w:color="2360A6"/>
              <w:right w:val="single" w:sz="8" w:color="DCDDDE"/>
            </w:tcBorders>
            <w:shd w:val="clear" w:color="auto" w:fill="DCDDDE"/>
          </w:tcPr>
          <w:p>
            <w:pPr>
              <w:ind w:left="40"/>
              <w:spacing w:after="0"/>
              <w:rPr>
                <w:sz w:val="20"/>
                <w:szCs w:val="20"/>
                <w:color w:val="auto"/>
              </w:rPr>
            </w:pPr>
            <w:r>
              <w:rPr>
                <w:rFonts w:ascii="Arial" w:cs="Arial" w:eastAsia="Arial" w:hAnsi="Arial"/>
                <w:sz w:val="13"/>
                <w:szCs w:val="13"/>
                <w:b w:val="1"/>
                <w:bCs w:val="1"/>
                <w:color w:val="2360A6"/>
              </w:rPr>
              <w:t>d</w:t>
            </w:r>
          </w:p>
        </w:tc>
        <w:tc>
          <w:tcPr>
            <w:tcW w:w="1280" w:type="dxa"/>
            <w:vAlign w:val="bottom"/>
            <w:tcBorders>
              <w:bottom w:val="single" w:sz="8" w:color="2360A6"/>
              <w:right w:val="single" w:sz="8" w:color="2360A6"/>
            </w:tcBorders>
            <w:shd w:val="clear" w:color="auto" w:fill="DCDDDE"/>
          </w:tcPr>
          <w:p>
            <w:pPr>
              <w:spacing w:after="0"/>
              <w:rPr>
                <w:sz w:val="17"/>
                <w:szCs w:val="17"/>
                <w:color w:val="auto"/>
              </w:rPr>
            </w:pPr>
          </w:p>
        </w:tc>
        <w:tc>
          <w:tcPr>
            <w:tcW w:w="1160" w:type="dxa"/>
            <w:vAlign w:val="bottom"/>
            <w:tcBorders>
              <w:bottom w:val="single" w:sz="8" w:color="2360A6"/>
              <w:right w:val="single" w:sz="8" w:color="2360A6"/>
            </w:tcBorders>
            <w:shd w:val="clear" w:color="auto" w:fill="DCDDDE"/>
          </w:tcPr>
          <w:p>
            <w:pPr>
              <w:jc w:val="right"/>
              <w:ind w:right="1015"/>
              <w:spacing w:after="0"/>
              <w:rPr>
                <w:sz w:val="20"/>
                <w:szCs w:val="20"/>
                <w:color w:val="auto"/>
              </w:rPr>
            </w:pPr>
            <w:r>
              <w:rPr>
                <w:rFonts w:ascii="Arial" w:cs="Arial" w:eastAsia="Arial" w:hAnsi="Arial"/>
                <w:sz w:val="13"/>
                <w:szCs w:val="13"/>
                <w:b w:val="1"/>
                <w:bCs w:val="1"/>
                <w:color w:val="2360A6"/>
                <w:w w:val="82"/>
              </w:rPr>
              <w:t>e</w:t>
            </w:r>
          </w:p>
        </w:tc>
        <w:tc>
          <w:tcPr>
            <w:tcW w:w="0" w:type="dxa"/>
            <w:vAlign w:val="bottom"/>
          </w:tcPr>
          <w:p>
            <w:pPr>
              <w:spacing w:after="0"/>
              <w:rPr>
                <w:sz w:val="1"/>
                <w:szCs w:val="1"/>
                <w:color w:val="auto"/>
              </w:rPr>
            </w:pPr>
          </w:p>
        </w:tc>
      </w:tr>
      <w:tr>
        <w:trPr>
          <w:trHeight w:val="342"/>
        </w:trPr>
        <w:tc>
          <w:tcPr>
            <w:tcW w:w="3440" w:type="dxa"/>
            <w:vAlign w:val="bottom"/>
            <w:tcBorders>
              <w:left w:val="single" w:sz="8" w:color="2360A6"/>
              <w:right w:val="single" w:sz="8" w:color="2360A6"/>
            </w:tcBorders>
          </w:tcPr>
          <w:p>
            <w:pPr>
              <w:spacing w:after="0"/>
              <w:rPr>
                <w:sz w:val="24"/>
                <w:szCs w:val="24"/>
                <w:color w:val="auto"/>
              </w:rPr>
            </w:pPr>
          </w:p>
        </w:tc>
        <w:tc>
          <w:tcPr>
            <w:tcW w:w="980" w:type="dxa"/>
            <w:vAlign w:val="bottom"/>
            <w:tcBorders>
              <w:right w:val="single" w:sz="8" w:color="2360A6"/>
            </w:tcBorders>
            <w:shd w:val="clear" w:color="auto" w:fill="DCDDDE"/>
          </w:tcPr>
          <w:p>
            <w:pPr>
              <w:spacing w:after="0"/>
              <w:rPr>
                <w:sz w:val="24"/>
                <w:szCs w:val="24"/>
                <w:color w:val="auto"/>
              </w:rPr>
            </w:pPr>
          </w:p>
        </w:tc>
        <w:tc>
          <w:tcPr>
            <w:tcW w:w="1500" w:type="dxa"/>
            <w:vAlign w:val="bottom"/>
            <w:tcBorders>
              <w:right w:val="single" w:sz="8" w:color="2360A6"/>
            </w:tcBorders>
            <w:shd w:val="clear" w:color="auto" w:fill="DCDDDE"/>
          </w:tcPr>
          <w:p>
            <w:pPr>
              <w:jc w:val="right"/>
              <w:ind w:right="76"/>
              <w:spacing w:after="0"/>
              <w:rPr>
                <w:sz w:val="20"/>
                <w:szCs w:val="20"/>
                <w:color w:val="auto"/>
              </w:rPr>
            </w:pPr>
            <w:r>
              <w:rPr>
                <w:rFonts w:ascii="Arial" w:cs="Arial" w:eastAsia="Arial" w:hAnsi="Arial"/>
                <w:sz w:val="13"/>
                <w:szCs w:val="13"/>
                <w:b w:val="1"/>
                <w:bCs w:val="1"/>
                <w:color w:val="2360A6"/>
              </w:rPr>
              <w:t>Gross Amounts Set</w:t>
            </w:r>
          </w:p>
        </w:tc>
        <w:tc>
          <w:tcPr>
            <w:tcW w:w="1160" w:type="dxa"/>
            <w:vAlign w:val="bottom"/>
            <w:tcBorders>
              <w:right w:val="single" w:sz="8" w:color="2360A6"/>
            </w:tcBorders>
            <w:shd w:val="clear" w:color="auto" w:fill="DCDDDE"/>
          </w:tcPr>
          <w:p>
            <w:pPr>
              <w:spacing w:after="0"/>
              <w:rPr>
                <w:sz w:val="24"/>
                <w:szCs w:val="24"/>
                <w:color w:val="auto"/>
              </w:rPr>
            </w:pPr>
          </w:p>
        </w:tc>
        <w:tc>
          <w:tcPr>
            <w:tcW w:w="1180" w:type="dxa"/>
            <w:vAlign w:val="bottom"/>
            <w:tcBorders>
              <w:right w:val="single" w:sz="8" w:color="DCDDDE"/>
            </w:tcBorders>
            <w:shd w:val="clear" w:color="auto" w:fill="DCDDDE"/>
          </w:tcPr>
          <w:p>
            <w:pPr>
              <w:spacing w:after="0"/>
              <w:rPr>
                <w:sz w:val="24"/>
                <w:szCs w:val="24"/>
                <w:color w:val="auto"/>
              </w:rPr>
            </w:pPr>
          </w:p>
        </w:tc>
        <w:tc>
          <w:tcPr>
            <w:tcW w:w="1280" w:type="dxa"/>
            <w:vAlign w:val="bottom"/>
            <w:tcBorders>
              <w:right w:val="single" w:sz="8" w:color="2360A6"/>
            </w:tcBorders>
            <w:shd w:val="clear" w:color="auto" w:fill="DCDDDE"/>
          </w:tcPr>
          <w:p>
            <w:pPr>
              <w:spacing w:after="0"/>
              <w:rPr>
                <w:sz w:val="24"/>
                <w:szCs w:val="24"/>
                <w:color w:val="auto"/>
              </w:rPr>
            </w:pPr>
          </w:p>
        </w:tc>
        <w:tc>
          <w:tcPr>
            <w:tcW w:w="1160" w:type="dxa"/>
            <w:vAlign w:val="bottom"/>
            <w:tcBorders>
              <w:right w:val="single" w:sz="8" w:color="2360A6"/>
            </w:tcBorders>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shd w:val="clear" w:color="auto" w:fill="DCDDDE"/>
          </w:tcPr>
          <w:p>
            <w:pPr>
              <w:spacing w:after="0"/>
              <w:rPr>
                <w:sz w:val="11"/>
                <w:szCs w:val="11"/>
                <w:color w:val="auto"/>
              </w:rPr>
            </w:pPr>
          </w:p>
        </w:tc>
        <w:tc>
          <w:tcPr>
            <w:tcW w:w="1500" w:type="dxa"/>
            <w:vAlign w:val="bottom"/>
            <w:tcBorders>
              <w:right w:val="single" w:sz="8" w:color="2360A6"/>
            </w:tcBorders>
            <w:shd w:val="clear" w:color="auto" w:fill="DCDDDE"/>
          </w:tcPr>
          <w:p>
            <w:pPr>
              <w:jc w:val="right"/>
              <w:ind w:right="76"/>
              <w:spacing w:after="0" w:line="135" w:lineRule="exact"/>
              <w:rPr>
                <w:sz w:val="20"/>
                <w:szCs w:val="20"/>
                <w:color w:val="auto"/>
              </w:rPr>
            </w:pPr>
            <w:r>
              <w:rPr>
                <w:rFonts w:ascii="Arial" w:cs="Arial" w:eastAsia="Arial" w:hAnsi="Arial"/>
                <w:sz w:val="13"/>
                <w:szCs w:val="13"/>
                <w:b w:val="1"/>
                <w:bCs w:val="1"/>
                <w:color w:val="2360A6"/>
              </w:rPr>
              <w:t>off in the Financial</w:t>
            </w:r>
          </w:p>
        </w:tc>
        <w:tc>
          <w:tcPr>
            <w:tcW w:w="1160" w:type="dxa"/>
            <w:vAlign w:val="bottom"/>
            <w:tcBorders>
              <w:right w:val="single" w:sz="8" w:color="2360A6"/>
            </w:tcBorders>
            <w:shd w:val="clear" w:color="auto" w:fill="DCDDDE"/>
          </w:tcPr>
          <w:p>
            <w:pPr>
              <w:jc w:val="right"/>
              <w:spacing w:after="0" w:line="135" w:lineRule="exact"/>
              <w:rPr>
                <w:sz w:val="20"/>
                <w:szCs w:val="20"/>
                <w:color w:val="auto"/>
              </w:rPr>
            </w:pPr>
            <w:r>
              <w:rPr>
                <w:rFonts w:ascii="Arial" w:cs="Arial" w:eastAsia="Arial" w:hAnsi="Arial"/>
                <w:sz w:val="13"/>
                <w:szCs w:val="13"/>
                <w:b w:val="1"/>
                <w:bCs w:val="1"/>
                <w:color w:val="2360A6"/>
              </w:rPr>
              <w:t>Net Amounts</w:t>
            </w:r>
          </w:p>
        </w:tc>
        <w:tc>
          <w:tcPr>
            <w:tcW w:w="1180" w:type="dxa"/>
            <w:vAlign w:val="bottom"/>
            <w:tcBorders>
              <w:right w:val="single" w:sz="8" w:color="DCDDDE"/>
            </w:tcBorders>
            <w:shd w:val="clear" w:color="auto" w:fill="DCDDDE"/>
          </w:tcPr>
          <w:p>
            <w:pPr>
              <w:spacing w:after="0"/>
              <w:rPr>
                <w:sz w:val="11"/>
                <w:szCs w:val="11"/>
                <w:color w:val="auto"/>
              </w:rPr>
            </w:pPr>
          </w:p>
        </w:tc>
        <w:tc>
          <w:tcPr>
            <w:tcW w:w="1280" w:type="dxa"/>
            <w:vAlign w:val="bottom"/>
            <w:tcBorders>
              <w:right w:val="single" w:sz="8" w:color="2360A6"/>
            </w:tcBorders>
            <w:shd w:val="clear" w:color="auto" w:fill="DCDDDE"/>
          </w:tcPr>
          <w:p>
            <w:pPr>
              <w:spacing w:after="0"/>
              <w:rPr>
                <w:sz w:val="11"/>
                <w:szCs w:val="11"/>
                <w:color w:val="auto"/>
              </w:rPr>
            </w:pPr>
          </w:p>
        </w:tc>
        <w:tc>
          <w:tcPr>
            <w:tcW w:w="1160" w:type="dxa"/>
            <w:vAlign w:val="bottom"/>
            <w:tcBorders>
              <w:right w:val="single" w:sz="8" w:color="2360A6"/>
            </w:tcBorders>
            <w:shd w:val="clear" w:color="auto" w:fill="DCDDD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shd w:val="clear" w:color="auto" w:fill="DCDDDE"/>
          </w:tcPr>
          <w:p>
            <w:pPr>
              <w:ind w:left="20"/>
              <w:spacing w:after="0" w:line="135" w:lineRule="exact"/>
              <w:rPr>
                <w:sz w:val="20"/>
                <w:szCs w:val="20"/>
                <w:color w:val="auto"/>
              </w:rPr>
            </w:pPr>
            <w:r>
              <w:rPr>
                <w:rFonts w:ascii="Arial" w:cs="Arial" w:eastAsia="Arial" w:hAnsi="Arial"/>
                <w:sz w:val="13"/>
                <w:szCs w:val="13"/>
                <w:b w:val="1"/>
                <w:bCs w:val="1"/>
                <w:color w:val="2360A6"/>
              </w:rPr>
              <w:t>Gross Amount</w:t>
            </w:r>
          </w:p>
        </w:tc>
        <w:tc>
          <w:tcPr>
            <w:tcW w:w="1500" w:type="dxa"/>
            <w:vAlign w:val="bottom"/>
            <w:tcBorders>
              <w:right w:val="single" w:sz="8" w:color="2360A6"/>
            </w:tcBorders>
            <w:shd w:val="clear" w:color="auto" w:fill="DCDDDE"/>
          </w:tcPr>
          <w:p>
            <w:pPr>
              <w:jc w:val="right"/>
              <w:ind w:right="76"/>
              <w:spacing w:after="0" w:line="135" w:lineRule="exact"/>
              <w:rPr>
                <w:sz w:val="20"/>
                <w:szCs w:val="20"/>
                <w:color w:val="auto"/>
              </w:rPr>
            </w:pPr>
            <w:r>
              <w:rPr>
                <w:rFonts w:ascii="Arial" w:cs="Arial" w:eastAsia="Arial" w:hAnsi="Arial"/>
                <w:sz w:val="13"/>
                <w:szCs w:val="13"/>
                <w:b w:val="1"/>
                <w:bCs w:val="1"/>
                <w:color w:val="2360A6"/>
              </w:rPr>
              <w:t>Statements</w:t>
            </w:r>
          </w:p>
        </w:tc>
        <w:tc>
          <w:tcPr>
            <w:tcW w:w="1160" w:type="dxa"/>
            <w:vAlign w:val="bottom"/>
            <w:tcBorders>
              <w:right w:val="single" w:sz="8" w:color="2360A6"/>
            </w:tcBorders>
            <w:shd w:val="clear" w:color="auto" w:fill="DCDDDE"/>
          </w:tcPr>
          <w:p>
            <w:pPr>
              <w:jc w:val="right"/>
              <w:spacing w:after="0" w:line="135" w:lineRule="exact"/>
              <w:rPr>
                <w:sz w:val="20"/>
                <w:szCs w:val="20"/>
                <w:color w:val="auto"/>
              </w:rPr>
            </w:pPr>
            <w:r>
              <w:rPr>
                <w:rFonts w:ascii="Arial" w:cs="Arial" w:eastAsia="Arial" w:hAnsi="Arial"/>
                <w:sz w:val="13"/>
                <w:szCs w:val="13"/>
                <w:b w:val="1"/>
                <w:bCs w:val="1"/>
                <w:color w:val="2360A6"/>
              </w:rPr>
              <w:t>Recorded in the</w:t>
            </w:r>
          </w:p>
        </w:tc>
        <w:tc>
          <w:tcPr>
            <w:tcW w:w="2460" w:type="dxa"/>
            <w:vAlign w:val="bottom"/>
            <w:tcBorders>
              <w:right w:val="single" w:sz="8" w:color="2360A6"/>
            </w:tcBorders>
            <w:gridSpan w:val="2"/>
            <w:shd w:val="clear" w:color="auto" w:fill="DCDDDE"/>
          </w:tcPr>
          <w:p>
            <w:pPr>
              <w:ind w:left="40"/>
              <w:spacing w:after="0" w:line="135" w:lineRule="exact"/>
              <w:rPr>
                <w:sz w:val="20"/>
                <w:szCs w:val="20"/>
                <w:color w:val="auto"/>
              </w:rPr>
            </w:pPr>
            <w:r>
              <w:rPr>
                <w:rFonts w:ascii="Arial" w:cs="Arial" w:eastAsia="Arial" w:hAnsi="Arial"/>
                <w:sz w:val="13"/>
                <w:szCs w:val="13"/>
                <w:b w:val="1"/>
                <w:bCs w:val="1"/>
                <w:color w:val="2360A6"/>
              </w:rPr>
              <w:t>Related Amounts not Set off in the</w:t>
            </w:r>
          </w:p>
        </w:tc>
        <w:tc>
          <w:tcPr>
            <w:tcW w:w="1160" w:type="dxa"/>
            <w:vAlign w:val="bottom"/>
            <w:tcBorders>
              <w:right w:val="single" w:sz="8" w:color="2360A6"/>
            </w:tcBorders>
            <w:shd w:val="clear" w:color="auto" w:fill="DCDDD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shd w:val="clear" w:color="auto" w:fill="DCDDDE"/>
          </w:tcPr>
          <w:p>
            <w:pPr>
              <w:ind w:left="20"/>
              <w:spacing w:after="0" w:line="135" w:lineRule="exact"/>
              <w:rPr>
                <w:sz w:val="20"/>
                <w:szCs w:val="20"/>
                <w:color w:val="auto"/>
              </w:rPr>
            </w:pPr>
            <w:r>
              <w:rPr>
                <w:rFonts w:ascii="Arial" w:cs="Arial" w:eastAsia="Arial" w:hAnsi="Arial"/>
                <w:sz w:val="13"/>
                <w:szCs w:val="13"/>
                <w:b w:val="1"/>
                <w:bCs w:val="1"/>
                <w:color w:val="2360A6"/>
              </w:rPr>
              <w:t>(before</w:t>
            </w:r>
          </w:p>
        </w:tc>
        <w:tc>
          <w:tcPr>
            <w:tcW w:w="1500" w:type="dxa"/>
            <w:vAlign w:val="bottom"/>
            <w:tcBorders>
              <w:right w:val="single" w:sz="8" w:color="2360A6"/>
            </w:tcBorders>
            <w:shd w:val="clear" w:color="auto" w:fill="DCDDDE"/>
          </w:tcPr>
          <w:p>
            <w:pPr>
              <w:jc w:val="right"/>
              <w:ind w:right="76"/>
              <w:spacing w:after="0" w:line="135" w:lineRule="exact"/>
              <w:rPr>
                <w:sz w:val="20"/>
                <w:szCs w:val="20"/>
                <w:color w:val="auto"/>
              </w:rPr>
            </w:pPr>
            <w:r>
              <w:rPr>
                <w:rFonts w:ascii="Arial" w:cs="Arial" w:eastAsia="Arial" w:hAnsi="Arial"/>
                <w:sz w:val="13"/>
                <w:szCs w:val="13"/>
                <w:b w:val="1"/>
                <w:bCs w:val="1"/>
                <w:color w:val="2360A6"/>
              </w:rPr>
              <w:t>(according to</w:t>
            </w:r>
          </w:p>
        </w:tc>
        <w:tc>
          <w:tcPr>
            <w:tcW w:w="1160" w:type="dxa"/>
            <w:vAlign w:val="bottom"/>
            <w:tcBorders>
              <w:right w:val="single" w:sz="8" w:color="2360A6"/>
            </w:tcBorders>
            <w:shd w:val="clear" w:color="auto" w:fill="DCDDDE"/>
          </w:tcPr>
          <w:p>
            <w:pPr>
              <w:jc w:val="right"/>
              <w:spacing w:after="0" w:line="135" w:lineRule="exact"/>
              <w:rPr>
                <w:sz w:val="20"/>
                <w:szCs w:val="20"/>
                <w:color w:val="auto"/>
              </w:rPr>
            </w:pPr>
            <w:r>
              <w:rPr>
                <w:rFonts w:ascii="Arial" w:cs="Arial" w:eastAsia="Arial" w:hAnsi="Arial"/>
                <w:sz w:val="13"/>
                <w:szCs w:val="13"/>
                <w:b w:val="1"/>
                <w:bCs w:val="1"/>
                <w:color w:val="2360A6"/>
              </w:rPr>
              <w:t>Financial</w:t>
            </w:r>
          </w:p>
        </w:tc>
        <w:tc>
          <w:tcPr>
            <w:tcW w:w="2460" w:type="dxa"/>
            <w:vAlign w:val="bottom"/>
            <w:tcBorders>
              <w:right w:val="single" w:sz="8" w:color="2360A6"/>
            </w:tcBorders>
            <w:gridSpan w:val="2"/>
            <w:shd w:val="clear" w:color="auto" w:fill="DCDDDE"/>
          </w:tcPr>
          <w:p>
            <w:pPr>
              <w:ind w:left="40"/>
              <w:spacing w:after="0" w:line="135" w:lineRule="exact"/>
              <w:rPr>
                <w:sz w:val="20"/>
                <w:szCs w:val="20"/>
                <w:color w:val="auto"/>
              </w:rPr>
            </w:pPr>
            <w:r>
              <w:rPr>
                <w:rFonts w:ascii="Arial" w:cs="Arial" w:eastAsia="Arial" w:hAnsi="Arial"/>
                <w:sz w:val="13"/>
                <w:szCs w:val="13"/>
                <w:b w:val="1"/>
                <w:bCs w:val="1"/>
                <w:color w:val="2360A6"/>
              </w:rPr>
              <w:t>Statement of Financial Position (not</w:t>
            </w:r>
          </w:p>
        </w:tc>
        <w:tc>
          <w:tcPr>
            <w:tcW w:w="1160" w:type="dxa"/>
            <w:vAlign w:val="bottom"/>
            <w:tcBorders>
              <w:right w:val="single" w:sz="8" w:color="2360A6"/>
            </w:tcBorders>
            <w:shd w:val="clear" w:color="auto" w:fill="DCDDDE"/>
          </w:tcPr>
          <w:p>
            <w:pPr>
              <w:jc w:val="right"/>
              <w:ind w:right="55"/>
              <w:spacing w:after="0" w:line="135" w:lineRule="exact"/>
              <w:rPr>
                <w:sz w:val="20"/>
                <w:szCs w:val="20"/>
                <w:color w:val="auto"/>
              </w:rPr>
            </w:pPr>
            <w:r>
              <w:rPr>
                <w:rFonts w:ascii="Arial" w:cs="Arial" w:eastAsia="Arial" w:hAnsi="Arial"/>
                <w:sz w:val="13"/>
                <w:szCs w:val="13"/>
                <w:b w:val="1"/>
                <w:bCs w:val="1"/>
                <w:color w:val="2360A6"/>
              </w:rPr>
              <w:t>Net</w:t>
            </w:r>
          </w:p>
        </w:tc>
        <w:tc>
          <w:tcPr>
            <w:tcW w:w="0" w:type="dxa"/>
            <w:vAlign w:val="bottom"/>
          </w:tcPr>
          <w:p>
            <w:pPr>
              <w:spacing w:after="0"/>
              <w:rPr>
                <w:sz w:val="1"/>
                <w:szCs w:val="1"/>
                <w:color w:val="auto"/>
              </w:rPr>
            </w:pPr>
          </w:p>
        </w:tc>
      </w:tr>
      <w:tr>
        <w:trPr>
          <w:trHeight w:val="178"/>
        </w:trPr>
        <w:tc>
          <w:tcPr>
            <w:tcW w:w="3440" w:type="dxa"/>
            <w:vAlign w:val="bottom"/>
            <w:tcBorders>
              <w:left w:val="single" w:sz="8" w:color="2360A6"/>
              <w:right w:val="single" w:sz="8" w:color="2360A6"/>
            </w:tcBorders>
          </w:tcPr>
          <w:p>
            <w:pPr>
              <w:spacing w:after="0"/>
              <w:rPr>
                <w:sz w:val="15"/>
                <w:szCs w:val="15"/>
                <w:color w:val="auto"/>
              </w:rPr>
            </w:pPr>
          </w:p>
        </w:tc>
        <w:tc>
          <w:tcPr>
            <w:tcW w:w="980" w:type="dxa"/>
            <w:vAlign w:val="bottom"/>
            <w:tcBorders>
              <w:bottom w:val="single" w:sz="8" w:color="2360A6"/>
              <w:right w:val="single" w:sz="8" w:color="2360A6"/>
            </w:tcBorders>
            <w:shd w:val="clear" w:color="auto" w:fill="DCDDDE"/>
          </w:tcPr>
          <w:p>
            <w:pPr>
              <w:ind w:left="20"/>
              <w:spacing w:after="0"/>
              <w:rPr>
                <w:sz w:val="20"/>
                <w:szCs w:val="20"/>
                <w:color w:val="auto"/>
              </w:rPr>
            </w:pPr>
            <w:r>
              <w:rPr>
                <w:rFonts w:ascii="Arial" w:cs="Arial" w:eastAsia="Arial" w:hAnsi="Arial"/>
                <w:sz w:val="13"/>
                <w:szCs w:val="13"/>
                <w:b w:val="1"/>
                <w:bCs w:val="1"/>
                <w:color w:val="2360A6"/>
              </w:rPr>
              <w:t>Offsetting)</w:t>
            </w:r>
          </w:p>
        </w:tc>
        <w:tc>
          <w:tcPr>
            <w:tcW w:w="1500" w:type="dxa"/>
            <w:vAlign w:val="bottom"/>
            <w:tcBorders>
              <w:bottom w:val="single" w:sz="8" w:color="2360A6"/>
              <w:right w:val="single" w:sz="8" w:color="2360A6"/>
            </w:tcBorders>
            <w:shd w:val="clear" w:color="auto" w:fill="DCDDDE"/>
          </w:tcPr>
          <w:p>
            <w:pPr>
              <w:jc w:val="right"/>
              <w:ind w:right="76"/>
              <w:spacing w:after="0"/>
              <w:rPr>
                <w:sz w:val="20"/>
                <w:szCs w:val="20"/>
                <w:color w:val="auto"/>
              </w:rPr>
            </w:pPr>
            <w:r>
              <w:rPr>
                <w:rFonts w:ascii="Arial" w:cs="Arial" w:eastAsia="Arial" w:hAnsi="Arial"/>
                <w:sz w:val="13"/>
                <w:szCs w:val="13"/>
                <w:b w:val="1"/>
                <w:bCs w:val="1"/>
                <w:color w:val="2360A6"/>
              </w:rPr>
              <w:t>IAS 32)</w:t>
            </w:r>
          </w:p>
        </w:tc>
        <w:tc>
          <w:tcPr>
            <w:tcW w:w="1160" w:type="dxa"/>
            <w:vAlign w:val="bottom"/>
            <w:tcBorders>
              <w:bottom w:val="single" w:sz="8" w:color="2360A6"/>
              <w:right w:val="single" w:sz="8" w:color="2360A6"/>
            </w:tcBorders>
            <w:shd w:val="clear" w:color="auto" w:fill="DCDDDE"/>
          </w:tcPr>
          <w:p>
            <w:pPr>
              <w:jc w:val="right"/>
              <w:spacing w:after="0"/>
              <w:rPr>
                <w:sz w:val="20"/>
                <w:szCs w:val="20"/>
                <w:color w:val="auto"/>
              </w:rPr>
            </w:pPr>
            <w:r>
              <w:rPr>
                <w:rFonts w:ascii="Arial" w:cs="Arial" w:eastAsia="Arial" w:hAnsi="Arial"/>
                <w:sz w:val="13"/>
                <w:szCs w:val="13"/>
                <w:b w:val="1"/>
                <w:bCs w:val="1"/>
                <w:color w:val="2360A6"/>
              </w:rPr>
              <w:t>Statements (a- b)</w:t>
            </w:r>
          </w:p>
        </w:tc>
        <w:tc>
          <w:tcPr>
            <w:tcW w:w="2460" w:type="dxa"/>
            <w:vAlign w:val="bottom"/>
            <w:tcBorders>
              <w:bottom w:val="single" w:sz="8" w:color="2360A6"/>
              <w:right w:val="single" w:sz="8" w:color="2360A6"/>
            </w:tcBorders>
            <w:gridSpan w:val="2"/>
            <w:shd w:val="clear" w:color="auto" w:fill="DCDDDE"/>
          </w:tcPr>
          <w:p>
            <w:pPr>
              <w:ind w:left="40"/>
              <w:spacing w:after="0"/>
              <w:rPr>
                <w:sz w:val="20"/>
                <w:szCs w:val="20"/>
                <w:color w:val="auto"/>
              </w:rPr>
            </w:pPr>
            <w:r>
              <w:rPr>
                <w:rFonts w:ascii="Arial" w:cs="Arial" w:eastAsia="Arial" w:hAnsi="Arial"/>
                <w:sz w:val="13"/>
                <w:szCs w:val="13"/>
                <w:b w:val="1"/>
                <w:bCs w:val="1"/>
                <w:color w:val="2360A6"/>
              </w:rPr>
              <w:t>Meeting Offsetting Criteria IAS 32)</w:t>
            </w:r>
          </w:p>
        </w:tc>
        <w:tc>
          <w:tcPr>
            <w:tcW w:w="1160" w:type="dxa"/>
            <w:vAlign w:val="bottom"/>
            <w:tcBorders>
              <w:bottom w:val="single" w:sz="8" w:color="2360A6"/>
              <w:right w:val="single" w:sz="8" w:color="2360A6"/>
            </w:tcBorders>
            <w:shd w:val="clear" w:color="auto" w:fill="DCDDDE"/>
          </w:tcPr>
          <w:p>
            <w:pPr>
              <w:jc w:val="right"/>
              <w:ind w:right="55"/>
              <w:spacing w:after="0"/>
              <w:rPr>
                <w:sz w:val="20"/>
                <w:szCs w:val="20"/>
                <w:color w:val="auto"/>
              </w:rPr>
            </w:pPr>
            <w:r>
              <w:rPr>
                <w:rFonts w:ascii="Arial" w:cs="Arial" w:eastAsia="Arial" w:hAnsi="Arial"/>
                <w:sz w:val="13"/>
                <w:szCs w:val="13"/>
                <w:b w:val="1"/>
                <w:bCs w:val="1"/>
                <w:color w:val="2360A6"/>
              </w:rPr>
              <w:t>Amount (c- d)</w:t>
            </w:r>
          </w:p>
        </w:tc>
        <w:tc>
          <w:tcPr>
            <w:tcW w:w="0" w:type="dxa"/>
            <w:vAlign w:val="bottom"/>
          </w:tcPr>
          <w:p>
            <w:pPr>
              <w:spacing w:after="0"/>
              <w:rPr>
                <w:sz w:val="1"/>
                <w:szCs w:val="1"/>
                <w:color w:val="auto"/>
              </w:rPr>
            </w:pPr>
          </w:p>
        </w:tc>
      </w:tr>
      <w:tr>
        <w:trPr>
          <w:trHeight w:val="208"/>
        </w:trPr>
        <w:tc>
          <w:tcPr>
            <w:tcW w:w="3440" w:type="dxa"/>
            <w:vAlign w:val="bottom"/>
            <w:tcBorders>
              <w:left w:val="single" w:sz="8" w:color="2360A6"/>
              <w:right w:val="single" w:sz="8" w:color="2360A6"/>
            </w:tcBorders>
          </w:tcPr>
          <w:p>
            <w:pPr>
              <w:spacing w:after="0"/>
              <w:rPr>
                <w:sz w:val="18"/>
                <w:szCs w:val="18"/>
                <w:color w:val="auto"/>
              </w:rPr>
            </w:pPr>
          </w:p>
        </w:tc>
        <w:tc>
          <w:tcPr>
            <w:tcW w:w="980" w:type="dxa"/>
            <w:vAlign w:val="bottom"/>
            <w:tcBorders>
              <w:right w:val="single" w:sz="8" w:color="2360A6"/>
            </w:tcBorders>
            <w:shd w:val="clear" w:color="auto" w:fill="DCDDDE"/>
          </w:tcPr>
          <w:p>
            <w:pPr>
              <w:spacing w:after="0"/>
              <w:rPr>
                <w:sz w:val="18"/>
                <w:szCs w:val="18"/>
                <w:color w:val="auto"/>
              </w:rPr>
            </w:pPr>
          </w:p>
        </w:tc>
        <w:tc>
          <w:tcPr>
            <w:tcW w:w="1500" w:type="dxa"/>
            <w:vAlign w:val="bottom"/>
            <w:tcBorders>
              <w:right w:val="single" w:sz="8" w:color="2360A6"/>
            </w:tcBorders>
            <w:shd w:val="clear" w:color="auto" w:fill="DCDDDE"/>
          </w:tcPr>
          <w:p>
            <w:pPr>
              <w:spacing w:after="0"/>
              <w:rPr>
                <w:sz w:val="18"/>
                <w:szCs w:val="18"/>
                <w:color w:val="auto"/>
              </w:rPr>
            </w:pPr>
          </w:p>
        </w:tc>
        <w:tc>
          <w:tcPr>
            <w:tcW w:w="1160" w:type="dxa"/>
            <w:vAlign w:val="bottom"/>
            <w:tcBorders>
              <w:right w:val="single" w:sz="8" w:color="2360A6"/>
            </w:tcBorders>
            <w:shd w:val="clear" w:color="auto" w:fill="DCDDDE"/>
          </w:tcPr>
          <w:p>
            <w:pPr>
              <w:spacing w:after="0"/>
              <w:rPr>
                <w:sz w:val="18"/>
                <w:szCs w:val="18"/>
                <w:color w:val="auto"/>
              </w:rPr>
            </w:pPr>
          </w:p>
        </w:tc>
        <w:tc>
          <w:tcPr>
            <w:tcW w:w="1180" w:type="dxa"/>
            <w:vAlign w:val="bottom"/>
            <w:tcBorders>
              <w:right w:val="single" w:sz="8" w:color="2360A6"/>
            </w:tcBorders>
            <w:shd w:val="clear" w:color="auto" w:fill="DCDDDE"/>
          </w:tcPr>
          <w:p>
            <w:pPr>
              <w:spacing w:after="0"/>
              <w:rPr>
                <w:sz w:val="18"/>
                <w:szCs w:val="18"/>
                <w:color w:val="auto"/>
              </w:rPr>
            </w:pPr>
          </w:p>
        </w:tc>
        <w:tc>
          <w:tcPr>
            <w:tcW w:w="1280" w:type="dxa"/>
            <w:vAlign w:val="bottom"/>
            <w:tcBorders>
              <w:right w:val="single" w:sz="8" w:color="2360A6"/>
            </w:tcBorders>
            <w:shd w:val="clear" w:color="auto" w:fill="DCDDDE"/>
          </w:tcPr>
          <w:p>
            <w:pPr>
              <w:jc w:val="right"/>
              <w:ind w:right="55"/>
              <w:spacing w:after="0"/>
              <w:rPr>
                <w:sz w:val="20"/>
                <w:szCs w:val="20"/>
                <w:color w:val="auto"/>
              </w:rPr>
            </w:pPr>
            <w:r>
              <w:rPr>
                <w:rFonts w:ascii="Arial" w:cs="Arial" w:eastAsia="Arial" w:hAnsi="Arial"/>
                <w:sz w:val="13"/>
                <w:szCs w:val="13"/>
                <w:b w:val="1"/>
                <w:bCs w:val="1"/>
                <w:color w:val="2360A6"/>
              </w:rPr>
              <w:t>Fair Value of</w:t>
            </w:r>
          </w:p>
        </w:tc>
        <w:tc>
          <w:tcPr>
            <w:tcW w:w="1160" w:type="dxa"/>
            <w:vAlign w:val="bottom"/>
            <w:tcBorders>
              <w:right w:val="single" w:sz="8" w:color="2360A6"/>
            </w:tcBorders>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shd w:val="clear" w:color="auto" w:fill="DCDDDE"/>
          </w:tcPr>
          <w:p>
            <w:pPr>
              <w:spacing w:after="0"/>
              <w:rPr>
                <w:sz w:val="11"/>
                <w:szCs w:val="11"/>
                <w:color w:val="auto"/>
              </w:rPr>
            </w:pPr>
          </w:p>
        </w:tc>
        <w:tc>
          <w:tcPr>
            <w:tcW w:w="1500" w:type="dxa"/>
            <w:vAlign w:val="bottom"/>
            <w:tcBorders>
              <w:right w:val="single" w:sz="8" w:color="2360A6"/>
            </w:tcBorders>
            <w:shd w:val="clear" w:color="auto" w:fill="DCDDDE"/>
          </w:tcPr>
          <w:p>
            <w:pPr>
              <w:spacing w:after="0"/>
              <w:rPr>
                <w:sz w:val="11"/>
                <w:szCs w:val="11"/>
                <w:color w:val="auto"/>
              </w:rPr>
            </w:pPr>
          </w:p>
        </w:tc>
        <w:tc>
          <w:tcPr>
            <w:tcW w:w="1160" w:type="dxa"/>
            <w:vAlign w:val="bottom"/>
            <w:tcBorders>
              <w:right w:val="single" w:sz="8" w:color="2360A6"/>
            </w:tcBorders>
            <w:shd w:val="clear" w:color="auto" w:fill="DCDDDE"/>
          </w:tcPr>
          <w:p>
            <w:pPr>
              <w:spacing w:after="0"/>
              <w:rPr>
                <w:sz w:val="11"/>
                <w:szCs w:val="11"/>
                <w:color w:val="auto"/>
              </w:rPr>
            </w:pPr>
          </w:p>
        </w:tc>
        <w:tc>
          <w:tcPr>
            <w:tcW w:w="1180" w:type="dxa"/>
            <w:vAlign w:val="bottom"/>
            <w:tcBorders>
              <w:right w:val="single" w:sz="8" w:color="2360A6"/>
            </w:tcBorders>
            <w:shd w:val="clear" w:color="auto" w:fill="DCDDDE"/>
          </w:tcPr>
          <w:p>
            <w:pPr>
              <w:jc w:val="center"/>
              <w:spacing w:after="0" w:line="135" w:lineRule="exact"/>
              <w:rPr>
                <w:sz w:val="20"/>
                <w:szCs w:val="20"/>
                <w:color w:val="auto"/>
              </w:rPr>
            </w:pPr>
            <w:r>
              <w:rPr>
                <w:rFonts w:ascii="Arial" w:cs="Arial" w:eastAsia="Arial" w:hAnsi="Arial"/>
                <w:sz w:val="13"/>
                <w:szCs w:val="13"/>
                <w:b w:val="1"/>
                <w:bCs w:val="1"/>
                <w:color w:val="2360A6"/>
                <w:w w:val="99"/>
              </w:rPr>
              <w:t>Financial</w:t>
            </w:r>
          </w:p>
        </w:tc>
        <w:tc>
          <w:tcPr>
            <w:tcW w:w="1280" w:type="dxa"/>
            <w:vAlign w:val="bottom"/>
            <w:tcBorders>
              <w:right w:val="single" w:sz="8" w:color="2360A6"/>
            </w:tcBorders>
            <w:shd w:val="clear" w:color="auto" w:fill="DCDDDE"/>
          </w:tcPr>
          <w:p>
            <w:pPr>
              <w:jc w:val="right"/>
              <w:ind w:right="55"/>
              <w:spacing w:after="0" w:line="135" w:lineRule="exact"/>
              <w:rPr>
                <w:sz w:val="20"/>
                <w:szCs w:val="20"/>
                <w:color w:val="auto"/>
              </w:rPr>
            </w:pPr>
            <w:r>
              <w:rPr>
                <w:rFonts w:ascii="Arial" w:cs="Arial" w:eastAsia="Arial" w:hAnsi="Arial"/>
                <w:sz w:val="13"/>
                <w:szCs w:val="13"/>
                <w:b w:val="1"/>
                <w:bCs w:val="1"/>
                <w:color w:val="2360A6"/>
              </w:rPr>
              <w:t>Financial</w:t>
            </w:r>
          </w:p>
        </w:tc>
        <w:tc>
          <w:tcPr>
            <w:tcW w:w="1160" w:type="dxa"/>
            <w:vAlign w:val="bottom"/>
            <w:tcBorders>
              <w:right w:val="single" w:sz="8" w:color="2360A6"/>
            </w:tcBorders>
            <w:shd w:val="clear" w:color="auto" w:fill="DCDDD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440" w:type="dxa"/>
            <w:vAlign w:val="bottom"/>
            <w:tcBorders>
              <w:left w:val="single" w:sz="8" w:color="2360A6"/>
              <w:bottom w:val="single" w:sz="8" w:color="2360A6"/>
              <w:right w:val="single" w:sz="8" w:color="2360A6"/>
            </w:tcBorders>
          </w:tcPr>
          <w:p>
            <w:pPr>
              <w:spacing w:after="0"/>
              <w:rPr>
                <w:sz w:val="15"/>
                <w:szCs w:val="15"/>
                <w:color w:val="auto"/>
              </w:rPr>
            </w:pPr>
          </w:p>
        </w:tc>
        <w:tc>
          <w:tcPr>
            <w:tcW w:w="980" w:type="dxa"/>
            <w:vAlign w:val="bottom"/>
            <w:tcBorders>
              <w:bottom w:val="single" w:sz="8" w:color="2360A6"/>
              <w:right w:val="single" w:sz="8" w:color="2360A6"/>
            </w:tcBorders>
            <w:shd w:val="clear" w:color="auto" w:fill="DCDDDE"/>
          </w:tcPr>
          <w:p>
            <w:pPr>
              <w:spacing w:after="0"/>
              <w:rPr>
                <w:sz w:val="15"/>
                <w:szCs w:val="15"/>
                <w:color w:val="auto"/>
              </w:rPr>
            </w:pPr>
          </w:p>
        </w:tc>
        <w:tc>
          <w:tcPr>
            <w:tcW w:w="1500" w:type="dxa"/>
            <w:vAlign w:val="bottom"/>
            <w:tcBorders>
              <w:bottom w:val="single" w:sz="8" w:color="2360A6"/>
              <w:right w:val="single" w:sz="8" w:color="2360A6"/>
            </w:tcBorders>
            <w:shd w:val="clear" w:color="auto" w:fill="DCDDDE"/>
          </w:tcPr>
          <w:p>
            <w:pPr>
              <w:spacing w:after="0"/>
              <w:rPr>
                <w:sz w:val="15"/>
                <w:szCs w:val="15"/>
                <w:color w:val="auto"/>
              </w:rPr>
            </w:pPr>
          </w:p>
        </w:tc>
        <w:tc>
          <w:tcPr>
            <w:tcW w:w="1160" w:type="dxa"/>
            <w:vAlign w:val="bottom"/>
            <w:tcBorders>
              <w:bottom w:val="single" w:sz="8" w:color="2360A6"/>
              <w:right w:val="single" w:sz="8" w:color="2360A6"/>
            </w:tcBorders>
            <w:shd w:val="clear" w:color="auto" w:fill="DCDDDE"/>
          </w:tcPr>
          <w:p>
            <w:pPr>
              <w:spacing w:after="0"/>
              <w:rPr>
                <w:sz w:val="15"/>
                <w:szCs w:val="15"/>
                <w:color w:val="auto"/>
              </w:rPr>
            </w:pPr>
          </w:p>
        </w:tc>
        <w:tc>
          <w:tcPr>
            <w:tcW w:w="1180" w:type="dxa"/>
            <w:vAlign w:val="bottom"/>
            <w:tcBorders>
              <w:bottom w:val="single" w:sz="8" w:color="2360A6"/>
              <w:right w:val="single" w:sz="8" w:color="2360A6"/>
            </w:tcBorders>
            <w:shd w:val="clear" w:color="auto" w:fill="DCDDDE"/>
          </w:tcPr>
          <w:p>
            <w:pPr>
              <w:jc w:val="center"/>
              <w:spacing w:after="0"/>
              <w:rPr>
                <w:sz w:val="20"/>
                <w:szCs w:val="20"/>
                <w:color w:val="auto"/>
              </w:rPr>
            </w:pPr>
            <w:r>
              <w:rPr>
                <w:rFonts w:ascii="Arial" w:cs="Arial" w:eastAsia="Arial" w:hAnsi="Arial"/>
                <w:sz w:val="13"/>
                <w:szCs w:val="13"/>
                <w:b w:val="1"/>
                <w:bCs w:val="1"/>
                <w:color w:val="2360A6"/>
                <w:w w:val="96"/>
              </w:rPr>
              <w:t>Instruments</w:t>
            </w:r>
          </w:p>
        </w:tc>
        <w:tc>
          <w:tcPr>
            <w:tcW w:w="1280" w:type="dxa"/>
            <w:vAlign w:val="bottom"/>
            <w:tcBorders>
              <w:bottom w:val="single" w:sz="8" w:color="2360A6"/>
              <w:right w:val="single" w:sz="8" w:color="2360A6"/>
            </w:tcBorders>
            <w:shd w:val="clear" w:color="auto" w:fill="DCDDDE"/>
          </w:tcPr>
          <w:p>
            <w:pPr>
              <w:jc w:val="right"/>
              <w:ind w:right="55"/>
              <w:spacing w:after="0"/>
              <w:rPr>
                <w:sz w:val="20"/>
                <w:szCs w:val="20"/>
                <w:color w:val="auto"/>
              </w:rPr>
            </w:pPr>
            <w:r>
              <w:rPr>
                <w:rFonts w:ascii="Arial" w:cs="Arial" w:eastAsia="Arial" w:hAnsi="Arial"/>
                <w:sz w:val="13"/>
                <w:szCs w:val="13"/>
                <w:b w:val="1"/>
                <w:bCs w:val="1"/>
                <w:color w:val="2360A6"/>
              </w:rPr>
              <w:t>Collaterals</w:t>
            </w:r>
          </w:p>
        </w:tc>
        <w:tc>
          <w:tcPr>
            <w:tcW w:w="1160" w:type="dxa"/>
            <w:vAlign w:val="bottom"/>
            <w:tcBorders>
              <w:bottom w:val="single" w:sz="8" w:color="2360A6"/>
              <w:right w:val="single" w:sz="8" w:color="2360A6"/>
            </w:tcBorders>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tcBorders>
              <w:left w:val="single" w:sz="8" w:color="2360A6"/>
              <w:bottom w:val="single" w:sz="8" w:color="2360A6"/>
              <w:right w:val="single" w:sz="8" w:color="2360A6"/>
            </w:tcBorders>
            <w:shd w:val="clear" w:color="auto" w:fill="CCD1E7"/>
          </w:tcPr>
          <w:p>
            <w:pPr>
              <w:ind w:left="40"/>
              <w:spacing w:after="0"/>
              <w:rPr>
                <w:sz w:val="20"/>
                <w:szCs w:val="20"/>
                <w:color w:val="auto"/>
              </w:rPr>
            </w:pPr>
            <w:r>
              <w:rPr>
                <w:rFonts w:ascii="Arial" w:cs="Arial" w:eastAsia="Arial" w:hAnsi="Arial"/>
                <w:sz w:val="14"/>
                <w:szCs w:val="14"/>
                <w:b w:val="1"/>
                <w:bCs w:val="1"/>
                <w:color w:val="2360A6"/>
              </w:rPr>
              <w:t>TOTAL DERIVATIVE FINANCIAL INSTRUMENTS</w:t>
            </w:r>
          </w:p>
        </w:tc>
        <w:tc>
          <w:tcPr>
            <w:tcW w:w="98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389.6</w:t>
            </w:r>
          </w:p>
        </w:tc>
        <w:tc>
          <w:tcPr>
            <w:tcW w:w="1500" w:type="dxa"/>
            <w:vAlign w:val="bottom"/>
            <w:tcBorders>
              <w:bottom w:val="single" w:sz="8" w:color="2360A6"/>
              <w:right w:val="single" w:sz="8" w:color="2360A6"/>
            </w:tcBorders>
            <w:shd w:val="clear" w:color="auto" w:fill="CCD1E7"/>
          </w:tcPr>
          <w:p>
            <w:pPr>
              <w:jc w:val="right"/>
              <w:ind w:right="76"/>
              <w:spacing w:after="0"/>
              <w:rPr>
                <w:sz w:val="20"/>
                <w:szCs w:val="20"/>
                <w:color w:val="auto"/>
              </w:rPr>
            </w:pPr>
            <w:r>
              <w:rPr>
                <w:rFonts w:ascii="Arial" w:cs="Arial" w:eastAsia="Arial" w:hAnsi="Arial"/>
                <w:sz w:val="14"/>
                <w:szCs w:val="14"/>
                <w:b w:val="1"/>
                <w:bCs w:val="1"/>
                <w:color w:val="2360A6"/>
              </w:rPr>
              <w:t>—</w:t>
            </w:r>
          </w:p>
        </w:tc>
        <w:tc>
          <w:tcPr>
            <w:tcW w:w="116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389.6</w:t>
            </w:r>
          </w:p>
        </w:tc>
        <w:tc>
          <w:tcPr>
            <w:tcW w:w="118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225.8</w:t>
            </w:r>
          </w:p>
        </w:tc>
        <w:tc>
          <w:tcPr>
            <w:tcW w:w="1280" w:type="dxa"/>
            <w:vAlign w:val="bottom"/>
            <w:tcBorders>
              <w:bottom w:val="single" w:sz="8" w:color="2360A6"/>
              <w:right w:val="single" w:sz="8" w:color="2360A6"/>
            </w:tcBorders>
            <w:shd w:val="clear" w:color="auto" w:fill="CCD1E7"/>
          </w:tcPr>
          <w:p>
            <w:pPr>
              <w:jc w:val="right"/>
              <w:ind w:right="55"/>
              <w:spacing w:after="0"/>
              <w:rPr>
                <w:sz w:val="20"/>
                <w:szCs w:val="20"/>
                <w:color w:val="auto"/>
              </w:rPr>
            </w:pPr>
            <w:r>
              <w:rPr>
                <w:rFonts w:ascii="Arial" w:cs="Arial" w:eastAsia="Arial" w:hAnsi="Arial"/>
                <w:sz w:val="14"/>
                <w:szCs w:val="14"/>
                <w:b w:val="1"/>
                <w:bCs w:val="1"/>
                <w:color w:val="2360A6"/>
              </w:rPr>
              <w:t>—</w:t>
            </w:r>
          </w:p>
        </w:tc>
        <w:tc>
          <w:tcPr>
            <w:tcW w:w="1160" w:type="dxa"/>
            <w:vAlign w:val="bottom"/>
            <w:tcBorders>
              <w:bottom w:val="single" w:sz="8" w:color="2360A6"/>
              <w:right w:val="single" w:sz="8" w:color="2360A6"/>
            </w:tcBorders>
            <w:shd w:val="clear" w:color="auto" w:fill="CCD1E7"/>
          </w:tcPr>
          <w:p>
            <w:pPr>
              <w:jc w:val="right"/>
              <w:ind w:right="55"/>
              <w:spacing w:after="0"/>
              <w:rPr>
                <w:sz w:val="20"/>
                <w:szCs w:val="20"/>
                <w:color w:val="auto"/>
              </w:rPr>
            </w:pPr>
            <w:r>
              <w:rPr>
                <w:rFonts w:ascii="Arial" w:cs="Arial" w:eastAsia="Arial" w:hAnsi="Arial"/>
                <w:sz w:val="14"/>
                <w:szCs w:val="14"/>
                <w:b w:val="1"/>
                <w:bCs w:val="1"/>
                <w:color w:val="2360A6"/>
              </w:rPr>
              <w:t>163.8</w:t>
            </w:r>
          </w:p>
        </w:tc>
        <w:tc>
          <w:tcPr>
            <w:tcW w:w="0" w:type="dxa"/>
            <w:vAlign w:val="bottom"/>
          </w:tcPr>
          <w:p>
            <w:pPr>
              <w:spacing w:after="0"/>
              <w:rPr>
                <w:sz w:val="1"/>
                <w:szCs w:val="1"/>
                <w:color w:val="auto"/>
              </w:rPr>
            </w:pPr>
          </w:p>
        </w:tc>
      </w:tr>
      <w:tr>
        <w:trPr>
          <w:trHeight w:val="283"/>
        </w:trPr>
        <w:tc>
          <w:tcPr>
            <w:tcW w:w="3440" w:type="dxa"/>
            <w:vAlign w:val="bottom"/>
            <w:tcBorders>
              <w:bottom w:val="single" w:sz="8" w:color="2360A6"/>
            </w:tcBorders>
          </w:tcPr>
          <w:p>
            <w:pPr>
              <w:spacing w:after="0"/>
              <w:rPr>
                <w:sz w:val="24"/>
                <w:szCs w:val="24"/>
                <w:color w:val="auto"/>
              </w:rPr>
            </w:pPr>
          </w:p>
        </w:tc>
        <w:tc>
          <w:tcPr>
            <w:tcW w:w="980" w:type="dxa"/>
            <w:vAlign w:val="bottom"/>
            <w:tcBorders>
              <w:bottom w:val="single" w:sz="8" w:color="2360A6"/>
            </w:tcBorders>
          </w:tcPr>
          <w:p>
            <w:pPr>
              <w:spacing w:after="0"/>
              <w:rPr>
                <w:sz w:val="24"/>
                <w:szCs w:val="24"/>
                <w:color w:val="auto"/>
              </w:rPr>
            </w:pPr>
          </w:p>
        </w:tc>
        <w:tc>
          <w:tcPr>
            <w:tcW w:w="1500" w:type="dxa"/>
            <w:vAlign w:val="bottom"/>
            <w:tcBorders>
              <w:bottom w:val="single" w:sz="8" w:color="2360A6"/>
            </w:tcBorders>
          </w:tcPr>
          <w:p>
            <w:pPr>
              <w:spacing w:after="0"/>
              <w:rPr>
                <w:sz w:val="24"/>
                <w:szCs w:val="24"/>
                <w:color w:val="auto"/>
              </w:rPr>
            </w:pPr>
          </w:p>
        </w:tc>
        <w:tc>
          <w:tcPr>
            <w:tcW w:w="1160" w:type="dxa"/>
            <w:vAlign w:val="bottom"/>
            <w:tcBorders>
              <w:bottom w:val="single" w:sz="8" w:color="2360A6"/>
            </w:tcBorders>
          </w:tcPr>
          <w:p>
            <w:pPr>
              <w:spacing w:after="0"/>
              <w:rPr>
                <w:sz w:val="24"/>
                <w:szCs w:val="24"/>
                <w:color w:val="auto"/>
              </w:rPr>
            </w:pPr>
          </w:p>
        </w:tc>
        <w:tc>
          <w:tcPr>
            <w:tcW w:w="1180" w:type="dxa"/>
            <w:vAlign w:val="bottom"/>
            <w:tcBorders>
              <w:bottom w:val="single" w:sz="8" w:color="2360A6"/>
            </w:tcBorders>
          </w:tcPr>
          <w:p>
            <w:pPr>
              <w:spacing w:after="0"/>
              <w:rPr>
                <w:sz w:val="24"/>
                <w:szCs w:val="24"/>
                <w:color w:val="auto"/>
              </w:rPr>
            </w:pPr>
          </w:p>
        </w:tc>
        <w:tc>
          <w:tcPr>
            <w:tcW w:w="1280" w:type="dxa"/>
            <w:vAlign w:val="bottom"/>
            <w:tcBorders>
              <w:bottom w:val="single" w:sz="8" w:color="2360A6"/>
            </w:tcBorders>
          </w:tcPr>
          <w:p>
            <w:pPr>
              <w:spacing w:after="0"/>
              <w:rPr>
                <w:sz w:val="24"/>
                <w:szCs w:val="24"/>
                <w:color w:val="auto"/>
              </w:rPr>
            </w:pPr>
          </w:p>
        </w:tc>
        <w:tc>
          <w:tcPr>
            <w:tcW w:w="1160" w:type="dxa"/>
            <w:vAlign w:val="bottom"/>
            <w:tcBorders>
              <w:bottom w:val="single" w:sz="8" w:color="2360A6"/>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4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980" w:type="dxa"/>
            <w:vAlign w:val="bottom"/>
            <w:tcBorders>
              <w:bottom w:val="single" w:sz="8" w:color="2360A6"/>
            </w:tcBorders>
          </w:tcPr>
          <w:p>
            <w:pPr>
              <w:spacing w:after="0"/>
              <w:rPr>
                <w:sz w:val="17"/>
                <w:szCs w:val="17"/>
                <w:color w:val="auto"/>
              </w:rPr>
            </w:pPr>
          </w:p>
        </w:tc>
        <w:tc>
          <w:tcPr>
            <w:tcW w:w="1500" w:type="dxa"/>
            <w:vAlign w:val="bottom"/>
            <w:tcBorders>
              <w:bottom w:val="single" w:sz="8" w:color="2360A6"/>
            </w:tcBorders>
          </w:tcPr>
          <w:p>
            <w:pPr>
              <w:spacing w:after="0"/>
              <w:rPr>
                <w:sz w:val="17"/>
                <w:szCs w:val="17"/>
                <w:color w:val="auto"/>
              </w:rPr>
            </w:pPr>
          </w:p>
        </w:tc>
        <w:tc>
          <w:tcPr>
            <w:tcW w:w="2340" w:type="dxa"/>
            <w:vAlign w:val="bottom"/>
            <w:tcBorders>
              <w:bottom w:val="single" w:sz="8" w:color="2360A6"/>
            </w:tcBorders>
            <w:gridSpan w:val="2"/>
          </w:tcPr>
          <w:p>
            <w:pPr>
              <w:jc w:val="right"/>
              <w:ind w:right="296"/>
              <w:spacing w:after="0"/>
              <w:rPr>
                <w:sz w:val="20"/>
                <w:szCs w:val="20"/>
                <w:color w:val="auto"/>
              </w:rPr>
            </w:pPr>
            <w:r>
              <w:rPr>
                <w:rFonts w:ascii="Arial" w:cs="Arial" w:eastAsia="Arial" w:hAnsi="Arial"/>
                <w:sz w:val="14"/>
                <w:szCs w:val="14"/>
                <w:b w:val="1"/>
                <w:bCs w:val="1"/>
                <w:color w:val="2360A6"/>
              </w:rPr>
              <w:t>As of December 31, 2015</w:t>
            </w:r>
          </w:p>
        </w:tc>
        <w:tc>
          <w:tcPr>
            <w:tcW w:w="1280" w:type="dxa"/>
            <w:vAlign w:val="bottom"/>
            <w:tcBorders>
              <w:bottom w:val="single" w:sz="8" w:color="2360A6"/>
            </w:tcBorders>
          </w:tcPr>
          <w:p>
            <w:pPr>
              <w:spacing w:after="0"/>
              <w:rPr>
                <w:sz w:val="17"/>
                <w:szCs w:val="17"/>
                <w:color w:val="auto"/>
              </w:rPr>
            </w:pPr>
          </w:p>
        </w:tc>
        <w:tc>
          <w:tcPr>
            <w:tcW w:w="1160" w:type="dxa"/>
            <w:vAlign w:val="bottom"/>
            <w:tcBorders>
              <w:bottom w:val="single" w:sz="8" w:color="2360A6"/>
              <w:right w:val="single" w:sz="8" w:color="2360A6"/>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Financial Assets (by Type of</w:t>
            </w:r>
          </w:p>
        </w:tc>
        <w:tc>
          <w:tcPr>
            <w:tcW w:w="980" w:type="dxa"/>
            <w:vAlign w:val="bottom"/>
            <w:tcBorders>
              <w:right w:val="single" w:sz="8" w:color="2360A6"/>
            </w:tcBorders>
          </w:tcPr>
          <w:p>
            <w:pPr>
              <w:spacing w:after="0"/>
              <w:rPr>
                <w:sz w:val="15"/>
                <w:szCs w:val="15"/>
                <w:color w:val="auto"/>
              </w:rPr>
            </w:pPr>
          </w:p>
        </w:tc>
        <w:tc>
          <w:tcPr>
            <w:tcW w:w="1500" w:type="dxa"/>
            <w:vAlign w:val="bottom"/>
            <w:tcBorders>
              <w:right w:val="single" w:sz="8" w:color="2360A6"/>
            </w:tcBorders>
          </w:tcPr>
          <w:p>
            <w:pPr>
              <w:spacing w:after="0"/>
              <w:rPr>
                <w:sz w:val="15"/>
                <w:szCs w:val="15"/>
                <w:color w:val="auto"/>
              </w:rPr>
            </w:pPr>
          </w:p>
        </w:tc>
        <w:tc>
          <w:tcPr>
            <w:tcW w:w="1160" w:type="dxa"/>
            <w:vAlign w:val="bottom"/>
            <w:tcBorders>
              <w:right w:val="single" w:sz="8" w:color="2360A6"/>
            </w:tcBorders>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Borders>
              <w:right w:val="single" w:sz="8" w:color="2360A6"/>
            </w:tcBorders>
          </w:tcPr>
          <w:p>
            <w:pPr>
              <w:spacing w:after="0"/>
              <w:rPr>
                <w:sz w:val="15"/>
                <w:szCs w:val="15"/>
                <w:color w:val="auto"/>
              </w:rPr>
            </w:pPr>
          </w:p>
        </w:tc>
        <w:tc>
          <w:tcPr>
            <w:tcW w:w="1160" w:type="dxa"/>
            <w:vAlign w:val="bottom"/>
            <w:tcBorders>
              <w:right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Financial Instruments)</w:t>
            </w:r>
          </w:p>
        </w:tc>
        <w:tc>
          <w:tcPr>
            <w:tcW w:w="98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b w:val="1"/>
                <w:bCs w:val="1"/>
                <w:color w:val="2360A6"/>
              </w:rPr>
              <w:t>a</w:t>
            </w:r>
          </w:p>
        </w:tc>
        <w:tc>
          <w:tcPr>
            <w:tcW w:w="1500" w:type="dxa"/>
            <w:vAlign w:val="bottom"/>
            <w:tcBorders>
              <w:bottom w:val="single" w:sz="8" w:color="2360A6"/>
              <w:right w:val="single" w:sz="8" w:color="2360A6"/>
            </w:tcBorders>
          </w:tcPr>
          <w:p>
            <w:pPr>
              <w:jc w:val="right"/>
              <w:ind w:right="1336"/>
              <w:spacing w:after="0"/>
              <w:rPr>
                <w:sz w:val="20"/>
                <w:szCs w:val="20"/>
                <w:color w:val="auto"/>
              </w:rPr>
            </w:pPr>
            <w:r>
              <w:rPr>
                <w:rFonts w:ascii="Arial" w:cs="Arial" w:eastAsia="Arial" w:hAnsi="Arial"/>
                <w:sz w:val="13"/>
                <w:szCs w:val="13"/>
                <w:b w:val="1"/>
                <w:bCs w:val="1"/>
                <w:color w:val="2360A6"/>
              </w:rPr>
              <w:t>b</w:t>
            </w:r>
          </w:p>
        </w:tc>
        <w:tc>
          <w:tcPr>
            <w:tcW w:w="1160" w:type="dxa"/>
            <w:vAlign w:val="bottom"/>
            <w:tcBorders>
              <w:bottom w:val="single" w:sz="8" w:color="2360A6"/>
              <w:right w:val="single" w:sz="8" w:color="2360A6"/>
            </w:tcBorders>
          </w:tcPr>
          <w:p>
            <w:pPr>
              <w:jc w:val="right"/>
              <w:ind w:right="1015"/>
              <w:spacing w:after="0"/>
              <w:rPr>
                <w:sz w:val="20"/>
                <w:szCs w:val="20"/>
                <w:color w:val="auto"/>
              </w:rPr>
            </w:pPr>
            <w:r>
              <w:rPr>
                <w:rFonts w:ascii="Arial" w:cs="Arial" w:eastAsia="Arial" w:hAnsi="Arial"/>
                <w:sz w:val="13"/>
                <w:szCs w:val="13"/>
                <w:b w:val="1"/>
                <w:bCs w:val="1"/>
                <w:color w:val="2360A6"/>
                <w:w w:val="82"/>
              </w:rPr>
              <w:t>c</w:t>
            </w:r>
          </w:p>
        </w:tc>
        <w:tc>
          <w:tcPr>
            <w:tcW w:w="1180" w:type="dxa"/>
            <w:vAlign w:val="bottom"/>
            <w:tcBorders>
              <w:bottom w:val="single" w:sz="8" w:color="2360A6"/>
            </w:tcBorders>
          </w:tcPr>
          <w:p>
            <w:pPr>
              <w:ind w:left="40"/>
              <w:spacing w:after="0"/>
              <w:rPr>
                <w:sz w:val="20"/>
                <w:szCs w:val="20"/>
                <w:color w:val="auto"/>
              </w:rPr>
            </w:pPr>
            <w:r>
              <w:rPr>
                <w:rFonts w:ascii="Arial" w:cs="Arial" w:eastAsia="Arial" w:hAnsi="Arial"/>
                <w:sz w:val="13"/>
                <w:szCs w:val="13"/>
                <w:b w:val="1"/>
                <w:bCs w:val="1"/>
                <w:color w:val="2360A6"/>
              </w:rPr>
              <w:t>d</w:t>
            </w:r>
          </w:p>
        </w:tc>
        <w:tc>
          <w:tcPr>
            <w:tcW w:w="1280" w:type="dxa"/>
            <w:vAlign w:val="bottom"/>
            <w:tcBorders>
              <w:bottom w:val="single" w:sz="8" w:color="2360A6"/>
              <w:right w:val="single" w:sz="8" w:color="2360A6"/>
            </w:tcBorders>
          </w:tcPr>
          <w:p>
            <w:pPr>
              <w:spacing w:after="0"/>
              <w:rPr>
                <w:sz w:val="17"/>
                <w:szCs w:val="17"/>
                <w:color w:val="auto"/>
              </w:rPr>
            </w:pPr>
          </w:p>
        </w:tc>
        <w:tc>
          <w:tcPr>
            <w:tcW w:w="1160" w:type="dxa"/>
            <w:vAlign w:val="bottom"/>
            <w:tcBorders>
              <w:bottom w:val="single" w:sz="8" w:color="2360A6"/>
              <w:right w:val="single" w:sz="8" w:color="2360A6"/>
            </w:tcBorders>
          </w:tcPr>
          <w:p>
            <w:pPr>
              <w:jc w:val="right"/>
              <w:ind w:right="1015"/>
              <w:spacing w:after="0"/>
              <w:rPr>
                <w:sz w:val="20"/>
                <w:szCs w:val="20"/>
                <w:color w:val="auto"/>
              </w:rPr>
            </w:pPr>
            <w:r>
              <w:rPr>
                <w:rFonts w:ascii="Arial" w:cs="Arial" w:eastAsia="Arial" w:hAnsi="Arial"/>
                <w:sz w:val="13"/>
                <w:szCs w:val="13"/>
                <w:b w:val="1"/>
                <w:bCs w:val="1"/>
                <w:color w:val="2360A6"/>
                <w:w w:val="82"/>
              </w:rPr>
              <w:t>e</w:t>
            </w:r>
          </w:p>
        </w:tc>
        <w:tc>
          <w:tcPr>
            <w:tcW w:w="0" w:type="dxa"/>
            <w:vAlign w:val="bottom"/>
          </w:tcPr>
          <w:p>
            <w:pPr>
              <w:spacing w:after="0"/>
              <w:rPr>
                <w:sz w:val="1"/>
                <w:szCs w:val="1"/>
                <w:color w:val="auto"/>
              </w:rPr>
            </w:pPr>
          </w:p>
        </w:tc>
      </w:tr>
      <w:tr>
        <w:trPr>
          <w:trHeight w:val="342"/>
        </w:trPr>
        <w:tc>
          <w:tcPr>
            <w:tcW w:w="3440" w:type="dxa"/>
            <w:vAlign w:val="bottom"/>
            <w:tcBorders>
              <w:left w:val="single" w:sz="8" w:color="2360A6"/>
              <w:right w:val="single" w:sz="8" w:color="2360A6"/>
            </w:tcBorders>
          </w:tcPr>
          <w:p>
            <w:pPr>
              <w:spacing w:after="0"/>
              <w:rPr>
                <w:sz w:val="24"/>
                <w:szCs w:val="24"/>
                <w:color w:val="auto"/>
              </w:rPr>
            </w:pPr>
          </w:p>
        </w:tc>
        <w:tc>
          <w:tcPr>
            <w:tcW w:w="980" w:type="dxa"/>
            <w:vAlign w:val="bottom"/>
            <w:tcBorders>
              <w:right w:val="single" w:sz="8" w:color="2360A6"/>
            </w:tcBorders>
          </w:tcPr>
          <w:p>
            <w:pPr>
              <w:spacing w:after="0"/>
              <w:rPr>
                <w:sz w:val="24"/>
                <w:szCs w:val="24"/>
                <w:color w:val="auto"/>
              </w:rPr>
            </w:pPr>
          </w:p>
        </w:tc>
        <w:tc>
          <w:tcPr>
            <w:tcW w:w="1500" w:type="dxa"/>
            <w:vAlign w:val="bottom"/>
            <w:tcBorders>
              <w:right w:val="single" w:sz="8" w:color="2360A6"/>
            </w:tcBorders>
          </w:tcPr>
          <w:p>
            <w:pPr>
              <w:jc w:val="right"/>
              <w:ind w:right="76"/>
              <w:spacing w:after="0"/>
              <w:rPr>
                <w:sz w:val="20"/>
                <w:szCs w:val="20"/>
                <w:color w:val="auto"/>
              </w:rPr>
            </w:pPr>
            <w:r>
              <w:rPr>
                <w:rFonts w:ascii="Arial" w:cs="Arial" w:eastAsia="Arial" w:hAnsi="Arial"/>
                <w:sz w:val="13"/>
                <w:szCs w:val="13"/>
                <w:b w:val="1"/>
                <w:bCs w:val="1"/>
                <w:color w:val="2360A6"/>
              </w:rPr>
              <w:t>Gross Amounts Set</w:t>
            </w:r>
          </w:p>
        </w:tc>
        <w:tc>
          <w:tcPr>
            <w:tcW w:w="1160" w:type="dxa"/>
            <w:vAlign w:val="bottom"/>
            <w:tcBorders>
              <w:right w:val="single" w:sz="8" w:color="2360A6"/>
            </w:tcBorders>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Borders>
              <w:right w:val="single" w:sz="8" w:color="2360A6"/>
            </w:tcBorders>
          </w:tcPr>
          <w:p>
            <w:pPr>
              <w:spacing w:after="0"/>
              <w:rPr>
                <w:sz w:val="24"/>
                <w:szCs w:val="24"/>
                <w:color w:val="auto"/>
              </w:rPr>
            </w:pPr>
          </w:p>
        </w:tc>
        <w:tc>
          <w:tcPr>
            <w:tcW w:w="1160" w:type="dxa"/>
            <w:vAlign w:val="bottom"/>
            <w:tcBorders>
              <w:right w:val="single" w:sz="8" w:color="2360A6"/>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1500" w:type="dxa"/>
            <w:vAlign w:val="bottom"/>
            <w:tcBorders>
              <w:right w:val="single" w:sz="8" w:color="2360A6"/>
            </w:tcBorders>
          </w:tcPr>
          <w:p>
            <w:pPr>
              <w:jc w:val="right"/>
              <w:ind w:right="76"/>
              <w:spacing w:after="0" w:line="135" w:lineRule="exact"/>
              <w:rPr>
                <w:sz w:val="20"/>
                <w:szCs w:val="20"/>
                <w:color w:val="auto"/>
              </w:rPr>
            </w:pPr>
            <w:r>
              <w:rPr>
                <w:rFonts w:ascii="Arial" w:cs="Arial" w:eastAsia="Arial" w:hAnsi="Arial"/>
                <w:sz w:val="13"/>
                <w:szCs w:val="13"/>
                <w:b w:val="1"/>
                <w:bCs w:val="1"/>
                <w:color w:val="2360A6"/>
              </w:rPr>
              <w:t>off in the Financial</w:t>
            </w:r>
          </w:p>
        </w:tc>
        <w:tc>
          <w:tcPr>
            <w:tcW w:w="116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Net Amounts</w:t>
            </w:r>
          </w:p>
        </w:tc>
        <w:tc>
          <w:tcPr>
            <w:tcW w:w="1180" w:type="dxa"/>
            <w:vAlign w:val="bottom"/>
          </w:tcPr>
          <w:p>
            <w:pPr>
              <w:spacing w:after="0"/>
              <w:rPr>
                <w:sz w:val="11"/>
                <w:szCs w:val="11"/>
                <w:color w:val="auto"/>
              </w:rPr>
            </w:pPr>
          </w:p>
        </w:tc>
        <w:tc>
          <w:tcPr>
            <w:tcW w:w="1280" w:type="dxa"/>
            <w:vAlign w:val="bottom"/>
            <w:tcBorders>
              <w:right w:val="single" w:sz="8" w:color="2360A6"/>
            </w:tcBorders>
          </w:tcPr>
          <w:p>
            <w:pPr>
              <w:spacing w:after="0"/>
              <w:rPr>
                <w:sz w:val="11"/>
                <w:szCs w:val="11"/>
                <w:color w:val="auto"/>
              </w:rPr>
            </w:pPr>
          </w:p>
        </w:tc>
        <w:tc>
          <w:tcPr>
            <w:tcW w:w="1160" w:type="dxa"/>
            <w:vAlign w:val="bottom"/>
            <w:tcBorders>
              <w:right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w w:val="99"/>
              </w:rPr>
              <w:t>Gross Amount</w:t>
            </w:r>
          </w:p>
        </w:tc>
        <w:tc>
          <w:tcPr>
            <w:tcW w:w="1500" w:type="dxa"/>
            <w:vAlign w:val="bottom"/>
            <w:tcBorders>
              <w:right w:val="single" w:sz="8" w:color="2360A6"/>
            </w:tcBorders>
          </w:tcPr>
          <w:p>
            <w:pPr>
              <w:jc w:val="right"/>
              <w:ind w:right="76"/>
              <w:spacing w:after="0" w:line="135" w:lineRule="exact"/>
              <w:rPr>
                <w:sz w:val="20"/>
                <w:szCs w:val="20"/>
                <w:color w:val="auto"/>
              </w:rPr>
            </w:pPr>
            <w:r>
              <w:rPr>
                <w:rFonts w:ascii="Arial" w:cs="Arial" w:eastAsia="Arial" w:hAnsi="Arial"/>
                <w:sz w:val="13"/>
                <w:szCs w:val="13"/>
                <w:b w:val="1"/>
                <w:bCs w:val="1"/>
                <w:color w:val="2360A6"/>
              </w:rPr>
              <w:t>Statements</w:t>
            </w:r>
          </w:p>
        </w:tc>
        <w:tc>
          <w:tcPr>
            <w:tcW w:w="116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Recorded in the</w:t>
            </w:r>
          </w:p>
        </w:tc>
        <w:tc>
          <w:tcPr>
            <w:tcW w:w="2460" w:type="dxa"/>
            <w:vAlign w:val="bottom"/>
            <w:tcBorders>
              <w:right w:val="single" w:sz="8" w:color="2360A6"/>
            </w:tcBorders>
            <w:gridSpan w:val="2"/>
          </w:tcPr>
          <w:p>
            <w:pPr>
              <w:jc w:val="right"/>
              <w:ind w:right="55"/>
              <w:spacing w:after="0" w:line="135" w:lineRule="exact"/>
              <w:rPr>
                <w:sz w:val="20"/>
                <w:szCs w:val="20"/>
                <w:color w:val="auto"/>
              </w:rPr>
            </w:pPr>
            <w:r>
              <w:rPr>
                <w:rFonts w:ascii="Arial" w:cs="Arial" w:eastAsia="Arial" w:hAnsi="Arial"/>
                <w:sz w:val="13"/>
                <w:szCs w:val="13"/>
                <w:b w:val="1"/>
                <w:bCs w:val="1"/>
                <w:color w:val="2360A6"/>
              </w:rPr>
              <w:t>Related Amounts not Set off in the</w:t>
            </w:r>
          </w:p>
        </w:tc>
        <w:tc>
          <w:tcPr>
            <w:tcW w:w="1160" w:type="dxa"/>
            <w:vAlign w:val="bottom"/>
            <w:tcBorders>
              <w:right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(before</w:t>
            </w:r>
          </w:p>
        </w:tc>
        <w:tc>
          <w:tcPr>
            <w:tcW w:w="1500" w:type="dxa"/>
            <w:vAlign w:val="bottom"/>
            <w:tcBorders>
              <w:right w:val="single" w:sz="8" w:color="2360A6"/>
            </w:tcBorders>
          </w:tcPr>
          <w:p>
            <w:pPr>
              <w:jc w:val="right"/>
              <w:ind w:right="76"/>
              <w:spacing w:after="0" w:line="135" w:lineRule="exact"/>
              <w:rPr>
                <w:sz w:val="20"/>
                <w:szCs w:val="20"/>
                <w:color w:val="auto"/>
              </w:rPr>
            </w:pPr>
            <w:r>
              <w:rPr>
                <w:rFonts w:ascii="Arial" w:cs="Arial" w:eastAsia="Arial" w:hAnsi="Arial"/>
                <w:sz w:val="13"/>
                <w:szCs w:val="13"/>
                <w:b w:val="1"/>
                <w:bCs w:val="1"/>
                <w:color w:val="2360A6"/>
              </w:rPr>
              <w:t>(according to</w:t>
            </w:r>
          </w:p>
        </w:tc>
        <w:tc>
          <w:tcPr>
            <w:tcW w:w="116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Financial</w:t>
            </w:r>
          </w:p>
        </w:tc>
        <w:tc>
          <w:tcPr>
            <w:tcW w:w="2460" w:type="dxa"/>
            <w:vAlign w:val="bottom"/>
            <w:tcBorders>
              <w:right w:val="single" w:sz="8" w:color="2360A6"/>
            </w:tcBorders>
            <w:gridSpan w:val="2"/>
          </w:tcPr>
          <w:p>
            <w:pPr>
              <w:jc w:val="right"/>
              <w:ind w:right="55"/>
              <w:spacing w:after="0" w:line="135" w:lineRule="exact"/>
              <w:rPr>
                <w:sz w:val="20"/>
                <w:szCs w:val="20"/>
                <w:color w:val="auto"/>
              </w:rPr>
            </w:pPr>
            <w:r>
              <w:rPr>
                <w:rFonts w:ascii="Arial" w:cs="Arial" w:eastAsia="Arial" w:hAnsi="Arial"/>
                <w:sz w:val="13"/>
                <w:szCs w:val="13"/>
                <w:b w:val="1"/>
                <w:bCs w:val="1"/>
                <w:color w:val="2360A6"/>
              </w:rPr>
              <w:t>Statement of Financial Position (not</w:t>
            </w:r>
          </w:p>
        </w:tc>
        <w:tc>
          <w:tcPr>
            <w:tcW w:w="1160" w:type="dxa"/>
            <w:vAlign w:val="bottom"/>
            <w:tcBorders>
              <w:right w:val="single" w:sz="8" w:color="2360A6"/>
            </w:tcBorders>
          </w:tcPr>
          <w:p>
            <w:pPr>
              <w:jc w:val="right"/>
              <w:ind w:right="55"/>
              <w:spacing w:after="0" w:line="135" w:lineRule="exact"/>
              <w:rPr>
                <w:sz w:val="20"/>
                <w:szCs w:val="20"/>
                <w:color w:val="auto"/>
              </w:rPr>
            </w:pPr>
            <w:r>
              <w:rPr>
                <w:rFonts w:ascii="Arial" w:cs="Arial" w:eastAsia="Arial" w:hAnsi="Arial"/>
                <w:sz w:val="13"/>
                <w:szCs w:val="13"/>
                <w:b w:val="1"/>
                <w:bCs w:val="1"/>
                <w:color w:val="2360A6"/>
              </w:rPr>
              <w:t>Net</w:t>
            </w:r>
          </w:p>
        </w:tc>
        <w:tc>
          <w:tcPr>
            <w:tcW w:w="0" w:type="dxa"/>
            <w:vAlign w:val="bottom"/>
          </w:tcPr>
          <w:p>
            <w:pPr>
              <w:spacing w:after="0"/>
              <w:rPr>
                <w:sz w:val="1"/>
                <w:szCs w:val="1"/>
                <w:color w:val="auto"/>
              </w:rPr>
            </w:pPr>
          </w:p>
        </w:tc>
      </w:tr>
      <w:tr>
        <w:trPr>
          <w:trHeight w:val="178"/>
        </w:trPr>
        <w:tc>
          <w:tcPr>
            <w:tcW w:w="3440" w:type="dxa"/>
            <w:vAlign w:val="bottom"/>
            <w:tcBorders>
              <w:left w:val="single" w:sz="8" w:color="2360A6"/>
              <w:right w:val="single" w:sz="8" w:color="2360A6"/>
            </w:tcBorders>
          </w:tcPr>
          <w:p>
            <w:pPr>
              <w:spacing w:after="0"/>
              <w:rPr>
                <w:sz w:val="15"/>
                <w:szCs w:val="15"/>
                <w:color w:val="auto"/>
              </w:rPr>
            </w:pPr>
          </w:p>
        </w:tc>
        <w:tc>
          <w:tcPr>
            <w:tcW w:w="9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Offsetting)</w:t>
            </w:r>
          </w:p>
        </w:tc>
        <w:tc>
          <w:tcPr>
            <w:tcW w:w="1500" w:type="dxa"/>
            <w:vAlign w:val="bottom"/>
            <w:tcBorders>
              <w:bottom w:val="single" w:sz="8" w:color="2360A6"/>
              <w:right w:val="single" w:sz="8" w:color="2360A6"/>
            </w:tcBorders>
          </w:tcPr>
          <w:p>
            <w:pPr>
              <w:jc w:val="right"/>
              <w:ind w:right="76"/>
              <w:spacing w:after="0"/>
              <w:rPr>
                <w:sz w:val="20"/>
                <w:szCs w:val="20"/>
                <w:color w:val="auto"/>
              </w:rPr>
            </w:pPr>
            <w:r>
              <w:rPr>
                <w:rFonts w:ascii="Arial" w:cs="Arial" w:eastAsia="Arial" w:hAnsi="Arial"/>
                <w:sz w:val="13"/>
                <w:szCs w:val="13"/>
                <w:b w:val="1"/>
                <w:bCs w:val="1"/>
                <w:color w:val="2360A6"/>
              </w:rPr>
              <w:t>IAS 32)</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Statements (a- b)</w:t>
            </w:r>
          </w:p>
        </w:tc>
        <w:tc>
          <w:tcPr>
            <w:tcW w:w="2460" w:type="dxa"/>
            <w:vAlign w:val="bottom"/>
            <w:tcBorders>
              <w:bottom w:val="single" w:sz="8" w:color="2360A6"/>
              <w:right w:val="single" w:sz="8" w:color="2360A6"/>
            </w:tcBorders>
            <w:gridSpan w:val="2"/>
          </w:tcPr>
          <w:p>
            <w:pPr>
              <w:jc w:val="right"/>
              <w:ind w:right="55"/>
              <w:spacing w:after="0"/>
              <w:rPr>
                <w:sz w:val="20"/>
                <w:szCs w:val="20"/>
                <w:color w:val="auto"/>
              </w:rPr>
            </w:pPr>
            <w:r>
              <w:rPr>
                <w:rFonts w:ascii="Arial" w:cs="Arial" w:eastAsia="Arial" w:hAnsi="Arial"/>
                <w:sz w:val="13"/>
                <w:szCs w:val="13"/>
                <w:b w:val="1"/>
                <w:bCs w:val="1"/>
                <w:color w:val="2360A6"/>
              </w:rPr>
              <w:t>Meeting Offsetting Criteria IAS 32)</w:t>
            </w:r>
          </w:p>
        </w:tc>
        <w:tc>
          <w:tcPr>
            <w:tcW w:w="1160" w:type="dxa"/>
            <w:vAlign w:val="bottom"/>
            <w:tcBorders>
              <w:bottom w:val="single" w:sz="8" w:color="2360A6"/>
              <w:right w:val="single" w:sz="8" w:color="2360A6"/>
            </w:tcBorders>
          </w:tcPr>
          <w:p>
            <w:pPr>
              <w:jc w:val="right"/>
              <w:ind w:right="55"/>
              <w:spacing w:after="0"/>
              <w:rPr>
                <w:sz w:val="20"/>
                <w:szCs w:val="20"/>
                <w:color w:val="auto"/>
              </w:rPr>
            </w:pPr>
            <w:r>
              <w:rPr>
                <w:rFonts w:ascii="Arial" w:cs="Arial" w:eastAsia="Arial" w:hAnsi="Arial"/>
                <w:sz w:val="13"/>
                <w:szCs w:val="13"/>
                <w:b w:val="1"/>
                <w:bCs w:val="1"/>
                <w:color w:val="2360A6"/>
              </w:rPr>
              <w:t>Amount (c- d)</w:t>
            </w:r>
          </w:p>
        </w:tc>
        <w:tc>
          <w:tcPr>
            <w:tcW w:w="0" w:type="dxa"/>
            <w:vAlign w:val="bottom"/>
          </w:tcPr>
          <w:p>
            <w:pPr>
              <w:spacing w:after="0"/>
              <w:rPr>
                <w:sz w:val="1"/>
                <w:szCs w:val="1"/>
                <w:color w:val="auto"/>
              </w:rPr>
            </w:pPr>
          </w:p>
        </w:tc>
      </w:tr>
      <w:tr>
        <w:trPr>
          <w:trHeight w:val="208"/>
        </w:trPr>
        <w:tc>
          <w:tcPr>
            <w:tcW w:w="3440" w:type="dxa"/>
            <w:vAlign w:val="bottom"/>
            <w:tcBorders>
              <w:left w:val="single" w:sz="8" w:color="2360A6"/>
              <w:right w:val="single" w:sz="8" w:color="2360A6"/>
            </w:tcBorders>
          </w:tcPr>
          <w:p>
            <w:pPr>
              <w:spacing w:after="0"/>
              <w:rPr>
                <w:sz w:val="18"/>
                <w:szCs w:val="18"/>
                <w:color w:val="auto"/>
              </w:rPr>
            </w:pPr>
          </w:p>
        </w:tc>
        <w:tc>
          <w:tcPr>
            <w:tcW w:w="980" w:type="dxa"/>
            <w:vAlign w:val="bottom"/>
            <w:tcBorders>
              <w:right w:val="single" w:sz="8" w:color="2360A6"/>
            </w:tcBorders>
          </w:tcPr>
          <w:p>
            <w:pPr>
              <w:spacing w:after="0"/>
              <w:rPr>
                <w:sz w:val="18"/>
                <w:szCs w:val="18"/>
                <w:color w:val="auto"/>
              </w:rPr>
            </w:pPr>
          </w:p>
        </w:tc>
        <w:tc>
          <w:tcPr>
            <w:tcW w:w="1500" w:type="dxa"/>
            <w:vAlign w:val="bottom"/>
            <w:tcBorders>
              <w:right w:val="single" w:sz="8" w:color="2360A6"/>
            </w:tcBorders>
          </w:tcPr>
          <w:p>
            <w:pPr>
              <w:spacing w:after="0"/>
              <w:rPr>
                <w:sz w:val="18"/>
                <w:szCs w:val="18"/>
                <w:color w:val="auto"/>
              </w:rPr>
            </w:pPr>
          </w:p>
        </w:tc>
        <w:tc>
          <w:tcPr>
            <w:tcW w:w="1160" w:type="dxa"/>
            <w:vAlign w:val="bottom"/>
            <w:tcBorders>
              <w:right w:val="single" w:sz="8" w:color="2360A6"/>
            </w:tcBorders>
          </w:tcPr>
          <w:p>
            <w:pPr>
              <w:spacing w:after="0"/>
              <w:rPr>
                <w:sz w:val="18"/>
                <w:szCs w:val="18"/>
                <w:color w:val="auto"/>
              </w:rPr>
            </w:pPr>
          </w:p>
        </w:tc>
        <w:tc>
          <w:tcPr>
            <w:tcW w:w="1180" w:type="dxa"/>
            <w:vAlign w:val="bottom"/>
            <w:tcBorders>
              <w:right w:val="single" w:sz="8" w:color="2360A6"/>
            </w:tcBorders>
          </w:tcPr>
          <w:p>
            <w:pPr>
              <w:spacing w:after="0"/>
              <w:rPr>
                <w:sz w:val="18"/>
                <w:szCs w:val="18"/>
                <w:color w:val="auto"/>
              </w:rPr>
            </w:pPr>
          </w:p>
        </w:tc>
        <w:tc>
          <w:tcPr>
            <w:tcW w:w="1280" w:type="dxa"/>
            <w:vAlign w:val="bottom"/>
            <w:tcBorders>
              <w:right w:val="single" w:sz="8" w:color="2360A6"/>
            </w:tcBorders>
          </w:tcPr>
          <w:p>
            <w:pPr>
              <w:jc w:val="right"/>
              <w:ind w:right="55"/>
              <w:spacing w:after="0"/>
              <w:rPr>
                <w:sz w:val="20"/>
                <w:szCs w:val="20"/>
                <w:color w:val="auto"/>
              </w:rPr>
            </w:pPr>
            <w:r>
              <w:rPr>
                <w:rFonts w:ascii="Arial" w:cs="Arial" w:eastAsia="Arial" w:hAnsi="Arial"/>
                <w:sz w:val="13"/>
                <w:szCs w:val="13"/>
                <w:b w:val="1"/>
                <w:bCs w:val="1"/>
                <w:color w:val="2360A6"/>
              </w:rPr>
              <w:t>Fair Value of</w:t>
            </w:r>
          </w:p>
        </w:tc>
        <w:tc>
          <w:tcPr>
            <w:tcW w:w="1160" w:type="dxa"/>
            <w:vAlign w:val="bottom"/>
            <w:tcBorders>
              <w:right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1500" w:type="dxa"/>
            <w:vAlign w:val="bottom"/>
            <w:tcBorders>
              <w:right w:val="single" w:sz="8" w:color="2360A6"/>
            </w:tcBorders>
          </w:tcPr>
          <w:p>
            <w:pPr>
              <w:spacing w:after="0"/>
              <w:rPr>
                <w:sz w:val="11"/>
                <w:szCs w:val="11"/>
                <w:color w:val="auto"/>
              </w:rPr>
            </w:pPr>
          </w:p>
        </w:tc>
        <w:tc>
          <w:tcPr>
            <w:tcW w:w="1160" w:type="dxa"/>
            <w:vAlign w:val="bottom"/>
            <w:tcBorders>
              <w:right w:val="single" w:sz="8" w:color="2360A6"/>
            </w:tcBorders>
          </w:tcPr>
          <w:p>
            <w:pPr>
              <w:spacing w:after="0"/>
              <w:rPr>
                <w:sz w:val="11"/>
                <w:szCs w:val="11"/>
                <w:color w:val="auto"/>
              </w:rPr>
            </w:pPr>
          </w:p>
        </w:tc>
        <w:tc>
          <w:tcPr>
            <w:tcW w:w="118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Financial</w:t>
            </w:r>
          </w:p>
        </w:tc>
        <w:tc>
          <w:tcPr>
            <w:tcW w:w="1280" w:type="dxa"/>
            <w:vAlign w:val="bottom"/>
            <w:tcBorders>
              <w:right w:val="single" w:sz="8" w:color="2360A6"/>
            </w:tcBorders>
          </w:tcPr>
          <w:p>
            <w:pPr>
              <w:jc w:val="right"/>
              <w:ind w:right="55"/>
              <w:spacing w:after="0" w:line="135" w:lineRule="exact"/>
              <w:rPr>
                <w:sz w:val="20"/>
                <w:szCs w:val="20"/>
                <w:color w:val="auto"/>
              </w:rPr>
            </w:pPr>
            <w:r>
              <w:rPr>
                <w:rFonts w:ascii="Arial" w:cs="Arial" w:eastAsia="Arial" w:hAnsi="Arial"/>
                <w:sz w:val="13"/>
                <w:szCs w:val="13"/>
                <w:b w:val="1"/>
                <w:bCs w:val="1"/>
                <w:color w:val="2360A6"/>
              </w:rPr>
              <w:t>Financial</w:t>
            </w:r>
          </w:p>
        </w:tc>
        <w:tc>
          <w:tcPr>
            <w:tcW w:w="1160" w:type="dxa"/>
            <w:vAlign w:val="bottom"/>
            <w:tcBorders>
              <w:right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440" w:type="dxa"/>
            <w:vAlign w:val="bottom"/>
            <w:tcBorders>
              <w:left w:val="single" w:sz="8" w:color="2360A6"/>
              <w:bottom w:val="single" w:sz="8" w:color="2360A6"/>
              <w:right w:val="single" w:sz="8" w:color="2360A6"/>
            </w:tcBorders>
          </w:tcPr>
          <w:p>
            <w:pPr>
              <w:spacing w:after="0"/>
              <w:rPr>
                <w:sz w:val="15"/>
                <w:szCs w:val="15"/>
                <w:color w:val="auto"/>
              </w:rPr>
            </w:pPr>
          </w:p>
        </w:tc>
        <w:tc>
          <w:tcPr>
            <w:tcW w:w="980" w:type="dxa"/>
            <w:vAlign w:val="bottom"/>
            <w:tcBorders>
              <w:bottom w:val="single" w:sz="8" w:color="2360A6"/>
              <w:right w:val="single" w:sz="8" w:color="2360A6"/>
            </w:tcBorders>
          </w:tcPr>
          <w:p>
            <w:pPr>
              <w:spacing w:after="0"/>
              <w:rPr>
                <w:sz w:val="15"/>
                <w:szCs w:val="15"/>
                <w:color w:val="auto"/>
              </w:rPr>
            </w:pPr>
          </w:p>
        </w:tc>
        <w:tc>
          <w:tcPr>
            <w:tcW w:w="1500" w:type="dxa"/>
            <w:vAlign w:val="bottom"/>
            <w:tcBorders>
              <w:bottom w:val="single" w:sz="8" w:color="2360A6"/>
              <w:right w:val="single" w:sz="8" w:color="2360A6"/>
            </w:tcBorders>
          </w:tcPr>
          <w:p>
            <w:pPr>
              <w:spacing w:after="0"/>
              <w:rPr>
                <w:sz w:val="15"/>
                <w:szCs w:val="15"/>
                <w:color w:val="auto"/>
              </w:rPr>
            </w:pPr>
          </w:p>
        </w:tc>
        <w:tc>
          <w:tcPr>
            <w:tcW w:w="1160" w:type="dxa"/>
            <w:vAlign w:val="bottom"/>
            <w:tcBorders>
              <w:bottom w:val="single" w:sz="8" w:color="2360A6"/>
              <w:right w:val="single" w:sz="8" w:color="2360A6"/>
            </w:tcBorders>
          </w:tcPr>
          <w:p>
            <w:pPr>
              <w:spacing w:after="0"/>
              <w:rPr>
                <w:sz w:val="15"/>
                <w:szCs w:val="15"/>
                <w:color w:val="auto"/>
              </w:rPr>
            </w:pPr>
          </w:p>
        </w:tc>
        <w:tc>
          <w:tcPr>
            <w:tcW w:w="11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Instruments</w:t>
            </w:r>
          </w:p>
        </w:tc>
        <w:tc>
          <w:tcPr>
            <w:tcW w:w="1280" w:type="dxa"/>
            <w:vAlign w:val="bottom"/>
            <w:tcBorders>
              <w:bottom w:val="single" w:sz="8" w:color="2360A6"/>
              <w:right w:val="single" w:sz="8" w:color="2360A6"/>
            </w:tcBorders>
          </w:tcPr>
          <w:p>
            <w:pPr>
              <w:jc w:val="right"/>
              <w:ind w:right="55"/>
              <w:spacing w:after="0"/>
              <w:rPr>
                <w:sz w:val="20"/>
                <w:szCs w:val="20"/>
                <w:color w:val="auto"/>
              </w:rPr>
            </w:pPr>
            <w:r>
              <w:rPr>
                <w:rFonts w:ascii="Arial" w:cs="Arial" w:eastAsia="Arial" w:hAnsi="Arial"/>
                <w:sz w:val="13"/>
                <w:szCs w:val="13"/>
                <w:b w:val="1"/>
                <w:bCs w:val="1"/>
                <w:color w:val="2360A6"/>
              </w:rPr>
              <w:t>Collaterals</w:t>
            </w:r>
          </w:p>
        </w:tc>
        <w:tc>
          <w:tcPr>
            <w:tcW w:w="1160" w:type="dxa"/>
            <w:vAlign w:val="bottom"/>
            <w:tcBorders>
              <w:bottom w:val="single" w:sz="8" w:color="2360A6"/>
              <w:right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tcBorders>
              <w:left w:val="single" w:sz="8" w:color="2360A6"/>
              <w:bottom w:val="single" w:sz="8" w:color="2360A6"/>
              <w:right w:val="single" w:sz="8" w:color="2360A6"/>
            </w:tcBorders>
            <w:shd w:val="clear" w:color="auto" w:fill="CCD1E7"/>
          </w:tcPr>
          <w:p>
            <w:pPr>
              <w:ind w:left="40"/>
              <w:spacing w:after="0"/>
              <w:rPr>
                <w:sz w:val="20"/>
                <w:szCs w:val="20"/>
                <w:color w:val="auto"/>
              </w:rPr>
            </w:pPr>
            <w:r>
              <w:rPr>
                <w:rFonts w:ascii="Arial" w:cs="Arial" w:eastAsia="Arial" w:hAnsi="Arial"/>
                <w:sz w:val="14"/>
                <w:szCs w:val="14"/>
                <w:b w:val="1"/>
                <w:bCs w:val="1"/>
                <w:color w:val="2360A6"/>
              </w:rPr>
              <w:t>TOTAL DERIVATIVE FINANCIAL INSTRUMENTS</w:t>
            </w:r>
          </w:p>
        </w:tc>
        <w:tc>
          <w:tcPr>
            <w:tcW w:w="98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47.1</w:t>
            </w:r>
          </w:p>
        </w:tc>
        <w:tc>
          <w:tcPr>
            <w:tcW w:w="1500" w:type="dxa"/>
            <w:vAlign w:val="bottom"/>
            <w:tcBorders>
              <w:bottom w:val="single" w:sz="8" w:color="2360A6"/>
              <w:right w:val="single" w:sz="8" w:color="2360A6"/>
            </w:tcBorders>
            <w:shd w:val="clear" w:color="auto" w:fill="CCD1E7"/>
          </w:tcPr>
          <w:p>
            <w:pPr>
              <w:jc w:val="right"/>
              <w:ind w:right="76"/>
              <w:spacing w:after="0"/>
              <w:rPr>
                <w:sz w:val="20"/>
                <w:szCs w:val="20"/>
                <w:color w:val="auto"/>
              </w:rPr>
            </w:pPr>
            <w:r>
              <w:rPr>
                <w:rFonts w:ascii="Arial" w:cs="Arial" w:eastAsia="Arial" w:hAnsi="Arial"/>
                <w:sz w:val="14"/>
                <w:szCs w:val="14"/>
                <w:b w:val="1"/>
                <w:bCs w:val="1"/>
                <w:color w:val="2360A6"/>
              </w:rPr>
              <w:t>—</w:t>
            </w:r>
          </w:p>
        </w:tc>
        <w:tc>
          <w:tcPr>
            <w:tcW w:w="116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47.1</w:t>
            </w:r>
          </w:p>
        </w:tc>
        <w:tc>
          <w:tcPr>
            <w:tcW w:w="118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47.1</w:t>
            </w:r>
          </w:p>
        </w:tc>
        <w:tc>
          <w:tcPr>
            <w:tcW w:w="1280" w:type="dxa"/>
            <w:vAlign w:val="bottom"/>
            <w:tcBorders>
              <w:bottom w:val="single" w:sz="8" w:color="2360A6"/>
              <w:right w:val="single" w:sz="8" w:color="2360A6"/>
            </w:tcBorders>
            <w:shd w:val="clear" w:color="auto" w:fill="CCD1E7"/>
          </w:tcPr>
          <w:p>
            <w:pPr>
              <w:jc w:val="right"/>
              <w:ind w:right="55"/>
              <w:spacing w:after="0"/>
              <w:rPr>
                <w:sz w:val="20"/>
                <w:szCs w:val="20"/>
                <w:color w:val="auto"/>
              </w:rPr>
            </w:pPr>
            <w:r>
              <w:rPr>
                <w:rFonts w:ascii="Arial" w:cs="Arial" w:eastAsia="Arial" w:hAnsi="Arial"/>
                <w:sz w:val="14"/>
                <w:szCs w:val="14"/>
                <w:b w:val="1"/>
                <w:bCs w:val="1"/>
                <w:color w:val="2360A6"/>
              </w:rPr>
              <w:t>—</w:t>
            </w:r>
          </w:p>
        </w:tc>
        <w:tc>
          <w:tcPr>
            <w:tcW w:w="1160" w:type="dxa"/>
            <w:vAlign w:val="bottom"/>
            <w:tcBorders>
              <w:bottom w:val="single" w:sz="8" w:color="2360A6"/>
              <w:right w:val="single" w:sz="8" w:color="2360A6"/>
            </w:tcBorders>
            <w:shd w:val="clear" w:color="auto" w:fill="CCD1E7"/>
          </w:tcPr>
          <w:p>
            <w:pPr>
              <w:jc w:val="right"/>
              <w:ind w:right="55"/>
              <w:spacing w:after="0"/>
              <w:rPr>
                <w:sz w:val="20"/>
                <w:szCs w:val="20"/>
                <w:color w:val="auto"/>
              </w:rPr>
            </w:pPr>
            <w:r>
              <w:rPr>
                <w:rFonts w:ascii="Arial" w:cs="Arial" w:eastAsia="Arial" w:hAnsi="Arial"/>
                <w:sz w:val="14"/>
                <w:szCs w:val="14"/>
                <w:b w:val="1"/>
                <w:bCs w:val="1"/>
                <w:color w:val="2360A6"/>
              </w:rPr>
              <w:t>—</w:t>
            </w:r>
          </w:p>
        </w:tc>
        <w:tc>
          <w:tcPr>
            <w:tcW w:w="0" w:type="dxa"/>
            <w:vAlign w:val="bottom"/>
          </w:tcPr>
          <w:p>
            <w:pPr>
              <w:spacing w:after="0"/>
              <w:rPr>
                <w:sz w:val="1"/>
                <w:szCs w:val="1"/>
                <w:color w:val="auto"/>
              </w:rPr>
            </w:pPr>
          </w:p>
        </w:tc>
      </w:tr>
      <w:tr>
        <w:trPr>
          <w:trHeight w:val="283"/>
        </w:trPr>
        <w:tc>
          <w:tcPr>
            <w:tcW w:w="3440" w:type="dxa"/>
            <w:vAlign w:val="bottom"/>
            <w:tcBorders>
              <w:bottom w:val="single" w:sz="8" w:color="2360A6"/>
            </w:tcBorders>
          </w:tcPr>
          <w:p>
            <w:pPr>
              <w:spacing w:after="0"/>
              <w:rPr>
                <w:sz w:val="24"/>
                <w:szCs w:val="24"/>
                <w:color w:val="auto"/>
              </w:rPr>
            </w:pPr>
          </w:p>
        </w:tc>
        <w:tc>
          <w:tcPr>
            <w:tcW w:w="980" w:type="dxa"/>
            <w:vAlign w:val="bottom"/>
            <w:tcBorders>
              <w:bottom w:val="single" w:sz="8" w:color="2360A6"/>
            </w:tcBorders>
          </w:tcPr>
          <w:p>
            <w:pPr>
              <w:spacing w:after="0"/>
              <w:rPr>
                <w:sz w:val="24"/>
                <w:szCs w:val="24"/>
                <w:color w:val="auto"/>
              </w:rPr>
            </w:pPr>
          </w:p>
        </w:tc>
        <w:tc>
          <w:tcPr>
            <w:tcW w:w="1500" w:type="dxa"/>
            <w:vAlign w:val="bottom"/>
            <w:tcBorders>
              <w:bottom w:val="single" w:sz="8" w:color="2360A6"/>
            </w:tcBorders>
          </w:tcPr>
          <w:p>
            <w:pPr>
              <w:spacing w:after="0"/>
              <w:rPr>
                <w:sz w:val="24"/>
                <w:szCs w:val="24"/>
                <w:color w:val="auto"/>
              </w:rPr>
            </w:pPr>
          </w:p>
        </w:tc>
        <w:tc>
          <w:tcPr>
            <w:tcW w:w="1160" w:type="dxa"/>
            <w:vAlign w:val="bottom"/>
            <w:tcBorders>
              <w:bottom w:val="single" w:sz="8" w:color="2360A6"/>
            </w:tcBorders>
          </w:tcPr>
          <w:p>
            <w:pPr>
              <w:spacing w:after="0"/>
              <w:rPr>
                <w:sz w:val="24"/>
                <w:szCs w:val="24"/>
                <w:color w:val="auto"/>
              </w:rPr>
            </w:pPr>
          </w:p>
        </w:tc>
        <w:tc>
          <w:tcPr>
            <w:tcW w:w="1180" w:type="dxa"/>
            <w:vAlign w:val="bottom"/>
            <w:tcBorders>
              <w:bottom w:val="single" w:sz="8" w:color="2360A6"/>
            </w:tcBorders>
          </w:tcPr>
          <w:p>
            <w:pPr>
              <w:spacing w:after="0"/>
              <w:rPr>
                <w:sz w:val="24"/>
                <w:szCs w:val="24"/>
                <w:color w:val="auto"/>
              </w:rPr>
            </w:pPr>
          </w:p>
        </w:tc>
        <w:tc>
          <w:tcPr>
            <w:tcW w:w="1280" w:type="dxa"/>
            <w:vAlign w:val="bottom"/>
            <w:tcBorders>
              <w:bottom w:val="single" w:sz="8" w:color="2360A6"/>
            </w:tcBorders>
          </w:tcPr>
          <w:p>
            <w:pPr>
              <w:spacing w:after="0"/>
              <w:rPr>
                <w:sz w:val="24"/>
                <w:szCs w:val="24"/>
                <w:color w:val="auto"/>
              </w:rPr>
            </w:pPr>
          </w:p>
        </w:tc>
        <w:tc>
          <w:tcPr>
            <w:tcW w:w="1160" w:type="dxa"/>
            <w:vAlign w:val="bottom"/>
            <w:tcBorders>
              <w:bottom w:val="single" w:sz="8" w:color="2360A6"/>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4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980" w:type="dxa"/>
            <w:vAlign w:val="bottom"/>
            <w:tcBorders>
              <w:bottom w:val="single" w:sz="8" w:color="2360A6"/>
            </w:tcBorders>
          </w:tcPr>
          <w:p>
            <w:pPr>
              <w:spacing w:after="0"/>
              <w:rPr>
                <w:sz w:val="17"/>
                <w:szCs w:val="17"/>
                <w:color w:val="auto"/>
              </w:rPr>
            </w:pPr>
          </w:p>
        </w:tc>
        <w:tc>
          <w:tcPr>
            <w:tcW w:w="1500" w:type="dxa"/>
            <w:vAlign w:val="bottom"/>
            <w:tcBorders>
              <w:bottom w:val="single" w:sz="8" w:color="2360A6"/>
            </w:tcBorders>
          </w:tcPr>
          <w:p>
            <w:pPr>
              <w:spacing w:after="0"/>
              <w:rPr>
                <w:sz w:val="17"/>
                <w:szCs w:val="17"/>
                <w:color w:val="auto"/>
              </w:rPr>
            </w:pPr>
          </w:p>
        </w:tc>
        <w:tc>
          <w:tcPr>
            <w:tcW w:w="2340" w:type="dxa"/>
            <w:vAlign w:val="bottom"/>
            <w:tcBorders>
              <w:bottom w:val="single" w:sz="8" w:color="2360A6"/>
            </w:tcBorders>
            <w:gridSpan w:val="2"/>
          </w:tcPr>
          <w:p>
            <w:pPr>
              <w:jc w:val="right"/>
              <w:ind w:right="296"/>
              <w:spacing w:after="0"/>
              <w:rPr>
                <w:sz w:val="20"/>
                <w:szCs w:val="20"/>
                <w:color w:val="auto"/>
              </w:rPr>
            </w:pPr>
            <w:r>
              <w:rPr>
                <w:rFonts w:ascii="Arial" w:cs="Arial" w:eastAsia="Arial" w:hAnsi="Arial"/>
                <w:sz w:val="14"/>
                <w:szCs w:val="14"/>
                <w:b w:val="1"/>
                <w:bCs w:val="1"/>
                <w:color w:val="2360A6"/>
              </w:rPr>
              <w:t>As of December 31, 2015</w:t>
            </w:r>
          </w:p>
        </w:tc>
        <w:tc>
          <w:tcPr>
            <w:tcW w:w="1280" w:type="dxa"/>
            <w:vAlign w:val="bottom"/>
            <w:tcBorders>
              <w:bottom w:val="single" w:sz="8" w:color="2360A6"/>
            </w:tcBorders>
          </w:tcPr>
          <w:p>
            <w:pPr>
              <w:spacing w:after="0"/>
              <w:rPr>
                <w:sz w:val="17"/>
                <w:szCs w:val="17"/>
                <w:color w:val="auto"/>
              </w:rPr>
            </w:pPr>
          </w:p>
        </w:tc>
        <w:tc>
          <w:tcPr>
            <w:tcW w:w="1160" w:type="dxa"/>
            <w:vAlign w:val="bottom"/>
            <w:tcBorders>
              <w:bottom w:val="single" w:sz="8" w:color="2360A6"/>
              <w:right w:val="single" w:sz="8" w:color="2360A6"/>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Financial Liabilities (by Type of Financial</w:t>
            </w:r>
          </w:p>
        </w:tc>
        <w:tc>
          <w:tcPr>
            <w:tcW w:w="980" w:type="dxa"/>
            <w:vAlign w:val="bottom"/>
            <w:tcBorders>
              <w:right w:val="single" w:sz="8" w:color="2360A6"/>
            </w:tcBorders>
          </w:tcPr>
          <w:p>
            <w:pPr>
              <w:spacing w:after="0"/>
              <w:rPr>
                <w:sz w:val="15"/>
                <w:szCs w:val="15"/>
                <w:color w:val="auto"/>
              </w:rPr>
            </w:pPr>
          </w:p>
        </w:tc>
        <w:tc>
          <w:tcPr>
            <w:tcW w:w="1500" w:type="dxa"/>
            <w:vAlign w:val="bottom"/>
            <w:tcBorders>
              <w:right w:val="single" w:sz="8" w:color="2360A6"/>
            </w:tcBorders>
          </w:tcPr>
          <w:p>
            <w:pPr>
              <w:spacing w:after="0"/>
              <w:rPr>
                <w:sz w:val="15"/>
                <w:szCs w:val="15"/>
                <w:color w:val="auto"/>
              </w:rPr>
            </w:pPr>
          </w:p>
        </w:tc>
        <w:tc>
          <w:tcPr>
            <w:tcW w:w="1160" w:type="dxa"/>
            <w:vAlign w:val="bottom"/>
            <w:tcBorders>
              <w:right w:val="single" w:sz="8" w:color="2360A6"/>
            </w:tcBorders>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Borders>
              <w:right w:val="single" w:sz="8" w:color="2360A6"/>
            </w:tcBorders>
          </w:tcPr>
          <w:p>
            <w:pPr>
              <w:spacing w:after="0"/>
              <w:rPr>
                <w:sz w:val="15"/>
                <w:szCs w:val="15"/>
                <w:color w:val="auto"/>
              </w:rPr>
            </w:pPr>
          </w:p>
        </w:tc>
        <w:tc>
          <w:tcPr>
            <w:tcW w:w="1160" w:type="dxa"/>
            <w:vAlign w:val="bottom"/>
            <w:tcBorders>
              <w:right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Instruments)</w:t>
            </w:r>
          </w:p>
        </w:tc>
        <w:tc>
          <w:tcPr>
            <w:tcW w:w="98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b w:val="1"/>
                <w:bCs w:val="1"/>
                <w:color w:val="2360A6"/>
              </w:rPr>
              <w:t>a</w:t>
            </w:r>
          </w:p>
        </w:tc>
        <w:tc>
          <w:tcPr>
            <w:tcW w:w="1500" w:type="dxa"/>
            <w:vAlign w:val="bottom"/>
            <w:tcBorders>
              <w:bottom w:val="single" w:sz="8" w:color="2360A6"/>
              <w:right w:val="single" w:sz="8" w:color="2360A6"/>
            </w:tcBorders>
          </w:tcPr>
          <w:p>
            <w:pPr>
              <w:jc w:val="right"/>
              <w:ind w:right="1336"/>
              <w:spacing w:after="0"/>
              <w:rPr>
                <w:sz w:val="20"/>
                <w:szCs w:val="20"/>
                <w:color w:val="auto"/>
              </w:rPr>
            </w:pPr>
            <w:r>
              <w:rPr>
                <w:rFonts w:ascii="Arial" w:cs="Arial" w:eastAsia="Arial" w:hAnsi="Arial"/>
                <w:sz w:val="13"/>
                <w:szCs w:val="13"/>
                <w:b w:val="1"/>
                <w:bCs w:val="1"/>
                <w:color w:val="2360A6"/>
              </w:rPr>
              <w:t>b</w:t>
            </w:r>
          </w:p>
        </w:tc>
        <w:tc>
          <w:tcPr>
            <w:tcW w:w="1160" w:type="dxa"/>
            <w:vAlign w:val="bottom"/>
            <w:tcBorders>
              <w:bottom w:val="single" w:sz="8" w:color="2360A6"/>
              <w:right w:val="single" w:sz="8" w:color="2360A6"/>
            </w:tcBorders>
          </w:tcPr>
          <w:p>
            <w:pPr>
              <w:jc w:val="right"/>
              <w:ind w:right="1015"/>
              <w:spacing w:after="0"/>
              <w:rPr>
                <w:sz w:val="20"/>
                <w:szCs w:val="20"/>
                <w:color w:val="auto"/>
              </w:rPr>
            </w:pPr>
            <w:r>
              <w:rPr>
                <w:rFonts w:ascii="Arial" w:cs="Arial" w:eastAsia="Arial" w:hAnsi="Arial"/>
                <w:sz w:val="13"/>
                <w:szCs w:val="13"/>
                <w:b w:val="1"/>
                <w:bCs w:val="1"/>
                <w:color w:val="2360A6"/>
                <w:w w:val="82"/>
              </w:rPr>
              <w:t>c</w:t>
            </w:r>
          </w:p>
        </w:tc>
        <w:tc>
          <w:tcPr>
            <w:tcW w:w="1180" w:type="dxa"/>
            <w:vAlign w:val="bottom"/>
            <w:tcBorders>
              <w:bottom w:val="single" w:sz="8" w:color="2360A6"/>
            </w:tcBorders>
          </w:tcPr>
          <w:p>
            <w:pPr>
              <w:ind w:left="40"/>
              <w:spacing w:after="0"/>
              <w:rPr>
                <w:sz w:val="20"/>
                <w:szCs w:val="20"/>
                <w:color w:val="auto"/>
              </w:rPr>
            </w:pPr>
            <w:r>
              <w:rPr>
                <w:rFonts w:ascii="Arial" w:cs="Arial" w:eastAsia="Arial" w:hAnsi="Arial"/>
                <w:sz w:val="13"/>
                <w:szCs w:val="13"/>
                <w:b w:val="1"/>
                <w:bCs w:val="1"/>
                <w:color w:val="2360A6"/>
              </w:rPr>
              <w:t>d</w:t>
            </w:r>
          </w:p>
        </w:tc>
        <w:tc>
          <w:tcPr>
            <w:tcW w:w="1280" w:type="dxa"/>
            <w:vAlign w:val="bottom"/>
            <w:tcBorders>
              <w:bottom w:val="single" w:sz="8" w:color="2360A6"/>
              <w:right w:val="single" w:sz="8" w:color="2360A6"/>
            </w:tcBorders>
          </w:tcPr>
          <w:p>
            <w:pPr>
              <w:spacing w:after="0"/>
              <w:rPr>
                <w:sz w:val="17"/>
                <w:szCs w:val="17"/>
                <w:color w:val="auto"/>
              </w:rPr>
            </w:pPr>
          </w:p>
        </w:tc>
        <w:tc>
          <w:tcPr>
            <w:tcW w:w="1160" w:type="dxa"/>
            <w:vAlign w:val="bottom"/>
            <w:tcBorders>
              <w:bottom w:val="single" w:sz="8" w:color="2360A6"/>
              <w:right w:val="single" w:sz="8" w:color="2360A6"/>
            </w:tcBorders>
          </w:tcPr>
          <w:p>
            <w:pPr>
              <w:jc w:val="right"/>
              <w:ind w:right="1015"/>
              <w:spacing w:after="0"/>
              <w:rPr>
                <w:sz w:val="20"/>
                <w:szCs w:val="20"/>
                <w:color w:val="auto"/>
              </w:rPr>
            </w:pPr>
            <w:r>
              <w:rPr>
                <w:rFonts w:ascii="Arial" w:cs="Arial" w:eastAsia="Arial" w:hAnsi="Arial"/>
                <w:sz w:val="13"/>
                <w:szCs w:val="13"/>
                <w:b w:val="1"/>
                <w:bCs w:val="1"/>
                <w:color w:val="2360A6"/>
                <w:w w:val="82"/>
              </w:rPr>
              <w:t>e</w:t>
            </w:r>
          </w:p>
        </w:tc>
        <w:tc>
          <w:tcPr>
            <w:tcW w:w="0" w:type="dxa"/>
            <w:vAlign w:val="bottom"/>
          </w:tcPr>
          <w:p>
            <w:pPr>
              <w:spacing w:after="0"/>
              <w:rPr>
                <w:sz w:val="1"/>
                <w:szCs w:val="1"/>
                <w:color w:val="auto"/>
              </w:rPr>
            </w:pPr>
          </w:p>
        </w:tc>
      </w:tr>
      <w:tr>
        <w:trPr>
          <w:trHeight w:val="342"/>
        </w:trPr>
        <w:tc>
          <w:tcPr>
            <w:tcW w:w="3440" w:type="dxa"/>
            <w:vAlign w:val="bottom"/>
            <w:tcBorders>
              <w:left w:val="single" w:sz="8" w:color="2360A6"/>
              <w:right w:val="single" w:sz="8" w:color="2360A6"/>
            </w:tcBorders>
          </w:tcPr>
          <w:p>
            <w:pPr>
              <w:spacing w:after="0"/>
              <w:rPr>
                <w:sz w:val="24"/>
                <w:szCs w:val="24"/>
                <w:color w:val="auto"/>
              </w:rPr>
            </w:pPr>
          </w:p>
        </w:tc>
        <w:tc>
          <w:tcPr>
            <w:tcW w:w="980" w:type="dxa"/>
            <w:vAlign w:val="bottom"/>
            <w:tcBorders>
              <w:right w:val="single" w:sz="8" w:color="2360A6"/>
            </w:tcBorders>
          </w:tcPr>
          <w:p>
            <w:pPr>
              <w:spacing w:after="0"/>
              <w:rPr>
                <w:sz w:val="24"/>
                <w:szCs w:val="24"/>
                <w:color w:val="auto"/>
              </w:rPr>
            </w:pPr>
          </w:p>
        </w:tc>
        <w:tc>
          <w:tcPr>
            <w:tcW w:w="1500" w:type="dxa"/>
            <w:vAlign w:val="bottom"/>
            <w:tcBorders>
              <w:right w:val="single" w:sz="8" w:color="2360A6"/>
            </w:tcBorders>
          </w:tcPr>
          <w:p>
            <w:pPr>
              <w:jc w:val="right"/>
              <w:ind w:right="76"/>
              <w:spacing w:after="0"/>
              <w:rPr>
                <w:sz w:val="20"/>
                <w:szCs w:val="20"/>
                <w:color w:val="auto"/>
              </w:rPr>
            </w:pPr>
            <w:r>
              <w:rPr>
                <w:rFonts w:ascii="Arial" w:cs="Arial" w:eastAsia="Arial" w:hAnsi="Arial"/>
                <w:sz w:val="13"/>
                <w:szCs w:val="13"/>
                <w:b w:val="1"/>
                <w:bCs w:val="1"/>
                <w:color w:val="2360A6"/>
              </w:rPr>
              <w:t>Gross Amounts Set</w:t>
            </w:r>
          </w:p>
        </w:tc>
        <w:tc>
          <w:tcPr>
            <w:tcW w:w="1160" w:type="dxa"/>
            <w:vAlign w:val="bottom"/>
            <w:tcBorders>
              <w:right w:val="single" w:sz="8" w:color="2360A6"/>
            </w:tcBorders>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Borders>
              <w:right w:val="single" w:sz="8" w:color="2360A6"/>
            </w:tcBorders>
          </w:tcPr>
          <w:p>
            <w:pPr>
              <w:spacing w:after="0"/>
              <w:rPr>
                <w:sz w:val="24"/>
                <w:szCs w:val="24"/>
                <w:color w:val="auto"/>
              </w:rPr>
            </w:pPr>
          </w:p>
        </w:tc>
        <w:tc>
          <w:tcPr>
            <w:tcW w:w="1160" w:type="dxa"/>
            <w:vAlign w:val="bottom"/>
            <w:tcBorders>
              <w:right w:val="single" w:sz="8" w:color="2360A6"/>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1500" w:type="dxa"/>
            <w:vAlign w:val="bottom"/>
            <w:tcBorders>
              <w:right w:val="single" w:sz="8" w:color="2360A6"/>
            </w:tcBorders>
          </w:tcPr>
          <w:p>
            <w:pPr>
              <w:jc w:val="right"/>
              <w:ind w:right="76"/>
              <w:spacing w:after="0" w:line="135" w:lineRule="exact"/>
              <w:rPr>
                <w:sz w:val="20"/>
                <w:szCs w:val="20"/>
                <w:color w:val="auto"/>
              </w:rPr>
            </w:pPr>
            <w:r>
              <w:rPr>
                <w:rFonts w:ascii="Arial" w:cs="Arial" w:eastAsia="Arial" w:hAnsi="Arial"/>
                <w:sz w:val="13"/>
                <w:szCs w:val="13"/>
                <w:b w:val="1"/>
                <w:bCs w:val="1"/>
                <w:color w:val="2360A6"/>
              </w:rPr>
              <w:t>off in the Financial</w:t>
            </w:r>
          </w:p>
        </w:tc>
        <w:tc>
          <w:tcPr>
            <w:tcW w:w="116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Net Amounts</w:t>
            </w:r>
          </w:p>
        </w:tc>
        <w:tc>
          <w:tcPr>
            <w:tcW w:w="1180" w:type="dxa"/>
            <w:vAlign w:val="bottom"/>
          </w:tcPr>
          <w:p>
            <w:pPr>
              <w:spacing w:after="0"/>
              <w:rPr>
                <w:sz w:val="11"/>
                <w:szCs w:val="11"/>
                <w:color w:val="auto"/>
              </w:rPr>
            </w:pPr>
          </w:p>
        </w:tc>
        <w:tc>
          <w:tcPr>
            <w:tcW w:w="1280" w:type="dxa"/>
            <w:vAlign w:val="bottom"/>
            <w:tcBorders>
              <w:right w:val="single" w:sz="8" w:color="2360A6"/>
            </w:tcBorders>
          </w:tcPr>
          <w:p>
            <w:pPr>
              <w:spacing w:after="0"/>
              <w:rPr>
                <w:sz w:val="11"/>
                <w:szCs w:val="11"/>
                <w:color w:val="auto"/>
              </w:rPr>
            </w:pPr>
          </w:p>
        </w:tc>
        <w:tc>
          <w:tcPr>
            <w:tcW w:w="1160" w:type="dxa"/>
            <w:vAlign w:val="bottom"/>
            <w:tcBorders>
              <w:right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w w:val="99"/>
              </w:rPr>
              <w:t>Gross Amount</w:t>
            </w:r>
          </w:p>
        </w:tc>
        <w:tc>
          <w:tcPr>
            <w:tcW w:w="1500" w:type="dxa"/>
            <w:vAlign w:val="bottom"/>
            <w:tcBorders>
              <w:right w:val="single" w:sz="8" w:color="2360A6"/>
            </w:tcBorders>
          </w:tcPr>
          <w:p>
            <w:pPr>
              <w:jc w:val="right"/>
              <w:ind w:right="76"/>
              <w:spacing w:after="0" w:line="135" w:lineRule="exact"/>
              <w:rPr>
                <w:sz w:val="20"/>
                <w:szCs w:val="20"/>
                <w:color w:val="auto"/>
              </w:rPr>
            </w:pPr>
            <w:r>
              <w:rPr>
                <w:rFonts w:ascii="Arial" w:cs="Arial" w:eastAsia="Arial" w:hAnsi="Arial"/>
                <w:sz w:val="13"/>
                <w:szCs w:val="13"/>
                <w:b w:val="1"/>
                <w:bCs w:val="1"/>
                <w:color w:val="2360A6"/>
              </w:rPr>
              <w:t>Statements</w:t>
            </w:r>
          </w:p>
        </w:tc>
        <w:tc>
          <w:tcPr>
            <w:tcW w:w="116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Recorded in the</w:t>
            </w:r>
          </w:p>
        </w:tc>
        <w:tc>
          <w:tcPr>
            <w:tcW w:w="2460" w:type="dxa"/>
            <w:vAlign w:val="bottom"/>
            <w:tcBorders>
              <w:right w:val="single" w:sz="8" w:color="2360A6"/>
            </w:tcBorders>
            <w:gridSpan w:val="2"/>
          </w:tcPr>
          <w:p>
            <w:pPr>
              <w:jc w:val="right"/>
              <w:ind w:right="55"/>
              <w:spacing w:after="0" w:line="135" w:lineRule="exact"/>
              <w:rPr>
                <w:sz w:val="20"/>
                <w:szCs w:val="20"/>
                <w:color w:val="auto"/>
              </w:rPr>
            </w:pPr>
            <w:r>
              <w:rPr>
                <w:rFonts w:ascii="Arial" w:cs="Arial" w:eastAsia="Arial" w:hAnsi="Arial"/>
                <w:sz w:val="13"/>
                <w:szCs w:val="13"/>
                <w:b w:val="1"/>
                <w:bCs w:val="1"/>
                <w:color w:val="2360A6"/>
              </w:rPr>
              <w:t>Related Amounts not Set off in the</w:t>
            </w:r>
          </w:p>
        </w:tc>
        <w:tc>
          <w:tcPr>
            <w:tcW w:w="1160" w:type="dxa"/>
            <w:vAlign w:val="bottom"/>
            <w:tcBorders>
              <w:right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(before</w:t>
            </w:r>
          </w:p>
        </w:tc>
        <w:tc>
          <w:tcPr>
            <w:tcW w:w="1500" w:type="dxa"/>
            <w:vAlign w:val="bottom"/>
            <w:tcBorders>
              <w:right w:val="single" w:sz="8" w:color="2360A6"/>
            </w:tcBorders>
          </w:tcPr>
          <w:p>
            <w:pPr>
              <w:jc w:val="right"/>
              <w:ind w:right="76"/>
              <w:spacing w:after="0" w:line="135" w:lineRule="exact"/>
              <w:rPr>
                <w:sz w:val="20"/>
                <w:szCs w:val="20"/>
                <w:color w:val="auto"/>
              </w:rPr>
            </w:pPr>
            <w:r>
              <w:rPr>
                <w:rFonts w:ascii="Arial" w:cs="Arial" w:eastAsia="Arial" w:hAnsi="Arial"/>
                <w:sz w:val="13"/>
                <w:szCs w:val="13"/>
                <w:b w:val="1"/>
                <w:bCs w:val="1"/>
                <w:color w:val="2360A6"/>
              </w:rPr>
              <w:t>(according to</w:t>
            </w:r>
          </w:p>
        </w:tc>
        <w:tc>
          <w:tcPr>
            <w:tcW w:w="116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Financial</w:t>
            </w:r>
          </w:p>
        </w:tc>
        <w:tc>
          <w:tcPr>
            <w:tcW w:w="2460" w:type="dxa"/>
            <w:vAlign w:val="bottom"/>
            <w:tcBorders>
              <w:right w:val="single" w:sz="8" w:color="2360A6"/>
            </w:tcBorders>
            <w:gridSpan w:val="2"/>
          </w:tcPr>
          <w:p>
            <w:pPr>
              <w:jc w:val="right"/>
              <w:ind w:right="55"/>
              <w:spacing w:after="0" w:line="135" w:lineRule="exact"/>
              <w:rPr>
                <w:sz w:val="20"/>
                <w:szCs w:val="20"/>
                <w:color w:val="auto"/>
              </w:rPr>
            </w:pPr>
            <w:r>
              <w:rPr>
                <w:rFonts w:ascii="Arial" w:cs="Arial" w:eastAsia="Arial" w:hAnsi="Arial"/>
                <w:sz w:val="13"/>
                <w:szCs w:val="13"/>
                <w:b w:val="1"/>
                <w:bCs w:val="1"/>
                <w:color w:val="2360A6"/>
              </w:rPr>
              <w:t>Statement of Financial Position (not</w:t>
            </w:r>
          </w:p>
        </w:tc>
        <w:tc>
          <w:tcPr>
            <w:tcW w:w="1160" w:type="dxa"/>
            <w:vAlign w:val="bottom"/>
            <w:tcBorders>
              <w:right w:val="single" w:sz="8" w:color="2360A6"/>
            </w:tcBorders>
          </w:tcPr>
          <w:p>
            <w:pPr>
              <w:jc w:val="right"/>
              <w:ind w:right="55"/>
              <w:spacing w:after="0" w:line="135" w:lineRule="exact"/>
              <w:rPr>
                <w:sz w:val="20"/>
                <w:szCs w:val="20"/>
                <w:color w:val="auto"/>
              </w:rPr>
            </w:pPr>
            <w:r>
              <w:rPr>
                <w:rFonts w:ascii="Arial" w:cs="Arial" w:eastAsia="Arial" w:hAnsi="Arial"/>
                <w:sz w:val="13"/>
                <w:szCs w:val="13"/>
                <w:b w:val="1"/>
                <w:bCs w:val="1"/>
                <w:color w:val="2360A6"/>
              </w:rPr>
              <w:t>Net</w:t>
            </w:r>
          </w:p>
        </w:tc>
        <w:tc>
          <w:tcPr>
            <w:tcW w:w="0" w:type="dxa"/>
            <w:vAlign w:val="bottom"/>
          </w:tcPr>
          <w:p>
            <w:pPr>
              <w:spacing w:after="0"/>
              <w:rPr>
                <w:sz w:val="1"/>
                <w:szCs w:val="1"/>
                <w:color w:val="auto"/>
              </w:rPr>
            </w:pPr>
          </w:p>
        </w:tc>
      </w:tr>
      <w:tr>
        <w:trPr>
          <w:trHeight w:val="178"/>
        </w:trPr>
        <w:tc>
          <w:tcPr>
            <w:tcW w:w="3440" w:type="dxa"/>
            <w:vAlign w:val="bottom"/>
            <w:tcBorders>
              <w:left w:val="single" w:sz="8" w:color="2360A6"/>
              <w:right w:val="single" w:sz="8" w:color="2360A6"/>
            </w:tcBorders>
          </w:tcPr>
          <w:p>
            <w:pPr>
              <w:spacing w:after="0"/>
              <w:rPr>
                <w:sz w:val="15"/>
                <w:szCs w:val="15"/>
                <w:color w:val="auto"/>
              </w:rPr>
            </w:pPr>
          </w:p>
        </w:tc>
        <w:tc>
          <w:tcPr>
            <w:tcW w:w="9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Offsetting)</w:t>
            </w:r>
          </w:p>
        </w:tc>
        <w:tc>
          <w:tcPr>
            <w:tcW w:w="1500" w:type="dxa"/>
            <w:vAlign w:val="bottom"/>
            <w:tcBorders>
              <w:bottom w:val="single" w:sz="8" w:color="2360A6"/>
              <w:right w:val="single" w:sz="8" w:color="2360A6"/>
            </w:tcBorders>
          </w:tcPr>
          <w:p>
            <w:pPr>
              <w:jc w:val="right"/>
              <w:ind w:right="76"/>
              <w:spacing w:after="0"/>
              <w:rPr>
                <w:sz w:val="20"/>
                <w:szCs w:val="20"/>
                <w:color w:val="auto"/>
              </w:rPr>
            </w:pPr>
            <w:r>
              <w:rPr>
                <w:rFonts w:ascii="Arial" w:cs="Arial" w:eastAsia="Arial" w:hAnsi="Arial"/>
                <w:sz w:val="13"/>
                <w:szCs w:val="13"/>
                <w:b w:val="1"/>
                <w:bCs w:val="1"/>
                <w:color w:val="2360A6"/>
              </w:rPr>
              <w:t>IAS 32)</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Statements (a- b)</w:t>
            </w:r>
          </w:p>
        </w:tc>
        <w:tc>
          <w:tcPr>
            <w:tcW w:w="2460" w:type="dxa"/>
            <w:vAlign w:val="bottom"/>
            <w:tcBorders>
              <w:bottom w:val="single" w:sz="8" w:color="2360A6"/>
              <w:right w:val="single" w:sz="8" w:color="2360A6"/>
            </w:tcBorders>
            <w:gridSpan w:val="2"/>
          </w:tcPr>
          <w:p>
            <w:pPr>
              <w:jc w:val="right"/>
              <w:ind w:right="55"/>
              <w:spacing w:after="0"/>
              <w:rPr>
                <w:sz w:val="20"/>
                <w:szCs w:val="20"/>
                <w:color w:val="auto"/>
              </w:rPr>
            </w:pPr>
            <w:r>
              <w:rPr>
                <w:rFonts w:ascii="Arial" w:cs="Arial" w:eastAsia="Arial" w:hAnsi="Arial"/>
                <w:sz w:val="13"/>
                <w:szCs w:val="13"/>
                <w:b w:val="1"/>
                <w:bCs w:val="1"/>
                <w:color w:val="2360A6"/>
              </w:rPr>
              <w:t>Meeting Offsetting Criteria IAS 32)</w:t>
            </w:r>
          </w:p>
        </w:tc>
        <w:tc>
          <w:tcPr>
            <w:tcW w:w="1160" w:type="dxa"/>
            <w:vAlign w:val="bottom"/>
            <w:tcBorders>
              <w:bottom w:val="single" w:sz="8" w:color="2360A6"/>
              <w:right w:val="single" w:sz="8" w:color="2360A6"/>
            </w:tcBorders>
          </w:tcPr>
          <w:p>
            <w:pPr>
              <w:jc w:val="right"/>
              <w:ind w:right="55"/>
              <w:spacing w:after="0"/>
              <w:rPr>
                <w:sz w:val="20"/>
                <w:szCs w:val="20"/>
                <w:color w:val="auto"/>
              </w:rPr>
            </w:pPr>
            <w:r>
              <w:rPr>
                <w:rFonts w:ascii="Arial" w:cs="Arial" w:eastAsia="Arial" w:hAnsi="Arial"/>
                <w:sz w:val="13"/>
                <w:szCs w:val="13"/>
                <w:b w:val="1"/>
                <w:bCs w:val="1"/>
                <w:color w:val="2360A6"/>
              </w:rPr>
              <w:t>Amount (c- d)</w:t>
            </w:r>
          </w:p>
        </w:tc>
        <w:tc>
          <w:tcPr>
            <w:tcW w:w="0" w:type="dxa"/>
            <w:vAlign w:val="bottom"/>
          </w:tcPr>
          <w:p>
            <w:pPr>
              <w:spacing w:after="0"/>
              <w:rPr>
                <w:sz w:val="1"/>
                <w:szCs w:val="1"/>
                <w:color w:val="auto"/>
              </w:rPr>
            </w:pPr>
          </w:p>
        </w:tc>
      </w:tr>
      <w:tr>
        <w:trPr>
          <w:trHeight w:val="208"/>
        </w:trPr>
        <w:tc>
          <w:tcPr>
            <w:tcW w:w="3440" w:type="dxa"/>
            <w:vAlign w:val="bottom"/>
            <w:tcBorders>
              <w:left w:val="single" w:sz="8" w:color="2360A6"/>
              <w:right w:val="single" w:sz="8" w:color="2360A6"/>
            </w:tcBorders>
          </w:tcPr>
          <w:p>
            <w:pPr>
              <w:spacing w:after="0"/>
              <w:rPr>
                <w:sz w:val="18"/>
                <w:szCs w:val="18"/>
                <w:color w:val="auto"/>
              </w:rPr>
            </w:pPr>
          </w:p>
        </w:tc>
        <w:tc>
          <w:tcPr>
            <w:tcW w:w="980" w:type="dxa"/>
            <w:vAlign w:val="bottom"/>
            <w:tcBorders>
              <w:right w:val="single" w:sz="8" w:color="2360A6"/>
            </w:tcBorders>
          </w:tcPr>
          <w:p>
            <w:pPr>
              <w:spacing w:after="0"/>
              <w:rPr>
                <w:sz w:val="18"/>
                <w:szCs w:val="18"/>
                <w:color w:val="auto"/>
              </w:rPr>
            </w:pPr>
          </w:p>
        </w:tc>
        <w:tc>
          <w:tcPr>
            <w:tcW w:w="1500" w:type="dxa"/>
            <w:vAlign w:val="bottom"/>
            <w:tcBorders>
              <w:right w:val="single" w:sz="8" w:color="2360A6"/>
            </w:tcBorders>
          </w:tcPr>
          <w:p>
            <w:pPr>
              <w:spacing w:after="0"/>
              <w:rPr>
                <w:sz w:val="18"/>
                <w:szCs w:val="18"/>
                <w:color w:val="auto"/>
              </w:rPr>
            </w:pPr>
          </w:p>
        </w:tc>
        <w:tc>
          <w:tcPr>
            <w:tcW w:w="1160" w:type="dxa"/>
            <w:vAlign w:val="bottom"/>
            <w:tcBorders>
              <w:right w:val="single" w:sz="8" w:color="2360A6"/>
            </w:tcBorders>
          </w:tcPr>
          <w:p>
            <w:pPr>
              <w:spacing w:after="0"/>
              <w:rPr>
                <w:sz w:val="18"/>
                <w:szCs w:val="18"/>
                <w:color w:val="auto"/>
              </w:rPr>
            </w:pPr>
          </w:p>
        </w:tc>
        <w:tc>
          <w:tcPr>
            <w:tcW w:w="1180" w:type="dxa"/>
            <w:vAlign w:val="bottom"/>
            <w:tcBorders>
              <w:right w:val="single" w:sz="8" w:color="2360A6"/>
            </w:tcBorders>
          </w:tcPr>
          <w:p>
            <w:pPr>
              <w:spacing w:after="0"/>
              <w:rPr>
                <w:sz w:val="18"/>
                <w:szCs w:val="18"/>
                <w:color w:val="auto"/>
              </w:rPr>
            </w:pPr>
          </w:p>
        </w:tc>
        <w:tc>
          <w:tcPr>
            <w:tcW w:w="1280" w:type="dxa"/>
            <w:vAlign w:val="bottom"/>
            <w:tcBorders>
              <w:right w:val="single" w:sz="8" w:color="2360A6"/>
            </w:tcBorders>
          </w:tcPr>
          <w:p>
            <w:pPr>
              <w:jc w:val="right"/>
              <w:ind w:right="55"/>
              <w:spacing w:after="0"/>
              <w:rPr>
                <w:sz w:val="20"/>
                <w:szCs w:val="20"/>
                <w:color w:val="auto"/>
              </w:rPr>
            </w:pPr>
            <w:r>
              <w:rPr>
                <w:rFonts w:ascii="Arial" w:cs="Arial" w:eastAsia="Arial" w:hAnsi="Arial"/>
                <w:sz w:val="13"/>
                <w:szCs w:val="13"/>
                <w:b w:val="1"/>
                <w:bCs w:val="1"/>
                <w:color w:val="2360A6"/>
              </w:rPr>
              <w:t>Fair Value of</w:t>
            </w:r>
          </w:p>
        </w:tc>
        <w:tc>
          <w:tcPr>
            <w:tcW w:w="1160" w:type="dxa"/>
            <w:vAlign w:val="bottom"/>
            <w:tcBorders>
              <w:right w:val="single" w:sz="8" w:color="2360A6"/>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1500" w:type="dxa"/>
            <w:vAlign w:val="bottom"/>
            <w:tcBorders>
              <w:right w:val="single" w:sz="8" w:color="2360A6"/>
            </w:tcBorders>
          </w:tcPr>
          <w:p>
            <w:pPr>
              <w:spacing w:after="0"/>
              <w:rPr>
                <w:sz w:val="11"/>
                <w:szCs w:val="11"/>
                <w:color w:val="auto"/>
              </w:rPr>
            </w:pPr>
          </w:p>
        </w:tc>
        <w:tc>
          <w:tcPr>
            <w:tcW w:w="1160" w:type="dxa"/>
            <w:vAlign w:val="bottom"/>
            <w:tcBorders>
              <w:right w:val="single" w:sz="8" w:color="2360A6"/>
            </w:tcBorders>
          </w:tcPr>
          <w:p>
            <w:pPr>
              <w:spacing w:after="0"/>
              <w:rPr>
                <w:sz w:val="11"/>
                <w:szCs w:val="11"/>
                <w:color w:val="auto"/>
              </w:rPr>
            </w:pPr>
          </w:p>
        </w:tc>
        <w:tc>
          <w:tcPr>
            <w:tcW w:w="118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Financial</w:t>
            </w:r>
          </w:p>
        </w:tc>
        <w:tc>
          <w:tcPr>
            <w:tcW w:w="1280" w:type="dxa"/>
            <w:vAlign w:val="bottom"/>
            <w:tcBorders>
              <w:right w:val="single" w:sz="8" w:color="2360A6"/>
            </w:tcBorders>
          </w:tcPr>
          <w:p>
            <w:pPr>
              <w:jc w:val="right"/>
              <w:ind w:right="55"/>
              <w:spacing w:after="0" w:line="135" w:lineRule="exact"/>
              <w:rPr>
                <w:sz w:val="20"/>
                <w:szCs w:val="20"/>
                <w:color w:val="auto"/>
              </w:rPr>
            </w:pPr>
            <w:r>
              <w:rPr>
                <w:rFonts w:ascii="Arial" w:cs="Arial" w:eastAsia="Arial" w:hAnsi="Arial"/>
                <w:sz w:val="13"/>
                <w:szCs w:val="13"/>
                <w:b w:val="1"/>
                <w:bCs w:val="1"/>
                <w:color w:val="2360A6"/>
              </w:rPr>
              <w:t>Financial</w:t>
            </w:r>
          </w:p>
        </w:tc>
        <w:tc>
          <w:tcPr>
            <w:tcW w:w="1160" w:type="dxa"/>
            <w:vAlign w:val="bottom"/>
            <w:tcBorders>
              <w:right w:val="single" w:sz="8" w:color="2360A6"/>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440" w:type="dxa"/>
            <w:vAlign w:val="bottom"/>
            <w:tcBorders>
              <w:left w:val="single" w:sz="8" w:color="2360A6"/>
              <w:bottom w:val="single" w:sz="8" w:color="2360A6"/>
              <w:right w:val="single" w:sz="8" w:color="2360A6"/>
            </w:tcBorders>
          </w:tcPr>
          <w:p>
            <w:pPr>
              <w:spacing w:after="0"/>
              <w:rPr>
                <w:sz w:val="15"/>
                <w:szCs w:val="15"/>
                <w:color w:val="auto"/>
              </w:rPr>
            </w:pPr>
          </w:p>
        </w:tc>
        <w:tc>
          <w:tcPr>
            <w:tcW w:w="980" w:type="dxa"/>
            <w:vAlign w:val="bottom"/>
            <w:tcBorders>
              <w:bottom w:val="single" w:sz="8" w:color="2360A6"/>
              <w:right w:val="single" w:sz="8" w:color="2360A6"/>
            </w:tcBorders>
          </w:tcPr>
          <w:p>
            <w:pPr>
              <w:spacing w:after="0"/>
              <w:rPr>
                <w:sz w:val="15"/>
                <w:szCs w:val="15"/>
                <w:color w:val="auto"/>
              </w:rPr>
            </w:pPr>
          </w:p>
        </w:tc>
        <w:tc>
          <w:tcPr>
            <w:tcW w:w="1500" w:type="dxa"/>
            <w:vAlign w:val="bottom"/>
            <w:tcBorders>
              <w:bottom w:val="single" w:sz="8" w:color="2360A6"/>
              <w:right w:val="single" w:sz="8" w:color="2360A6"/>
            </w:tcBorders>
          </w:tcPr>
          <w:p>
            <w:pPr>
              <w:spacing w:after="0"/>
              <w:rPr>
                <w:sz w:val="15"/>
                <w:szCs w:val="15"/>
                <w:color w:val="auto"/>
              </w:rPr>
            </w:pPr>
          </w:p>
        </w:tc>
        <w:tc>
          <w:tcPr>
            <w:tcW w:w="1160" w:type="dxa"/>
            <w:vAlign w:val="bottom"/>
            <w:tcBorders>
              <w:bottom w:val="single" w:sz="8" w:color="2360A6"/>
              <w:right w:val="single" w:sz="8" w:color="2360A6"/>
            </w:tcBorders>
          </w:tcPr>
          <w:p>
            <w:pPr>
              <w:spacing w:after="0"/>
              <w:rPr>
                <w:sz w:val="15"/>
                <w:szCs w:val="15"/>
                <w:color w:val="auto"/>
              </w:rPr>
            </w:pPr>
          </w:p>
        </w:tc>
        <w:tc>
          <w:tcPr>
            <w:tcW w:w="11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Instruments</w:t>
            </w:r>
          </w:p>
        </w:tc>
        <w:tc>
          <w:tcPr>
            <w:tcW w:w="1280" w:type="dxa"/>
            <w:vAlign w:val="bottom"/>
            <w:tcBorders>
              <w:bottom w:val="single" w:sz="8" w:color="2360A6"/>
              <w:right w:val="single" w:sz="8" w:color="2360A6"/>
            </w:tcBorders>
          </w:tcPr>
          <w:p>
            <w:pPr>
              <w:jc w:val="right"/>
              <w:ind w:right="55"/>
              <w:spacing w:after="0"/>
              <w:rPr>
                <w:sz w:val="20"/>
                <w:szCs w:val="20"/>
                <w:color w:val="auto"/>
              </w:rPr>
            </w:pPr>
            <w:r>
              <w:rPr>
                <w:rFonts w:ascii="Arial" w:cs="Arial" w:eastAsia="Arial" w:hAnsi="Arial"/>
                <w:sz w:val="13"/>
                <w:szCs w:val="13"/>
                <w:b w:val="1"/>
                <w:bCs w:val="1"/>
                <w:color w:val="2360A6"/>
              </w:rPr>
              <w:t>Collaterals</w:t>
            </w:r>
          </w:p>
        </w:tc>
        <w:tc>
          <w:tcPr>
            <w:tcW w:w="1160" w:type="dxa"/>
            <w:vAlign w:val="bottom"/>
            <w:tcBorders>
              <w:bottom w:val="single" w:sz="8" w:color="2360A6"/>
              <w:right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40" w:type="dxa"/>
            <w:vAlign w:val="bottom"/>
            <w:tcBorders>
              <w:left w:val="single" w:sz="8" w:color="2360A6"/>
              <w:bottom w:val="single" w:sz="8" w:color="2360A6"/>
              <w:right w:val="single" w:sz="8" w:color="2360A6"/>
            </w:tcBorders>
            <w:shd w:val="clear" w:color="auto" w:fill="CCD1E7"/>
          </w:tcPr>
          <w:p>
            <w:pPr>
              <w:ind w:left="40"/>
              <w:spacing w:after="0"/>
              <w:rPr>
                <w:sz w:val="20"/>
                <w:szCs w:val="20"/>
                <w:color w:val="auto"/>
              </w:rPr>
            </w:pPr>
            <w:r>
              <w:rPr>
                <w:rFonts w:ascii="Arial" w:cs="Arial" w:eastAsia="Arial" w:hAnsi="Arial"/>
                <w:sz w:val="14"/>
                <w:szCs w:val="14"/>
                <w:b w:val="1"/>
                <w:bCs w:val="1"/>
                <w:color w:val="2360A6"/>
              </w:rPr>
              <w:t>TOTAL DERIVATIVE FINANCIAL INSTRUMENTS</w:t>
            </w:r>
          </w:p>
        </w:tc>
        <w:tc>
          <w:tcPr>
            <w:tcW w:w="98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334.4</w:t>
            </w:r>
          </w:p>
        </w:tc>
        <w:tc>
          <w:tcPr>
            <w:tcW w:w="1500" w:type="dxa"/>
            <w:vAlign w:val="bottom"/>
            <w:tcBorders>
              <w:bottom w:val="single" w:sz="8" w:color="2360A6"/>
              <w:right w:val="single" w:sz="8" w:color="2360A6"/>
            </w:tcBorders>
            <w:shd w:val="clear" w:color="auto" w:fill="CCD1E7"/>
          </w:tcPr>
          <w:p>
            <w:pPr>
              <w:jc w:val="right"/>
              <w:ind w:right="76"/>
              <w:spacing w:after="0"/>
              <w:rPr>
                <w:sz w:val="20"/>
                <w:szCs w:val="20"/>
                <w:color w:val="auto"/>
              </w:rPr>
            </w:pPr>
            <w:r>
              <w:rPr>
                <w:rFonts w:ascii="Arial" w:cs="Arial" w:eastAsia="Arial" w:hAnsi="Arial"/>
                <w:sz w:val="14"/>
                <w:szCs w:val="14"/>
                <w:b w:val="1"/>
                <w:bCs w:val="1"/>
                <w:color w:val="2360A6"/>
              </w:rPr>
              <w:t>—</w:t>
            </w:r>
          </w:p>
        </w:tc>
        <w:tc>
          <w:tcPr>
            <w:tcW w:w="116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334.4</w:t>
            </w:r>
          </w:p>
        </w:tc>
        <w:tc>
          <w:tcPr>
            <w:tcW w:w="118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47.1</w:t>
            </w:r>
          </w:p>
        </w:tc>
        <w:tc>
          <w:tcPr>
            <w:tcW w:w="1280" w:type="dxa"/>
            <w:vAlign w:val="bottom"/>
            <w:tcBorders>
              <w:bottom w:val="single" w:sz="8" w:color="2360A6"/>
              <w:right w:val="single" w:sz="8" w:color="2360A6"/>
            </w:tcBorders>
            <w:shd w:val="clear" w:color="auto" w:fill="CCD1E7"/>
          </w:tcPr>
          <w:p>
            <w:pPr>
              <w:jc w:val="right"/>
              <w:ind w:right="55"/>
              <w:spacing w:after="0"/>
              <w:rPr>
                <w:sz w:val="20"/>
                <w:szCs w:val="20"/>
                <w:color w:val="auto"/>
              </w:rPr>
            </w:pPr>
            <w:r>
              <w:rPr>
                <w:rFonts w:ascii="Arial" w:cs="Arial" w:eastAsia="Arial" w:hAnsi="Arial"/>
                <w:sz w:val="14"/>
                <w:szCs w:val="14"/>
                <w:b w:val="1"/>
                <w:bCs w:val="1"/>
                <w:color w:val="2360A6"/>
              </w:rPr>
              <w:t>—</w:t>
            </w:r>
          </w:p>
        </w:tc>
        <w:tc>
          <w:tcPr>
            <w:tcW w:w="1160" w:type="dxa"/>
            <w:vAlign w:val="bottom"/>
            <w:tcBorders>
              <w:bottom w:val="single" w:sz="8" w:color="2360A6"/>
              <w:right w:val="single" w:sz="8" w:color="2360A6"/>
            </w:tcBorders>
            <w:shd w:val="clear" w:color="auto" w:fill="CCD1E7"/>
          </w:tcPr>
          <w:p>
            <w:pPr>
              <w:jc w:val="right"/>
              <w:ind w:right="55"/>
              <w:spacing w:after="0"/>
              <w:rPr>
                <w:sz w:val="20"/>
                <w:szCs w:val="20"/>
                <w:color w:val="auto"/>
              </w:rPr>
            </w:pPr>
            <w:r>
              <w:rPr>
                <w:rFonts w:ascii="Arial" w:cs="Arial" w:eastAsia="Arial" w:hAnsi="Arial"/>
                <w:sz w:val="14"/>
                <w:szCs w:val="14"/>
                <w:b w:val="1"/>
                <w:bCs w:val="1"/>
                <w:color w:val="2360A6"/>
              </w:rPr>
              <w:t>287.3</w:t>
            </w:r>
          </w:p>
        </w:tc>
        <w:tc>
          <w:tcPr>
            <w:tcW w:w="0" w:type="dxa"/>
            <w:vAlign w:val="bottom"/>
          </w:tcPr>
          <w:p>
            <w:pPr>
              <w:spacing w:after="0"/>
              <w:rPr>
                <w:sz w:val="1"/>
                <w:szCs w:val="1"/>
                <w:color w:val="auto"/>
              </w:rPr>
            </w:pPr>
          </w:p>
        </w:tc>
      </w:tr>
      <w:tr>
        <w:trPr>
          <w:trHeight w:val="175"/>
        </w:trPr>
        <w:tc>
          <w:tcPr>
            <w:tcW w:w="3440" w:type="dxa"/>
            <w:vAlign w:val="bottom"/>
            <w:tcBorders>
              <w:bottom w:val="single" w:sz="8" w:color="2360A6"/>
            </w:tcBorders>
          </w:tcPr>
          <w:p>
            <w:pPr>
              <w:spacing w:after="0"/>
              <w:rPr>
                <w:sz w:val="15"/>
                <w:szCs w:val="15"/>
                <w:color w:val="auto"/>
              </w:rPr>
            </w:pPr>
          </w:p>
        </w:tc>
        <w:tc>
          <w:tcPr>
            <w:tcW w:w="980" w:type="dxa"/>
            <w:vAlign w:val="bottom"/>
            <w:tcBorders>
              <w:bottom w:val="single" w:sz="8" w:color="2360A6"/>
            </w:tcBorders>
          </w:tcPr>
          <w:p>
            <w:pPr>
              <w:spacing w:after="0"/>
              <w:rPr>
                <w:sz w:val="15"/>
                <w:szCs w:val="15"/>
                <w:color w:val="auto"/>
              </w:rPr>
            </w:pPr>
          </w:p>
        </w:tc>
        <w:tc>
          <w:tcPr>
            <w:tcW w:w="1500" w:type="dxa"/>
            <w:vAlign w:val="bottom"/>
            <w:tcBorders>
              <w:bottom w:val="single" w:sz="8" w:color="2360A6"/>
            </w:tcBorders>
          </w:tcPr>
          <w:p>
            <w:pPr>
              <w:spacing w:after="0"/>
              <w:rPr>
                <w:sz w:val="15"/>
                <w:szCs w:val="15"/>
                <w:color w:val="auto"/>
              </w:rPr>
            </w:pPr>
          </w:p>
        </w:tc>
        <w:tc>
          <w:tcPr>
            <w:tcW w:w="1160" w:type="dxa"/>
            <w:vAlign w:val="bottom"/>
            <w:tcBorders>
              <w:bottom w:val="single" w:sz="8" w:color="2360A6"/>
            </w:tcBorders>
          </w:tcPr>
          <w:p>
            <w:pPr>
              <w:spacing w:after="0"/>
              <w:rPr>
                <w:sz w:val="15"/>
                <w:szCs w:val="15"/>
                <w:color w:val="auto"/>
              </w:rPr>
            </w:pPr>
          </w:p>
        </w:tc>
        <w:tc>
          <w:tcPr>
            <w:tcW w:w="1180" w:type="dxa"/>
            <w:vAlign w:val="bottom"/>
            <w:tcBorders>
              <w:bottom w:val="single" w:sz="8" w:color="2360A6"/>
            </w:tcBorders>
          </w:tcPr>
          <w:p>
            <w:pPr>
              <w:spacing w:after="0"/>
              <w:rPr>
                <w:sz w:val="15"/>
                <w:szCs w:val="15"/>
                <w:color w:val="auto"/>
              </w:rPr>
            </w:pPr>
          </w:p>
        </w:tc>
        <w:tc>
          <w:tcPr>
            <w:tcW w:w="1280" w:type="dxa"/>
            <w:vAlign w:val="bottom"/>
            <w:tcBorders>
              <w:bottom w:val="single" w:sz="8" w:color="2360A6"/>
            </w:tcBorders>
          </w:tcPr>
          <w:p>
            <w:pPr>
              <w:spacing w:after="0"/>
              <w:rPr>
                <w:sz w:val="15"/>
                <w:szCs w:val="15"/>
                <w:color w:val="auto"/>
              </w:rPr>
            </w:pPr>
          </w:p>
        </w:tc>
        <w:tc>
          <w:tcPr>
            <w:tcW w:w="1160" w:type="dxa"/>
            <w:vAlign w:val="bottom"/>
            <w:tcBorders>
              <w:bottom w:val="single" w:sz="8" w:color="2360A6"/>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440" w:type="dxa"/>
            <w:vAlign w:val="bottom"/>
            <w:tcBorders>
              <w:bottom w:val="single" w:sz="8" w:color="2360A6"/>
            </w:tcBorders>
          </w:tcPr>
          <w:p>
            <w:pPr>
              <w:spacing w:after="0"/>
              <w:rPr>
                <w:sz w:val="24"/>
                <w:szCs w:val="24"/>
                <w:color w:val="auto"/>
              </w:rPr>
            </w:pPr>
          </w:p>
        </w:tc>
        <w:tc>
          <w:tcPr>
            <w:tcW w:w="980" w:type="dxa"/>
            <w:vAlign w:val="bottom"/>
            <w:tcBorders>
              <w:bottom w:val="single" w:sz="8" w:color="2360A6"/>
            </w:tcBorders>
          </w:tcPr>
          <w:p>
            <w:pPr>
              <w:spacing w:after="0"/>
              <w:rPr>
                <w:sz w:val="24"/>
                <w:szCs w:val="24"/>
                <w:color w:val="auto"/>
              </w:rPr>
            </w:pPr>
          </w:p>
        </w:tc>
        <w:tc>
          <w:tcPr>
            <w:tcW w:w="1500" w:type="dxa"/>
            <w:vAlign w:val="bottom"/>
            <w:tcBorders>
              <w:bottom w:val="single" w:sz="8" w:color="2360A6"/>
            </w:tcBorders>
          </w:tcPr>
          <w:p>
            <w:pPr>
              <w:spacing w:after="0"/>
              <w:rPr>
                <w:sz w:val="24"/>
                <w:szCs w:val="24"/>
                <w:color w:val="auto"/>
              </w:rPr>
            </w:pPr>
          </w:p>
        </w:tc>
        <w:tc>
          <w:tcPr>
            <w:tcW w:w="1160" w:type="dxa"/>
            <w:vAlign w:val="bottom"/>
            <w:tcBorders>
              <w:bottom w:val="single" w:sz="8" w:color="2360A6"/>
            </w:tcBorders>
          </w:tcPr>
          <w:p>
            <w:pPr>
              <w:spacing w:after="0"/>
              <w:rPr>
                <w:sz w:val="24"/>
                <w:szCs w:val="24"/>
                <w:color w:val="auto"/>
              </w:rPr>
            </w:pPr>
          </w:p>
        </w:tc>
        <w:tc>
          <w:tcPr>
            <w:tcW w:w="1180" w:type="dxa"/>
            <w:vAlign w:val="bottom"/>
            <w:tcBorders>
              <w:bottom w:val="single" w:sz="8" w:color="2360A6"/>
            </w:tcBorders>
          </w:tcPr>
          <w:p>
            <w:pPr>
              <w:spacing w:after="0"/>
              <w:rPr>
                <w:sz w:val="24"/>
                <w:szCs w:val="24"/>
                <w:color w:val="auto"/>
              </w:rPr>
            </w:pPr>
          </w:p>
        </w:tc>
        <w:tc>
          <w:tcPr>
            <w:tcW w:w="1280" w:type="dxa"/>
            <w:vAlign w:val="bottom"/>
            <w:tcBorders>
              <w:bottom w:val="single" w:sz="8" w:color="2360A6"/>
            </w:tcBorders>
          </w:tcPr>
          <w:p>
            <w:pPr>
              <w:spacing w:after="0"/>
              <w:rPr>
                <w:sz w:val="24"/>
                <w:szCs w:val="24"/>
                <w:color w:val="auto"/>
              </w:rPr>
            </w:pPr>
          </w:p>
        </w:tc>
        <w:tc>
          <w:tcPr>
            <w:tcW w:w="1160" w:type="dxa"/>
            <w:vAlign w:val="bottom"/>
            <w:tcBorders>
              <w:bottom w:val="single" w:sz="8" w:color="2360A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676" w:right="599" w:bottom="1440" w:gutter="0" w:footer="0" w:header="0"/>
        </w:sectPr>
      </w:pPr>
    </w:p>
    <w:bookmarkStart w:id="157" w:name="page158"/>
    <w:bookmarkEnd w:id="157"/>
    <w:p>
      <w:pPr>
        <w:spacing w:after="0" w:line="1" w:lineRule="exact"/>
        <w:rPr>
          <w:sz w:val="20"/>
          <w:szCs w:val="20"/>
          <w:color w:val="auto"/>
        </w:rPr>
      </w:pPr>
    </w:p>
    <w:tbl>
      <w:tblPr>
        <w:tblLayout w:type="fixed"/>
        <w:tblInd w:w="310" w:type="dxa"/>
        <w:tblCellMar>
          <w:top w:w="0" w:type="dxa"/>
          <w:left w:w="0" w:type="dxa"/>
          <w:bottom w:w="0" w:type="dxa"/>
          <w:right w:w="0" w:type="dxa"/>
        </w:tblCellMar>
      </w:tblPr>
      <w:tr>
        <w:trPr>
          <w:trHeight w:val="224"/>
        </w:trPr>
        <w:tc>
          <w:tcPr>
            <w:tcW w:w="3440" w:type="dxa"/>
            <w:vAlign w:val="bottom"/>
            <w:tcBorders>
              <w:top w:val="single" w:sz="8" w:color="2360A6"/>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980" w:type="dxa"/>
            <w:vAlign w:val="bottom"/>
            <w:tcBorders>
              <w:top w:val="single" w:sz="8" w:color="2360A6"/>
              <w:bottom w:val="single" w:sz="8" w:color="2360A6"/>
            </w:tcBorders>
          </w:tcPr>
          <w:p>
            <w:pPr>
              <w:spacing w:after="0"/>
              <w:rPr>
                <w:sz w:val="19"/>
                <w:szCs w:val="19"/>
                <w:color w:val="auto"/>
              </w:rPr>
            </w:pPr>
          </w:p>
        </w:tc>
        <w:tc>
          <w:tcPr>
            <w:tcW w:w="1500" w:type="dxa"/>
            <w:vAlign w:val="bottom"/>
            <w:tcBorders>
              <w:top w:val="single" w:sz="8" w:color="2360A6"/>
              <w:bottom w:val="single" w:sz="8" w:color="2360A6"/>
            </w:tcBorders>
          </w:tcPr>
          <w:p>
            <w:pPr>
              <w:spacing w:after="0"/>
              <w:rPr>
                <w:sz w:val="19"/>
                <w:szCs w:val="19"/>
                <w:color w:val="auto"/>
              </w:rPr>
            </w:pPr>
          </w:p>
        </w:tc>
        <w:tc>
          <w:tcPr>
            <w:tcW w:w="2340" w:type="dxa"/>
            <w:vAlign w:val="bottom"/>
            <w:tcBorders>
              <w:top w:val="single" w:sz="8" w:color="2360A6"/>
              <w:bottom w:val="single" w:sz="8" w:color="2360A6"/>
            </w:tcBorders>
            <w:gridSpan w:val="2"/>
          </w:tcPr>
          <w:p>
            <w:pPr>
              <w:jc w:val="right"/>
              <w:ind w:right="296"/>
              <w:spacing w:after="0"/>
              <w:rPr>
                <w:sz w:val="20"/>
                <w:szCs w:val="20"/>
                <w:color w:val="auto"/>
              </w:rPr>
            </w:pPr>
            <w:r>
              <w:rPr>
                <w:rFonts w:ascii="Arial" w:cs="Arial" w:eastAsia="Arial" w:hAnsi="Arial"/>
                <w:sz w:val="14"/>
                <w:szCs w:val="14"/>
                <w:b w:val="1"/>
                <w:bCs w:val="1"/>
                <w:color w:val="2360A6"/>
              </w:rPr>
              <w:t>As of December 31, 2014</w:t>
            </w:r>
          </w:p>
        </w:tc>
        <w:tc>
          <w:tcPr>
            <w:tcW w:w="1280" w:type="dxa"/>
            <w:vAlign w:val="bottom"/>
            <w:tcBorders>
              <w:top w:val="single" w:sz="8" w:color="2360A6"/>
              <w:bottom w:val="single" w:sz="8" w:color="2360A6"/>
            </w:tcBorders>
          </w:tcPr>
          <w:p>
            <w:pPr>
              <w:spacing w:after="0"/>
              <w:rPr>
                <w:sz w:val="19"/>
                <w:szCs w:val="19"/>
                <w:color w:val="auto"/>
              </w:rPr>
            </w:pPr>
          </w:p>
        </w:tc>
        <w:tc>
          <w:tcPr>
            <w:tcW w:w="1160" w:type="dxa"/>
            <w:vAlign w:val="bottom"/>
            <w:tcBorders>
              <w:top w:val="single" w:sz="8" w:color="2360A6"/>
              <w:bottom w:val="single" w:sz="8" w:color="2360A6"/>
              <w:right w:val="single" w:sz="8" w:color="2360A6"/>
            </w:tcBorders>
          </w:tcPr>
          <w:p>
            <w:pPr>
              <w:spacing w:after="0"/>
              <w:rPr>
                <w:sz w:val="19"/>
                <w:szCs w:val="19"/>
                <w:color w:val="auto"/>
              </w:rPr>
            </w:pPr>
          </w:p>
        </w:tc>
      </w:tr>
      <w:tr>
        <w:trPr>
          <w:trHeight w:val="175"/>
        </w:trPr>
        <w:tc>
          <w:tcPr>
            <w:tcW w:w="34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Financial Assets (by Type of</w:t>
            </w:r>
          </w:p>
        </w:tc>
        <w:tc>
          <w:tcPr>
            <w:tcW w:w="980" w:type="dxa"/>
            <w:vAlign w:val="bottom"/>
            <w:tcBorders>
              <w:right w:val="single" w:sz="8" w:color="2360A6"/>
            </w:tcBorders>
          </w:tcPr>
          <w:p>
            <w:pPr>
              <w:spacing w:after="0"/>
              <w:rPr>
                <w:sz w:val="15"/>
                <w:szCs w:val="15"/>
                <w:color w:val="auto"/>
              </w:rPr>
            </w:pPr>
          </w:p>
        </w:tc>
        <w:tc>
          <w:tcPr>
            <w:tcW w:w="1500" w:type="dxa"/>
            <w:vAlign w:val="bottom"/>
            <w:tcBorders>
              <w:right w:val="single" w:sz="8" w:color="2360A6"/>
            </w:tcBorders>
          </w:tcPr>
          <w:p>
            <w:pPr>
              <w:spacing w:after="0"/>
              <w:rPr>
                <w:sz w:val="15"/>
                <w:szCs w:val="15"/>
                <w:color w:val="auto"/>
              </w:rPr>
            </w:pPr>
          </w:p>
        </w:tc>
        <w:tc>
          <w:tcPr>
            <w:tcW w:w="1160" w:type="dxa"/>
            <w:vAlign w:val="bottom"/>
            <w:tcBorders>
              <w:right w:val="single" w:sz="8" w:color="2360A6"/>
            </w:tcBorders>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Borders>
              <w:right w:val="single" w:sz="8" w:color="2360A6"/>
            </w:tcBorders>
          </w:tcPr>
          <w:p>
            <w:pPr>
              <w:spacing w:after="0"/>
              <w:rPr>
                <w:sz w:val="15"/>
                <w:szCs w:val="15"/>
                <w:color w:val="auto"/>
              </w:rPr>
            </w:pPr>
          </w:p>
        </w:tc>
        <w:tc>
          <w:tcPr>
            <w:tcW w:w="1160" w:type="dxa"/>
            <w:vAlign w:val="bottom"/>
            <w:tcBorders>
              <w:right w:val="single" w:sz="8" w:color="2360A6"/>
            </w:tcBorders>
          </w:tcPr>
          <w:p>
            <w:pPr>
              <w:spacing w:after="0"/>
              <w:rPr>
                <w:sz w:val="15"/>
                <w:szCs w:val="15"/>
                <w:color w:val="auto"/>
              </w:rPr>
            </w:pPr>
          </w:p>
        </w:tc>
      </w:tr>
      <w:tr>
        <w:trPr>
          <w:trHeight w:val="196"/>
        </w:trPr>
        <w:tc>
          <w:tcPr>
            <w:tcW w:w="34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Financial Instruments)</w:t>
            </w:r>
          </w:p>
        </w:tc>
        <w:tc>
          <w:tcPr>
            <w:tcW w:w="98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b w:val="1"/>
                <w:bCs w:val="1"/>
                <w:color w:val="2360A6"/>
              </w:rPr>
              <w:t>a</w:t>
            </w:r>
          </w:p>
        </w:tc>
        <w:tc>
          <w:tcPr>
            <w:tcW w:w="1500" w:type="dxa"/>
            <w:vAlign w:val="bottom"/>
            <w:tcBorders>
              <w:bottom w:val="single" w:sz="8" w:color="2360A6"/>
              <w:right w:val="single" w:sz="8" w:color="2360A6"/>
            </w:tcBorders>
          </w:tcPr>
          <w:p>
            <w:pPr>
              <w:jc w:val="right"/>
              <w:ind w:right="1336"/>
              <w:spacing w:after="0"/>
              <w:rPr>
                <w:sz w:val="20"/>
                <w:szCs w:val="20"/>
                <w:color w:val="auto"/>
              </w:rPr>
            </w:pPr>
            <w:r>
              <w:rPr>
                <w:rFonts w:ascii="Arial" w:cs="Arial" w:eastAsia="Arial" w:hAnsi="Arial"/>
                <w:sz w:val="13"/>
                <w:szCs w:val="13"/>
                <w:b w:val="1"/>
                <w:bCs w:val="1"/>
                <w:color w:val="2360A6"/>
              </w:rPr>
              <w:t>b</w:t>
            </w:r>
          </w:p>
        </w:tc>
        <w:tc>
          <w:tcPr>
            <w:tcW w:w="1160" w:type="dxa"/>
            <w:vAlign w:val="bottom"/>
            <w:tcBorders>
              <w:bottom w:val="single" w:sz="8" w:color="2360A6"/>
              <w:right w:val="single" w:sz="8" w:color="2360A6"/>
            </w:tcBorders>
          </w:tcPr>
          <w:p>
            <w:pPr>
              <w:jc w:val="right"/>
              <w:ind w:right="1014"/>
              <w:spacing w:after="0"/>
              <w:rPr>
                <w:sz w:val="20"/>
                <w:szCs w:val="20"/>
                <w:color w:val="auto"/>
              </w:rPr>
            </w:pPr>
            <w:r>
              <w:rPr>
                <w:rFonts w:ascii="Arial" w:cs="Arial" w:eastAsia="Arial" w:hAnsi="Arial"/>
                <w:sz w:val="13"/>
                <w:szCs w:val="13"/>
                <w:b w:val="1"/>
                <w:bCs w:val="1"/>
                <w:color w:val="2360A6"/>
                <w:w w:val="82"/>
              </w:rPr>
              <w:t>c</w:t>
            </w:r>
          </w:p>
        </w:tc>
        <w:tc>
          <w:tcPr>
            <w:tcW w:w="1180" w:type="dxa"/>
            <w:vAlign w:val="bottom"/>
            <w:tcBorders>
              <w:bottom w:val="single" w:sz="8" w:color="2360A6"/>
            </w:tcBorders>
          </w:tcPr>
          <w:p>
            <w:pPr>
              <w:ind w:left="40"/>
              <w:spacing w:after="0"/>
              <w:rPr>
                <w:sz w:val="20"/>
                <w:szCs w:val="20"/>
                <w:color w:val="auto"/>
              </w:rPr>
            </w:pPr>
            <w:r>
              <w:rPr>
                <w:rFonts w:ascii="Arial" w:cs="Arial" w:eastAsia="Arial" w:hAnsi="Arial"/>
                <w:sz w:val="13"/>
                <w:szCs w:val="13"/>
                <w:b w:val="1"/>
                <w:bCs w:val="1"/>
                <w:color w:val="2360A6"/>
              </w:rPr>
              <w:t>d</w:t>
            </w:r>
          </w:p>
        </w:tc>
        <w:tc>
          <w:tcPr>
            <w:tcW w:w="1280" w:type="dxa"/>
            <w:vAlign w:val="bottom"/>
            <w:tcBorders>
              <w:bottom w:val="single" w:sz="8" w:color="2360A6"/>
              <w:right w:val="single" w:sz="8" w:color="2360A6"/>
            </w:tcBorders>
          </w:tcPr>
          <w:p>
            <w:pPr>
              <w:spacing w:after="0"/>
              <w:rPr>
                <w:sz w:val="17"/>
                <w:szCs w:val="17"/>
                <w:color w:val="auto"/>
              </w:rPr>
            </w:pPr>
          </w:p>
        </w:tc>
        <w:tc>
          <w:tcPr>
            <w:tcW w:w="1160" w:type="dxa"/>
            <w:vAlign w:val="bottom"/>
            <w:tcBorders>
              <w:bottom w:val="single" w:sz="8" w:color="2360A6"/>
              <w:right w:val="single" w:sz="8" w:color="2360A6"/>
            </w:tcBorders>
          </w:tcPr>
          <w:p>
            <w:pPr>
              <w:jc w:val="right"/>
              <w:ind w:right="1015"/>
              <w:spacing w:after="0"/>
              <w:rPr>
                <w:sz w:val="20"/>
                <w:szCs w:val="20"/>
                <w:color w:val="auto"/>
              </w:rPr>
            </w:pPr>
            <w:r>
              <w:rPr>
                <w:rFonts w:ascii="Arial" w:cs="Arial" w:eastAsia="Arial" w:hAnsi="Arial"/>
                <w:sz w:val="13"/>
                <w:szCs w:val="13"/>
                <w:b w:val="1"/>
                <w:bCs w:val="1"/>
                <w:color w:val="2360A6"/>
                <w:w w:val="82"/>
              </w:rPr>
              <w:t>e</w:t>
            </w:r>
          </w:p>
        </w:tc>
      </w:tr>
      <w:tr>
        <w:trPr>
          <w:trHeight w:val="342"/>
        </w:trPr>
        <w:tc>
          <w:tcPr>
            <w:tcW w:w="3440" w:type="dxa"/>
            <w:vAlign w:val="bottom"/>
            <w:tcBorders>
              <w:left w:val="single" w:sz="8" w:color="2360A6"/>
              <w:right w:val="single" w:sz="8" w:color="2360A6"/>
            </w:tcBorders>
          </w:tcPr>
          <w:p>
            <w:pPr>
              <w:spacing w:after="0"/>
              <w:rPr>
                <w:sz w:val="24"/>
                <w:szCs w:val="24"/>
                <w:color w:val="auto"/>
              </w:rPr>
            </w:pPr>
          </w:p>
        </w:tc>
        <w:tc>
          <w:tcPr>
            <w:tcW w:w="980" w:type="dxa"/>
            <w:vAlign w:val="bottom"/>
            <w:tcBorders>
              <w:right w:val="single" w:sz="8" w:color="2360A6"/>
            </w:tcBorders>
          </w:tcPr>
          <w:p>
            <w:pPr>
              <w:spacing w:after="0"/>
              <w:rPr>
                <w:sz w:val="24"/>
                <w:szCs w:val="24"/>
                <w:color w:val="auto"/>
              </w:rPr>
            </w:pPr>
          </w:p>
        </w:tc>
        <w:tc>
          <w:tcPr>
            <w:tcW w:w="1500" w:type="dxa"/>
            <w:vAlign w:val="bottom"/>
            <w:tcBorders>
              <w:right w:val="single" w:sz="8" w:color="2360A6"/>
            </w:tcBorders>
          </w:tcPr>
          <w:p>
            <w:pPr>
              <w:jc w:val="right"/>
              <w:ind w:right="76"/>
              <w:spacing w:after="0"/>
              <w:rPr>
                <w:sz w:val="20"/>
                <w:szCs w:val="20"/>
                <w:color w:val="auto"/>
              </w:rPr>
            </w:pPr>
            <w:r>
              <w:rPr>
                <w:rFonts w:ascii="Arial" w:cs="Arial" w:eastAsia="Arial" w:hAnsi="Arial"/>
                <w:sz w:val="13"/>
                <w:szCs w:val="13"/>
                <w:b w:val="1"/>
                <w:bCs w:val="1"/>
                <w:color w:val="2360A6"/>
              </w:rPr>
              <w:t>Gross Amounts Set</w:t>
            </w:r>
          </w:p>
        </w:tc>
        <w:tc>
          <w:tcPr>
            <w:tcW w:w="1160" w:type="dxa"/>
            <w:vAlign w:val="bottom"/>
            <w:tcBorders>
              <w:right w:val="single" w:sz="8" w:color="2360A6"/>
            </w:tcBorders>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Borders>
              <w:right w:val="single" w:sz="8" w:color="2360A6"/>
            </w:tcBorders>
          </w:tcPr>
          <w:p>
            <w:pPr>
              <w:spacing w:after="0"/>
              <w:rPr>
                <w:sz w:val="24"/>
                <w:szCs w:val="24"/>
                <w:color w:val="auto"/>
              </w:rPr>
            </w:pPr>
          </w:p>
        </w:tc>
        <w:tc>
          <w:tcPr>
            <w:tcW w:w="1160" w:type="dxa"/>
            <w:vAlign w:val="bottom"/>
            <w:tcBorders>
              <w:right w:val="single" w:sz="8" w:color="2360A6"/>
            </w:tcBorders>
          </w:tcPr>
          <w:p>
            <w:pPr>
              <w:spacing w:after="0"/>
              <w:rPr>
                <w:sz w:val="24"/>
                <w:szCs w:val="24"/>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1500" w:type="dxa"/>
            <w:vAlign w:val="bottom"/>
            <w:tcBorders>
              <w:right w:val="single" w:sz="8" w:color="2360A6"/>
            </w:tcBorders>
          </w:tcPr>
          <w:p>
            <w:pPr>
              <w:jc w:val="right"/>
              <w:ind w:right="76"/>
              <w:spacing w:after="0" w:line="135" w:lineRule="exact"/>
              <w:rPr>
                <w:sz w:val="20"/>
                <w:szCs w:val="20"/>
                <w:color w:val="auto"/>
              </w:rPr>
            </w:pPr>
            <w:r>
              <w:rPr>
                <w:rFonts w:ascii="Arial" w:cs="Arial" w:eastAsia="Arial" w:hAnsi="Arial"/>
                <w:sz w:val="13"/>
                <w:szCs w:val="13"/>
                <w:b w:val="1"/>
                <w:bCs w:val="1"/>
                <w:color w:val="2360A6"/>
              </w:rPr>
              <w:t>off in the Financial</w:t>
            </w:r>
          </w:p>
        </w:tc>
        <w:tc>
          <w:tcPr>
            <w:tcW w:w="116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Net Amounts</w:t>
            </w:r>
          </w:p>
        </w:tc>
        <w:tc>
          <w:tcPr>
            <w:tcW w:w="1180" w:type="dxa"/>
            <w:vAlign w:val="bottom"/>
          </w:tcPr>
          <w:p>
            <w:pPr>
              <w:spacing w:after="0"/>
              <w:rPr>
                <w:sz w:val="11"/>
                <w:szCs w:val="11"/>
                <w:color w:val="auto"/>
              </w:rPr>
            </w:pPr>
          </w:p>
        </w:tc>
        <w:tc>
          <w:tcPr>
            <w:tcW w:w="1280" w:type="dxa"/>
            <w:vAlign w:val="bottom"/>
            <w:tcBorders>
              <w:right w:val="single" w:sz="8" w:color="2360A6"/>
            </w:tcBorders>
          </w:tcPr>
          <w:p>
            <w:pPr>
              <w:spacing w:after="0"/>
              <w:rPr>
                <w:sz w:val="11"/>
                <w:szCs w:val="11"/>
                <w:color w:val="auto"/>
              </w:rPr>
            </w:pPr>
          </w:p>
        </w:tc>
        <w:tc>
          <w:tcPr>
            <w:tcW w:w="1160" w:type="dxa"/>
            <w:vAlign w:val="bottom"/>
            <w:tcBorders>
              <w:right w:val="single" w:sz="8" w:color="2360A6"/>
            </w:tcBorders>
          </w:tcPr>
          <w:p>
            <w:pPr>
              <w:spacing w:after="0"/>
              <w:rPr>
                <w:sz w:val="11"/>
                <w:szCs w:val="1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ind w:left="20"/>
              <w:spacing w:after="0" w:line="135" w:lineRule="exact"/>
              <w:rPr>
                <w:sz w:val="20"/>
                <w:szCs w:val="20"/>
                <w:color w:val="auto"/>
              </w:rPr>
            </w:pPr>
            <w:r>
              <w:rPr>
                <w:rFonts w:ascii="Arial" w:cs="Arial" w:eastAsia="Arial" w:hAnsi="Arial"/>
                <w:sz w:val="13"/>
                <w:szCs w:val="13"/>
                <w:b w:val="1"/>
                <w:bCs w:val="1"/>
                <w:color w:val="2360A6"/>
              </w:rPr>
              <w:t>Gross Amount</w:t>
            </w:r>
          </w:p>
        </w:tc>
        <w:tc>
          <w:tcPr>
            <w:tcW w:w="1500" w:type="dxa"/>
            <w:vAlign w:val="bottom"/>
            <w:tcBorders>
              <w:right w:val="single" w:sz="8" w:color="2360A6"/>
            </w:tcBorders>
          </w:tcPr>
          <w:p>
            <w:pPr>
              <w:jc w:val="right"/>
              <w:ind w:right="76"/>
              <w:spacing w:after="0" w:line="135" w:lineRule="exact"/>
              <w:rPr>
                <w:sz w:val="20"/>
                <w:szCs w:val="20"/>
                <w:color w:val="auto"/>
              </w:rPr>
            </w:pPr>
            <w:r>
              <w:rPr>
                <w:rFonts w:ascii="Arial" w:cs="Arial" w:eastAsia="Arial" w:hAnsi="Arial"/>
                <w:sz w:val="13"/>
                <w:szCs w:val="13"/>
                <w:b w:val="1"/>
                <w:bCs w:val="1"/>
                <w:color w:val="2360A6"/>
              </w:rPr>
              <w:t>Statements</w:t>
            </w:r>
          </w:p>
        </w:tc>
        <w:tc>
          <w:tcPr>
            <w:tcW w:w="116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Recorded in the</w:t>
            </w:r>
          </w:p>
        </w:tc>
        <w:tc>
          <w:tcPr>
            <w:tcW w:w="2460" w:type="dxa"/>
            <w:vAlign w:val="bottom"/>
            <w:tcBorders>
              <w:right w:val="single" w:sz="8" w:color="2360A6"/>
            </w:tcBorders>
            <w:gridSpan w:val="2"/>
          </w:tcPr>
          <w:p>
            <w:pPr>
              <w:ind w:left="40"/>
              <w:spacing w:after="0" w:line="135" w:lineRule="exact"/>
              <w:rPr>
                <w:sz w:val="20"/>
                <w:szCs w:val="20"/>
                <w:color w:val="auto"/>
              </w:rPr>
            </w:pPr>
            <w:r>
              <w:rPr>
                <w:rFonts w:ascii="Arial" w:cs="Arial" w:eastAsia="Arial" w:hAnsi="Arial"/>
                <w:sz w:val="13"/>
                <w:szCs w:val="13"/>
                <w:b w:val="1"/>
                <w:bCs w:val="1"/>
                <w:color w:val="2360A6"/>
              </w:rPr>
              <w:t>Related Amounts not Set off in the</w:t>
            </w:r>
          </w:p>
        </w:tc>
        <w:tc>
          <w:tcPr>
            <w:tcW w:w="1160" w:type="dxa"/>
            <w:vAlign w:val="bottom"/>
            <w:tcBorders>
              <w:right w:val="single" w:sz="8" w:color="2360A6"/>
            </w:tcBorders>
          </w:tcPr>
          <w:p>
            <w:pPr>
              <w:spacing w:after="0"/>
              <w:rPr>
                <w:sz w:val="11"/>
                <w:szCs w:val="1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ind w:left="20"/>
              <w:spacing w:after="0" w:line="135" w:lineRule="exact"/>
              <w:rPr>
                <w:sz w:val="20"/>
                <w:szCs w:val="20"/>
                <w:color w:val="auto"/>
              </w:rPr>
            </w:pPr>
            <w:r>
              <w:rPr>
                <w:rFonts w:ascii="Arial" w:cs="Arial" w:eastAsia="Arial" w:hAnsi="Arial"/>
                <w:sz w:val="13"/>
                <w:szCs w:val="13"/>
                <w:b w:val="1"/>
                <w:bCs w:val="1"/>
                <w:color w:val="2360A6"/>
              </w:rPr>
              <w:t>(before</w:t>
            </w:r>
          </w:p>
        </w:tc>
        <w:tc>
          <w:tcPr>
            <w:tcW w:w="1500" w:type="dxa"/>
            <w:vAlign w:val="bottom"/>
            <w:tcBorders>
              <w:right w:val="single" w:sz="8" w:color="2360A6"/>
            </w:tcBorders>
          </w:tcPr>
          <w:p>
            <w:pPr>
              <w:jc w:val="right"/>
              <w:ind w:right="76"/>
              <w:spacing w:after="0" w:line="135" w:lineRule="exact"/>
              <w:rPr>
                <w:sz w:val="20"/>
                <w:szCs w:val="20"/>
                <w:color w:val="auto"/>
              </w:rPr>
            </w:pPr>
            <w:r>
              <w:rPr>
                <w:rFonts w:ascii="Arial" w:cs="Arial" w:eastAsia="Arial" w:hAnsi="Arial"/>
                <w:sz w:val="13"/>
                <w:szCs w:val="13"/>
                <w:b w:val="1"/>
                <w:bCs w:val="1"/>
                <w:color w:val="2360A6"/>
              </w:rPr>
              <w:t>(according to</w:t>
            </w:r>
          </w:p>
        </w:tc>
        <w:tc>
          <w:tcPr>
            <w:tcW w:w="116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Financial</w:t>
            </w:r>
          </w:p>
        </w:tc>
        <w:tc>
          <w:tcPr>
            <w:tcW w:w="2460" w:type="dxa"/>
            <w:vAlign w:val="bottom"/>
            <w:tcBorders>
              <w:right w:val="single" w:sz="8" w:color="2360A6"/>
            </w:tcBorders>
            <w:gridSpan w:val="2"/>
          </w:tcPr>
          <w:p>
            <w:pPr>
              <w:ind w:left="40"/>
              <w:spacing w:after="0" w:line="135" w:lineRule="exact"/>
              <w:rPr>
                <w:sz w:val="20"/>
                <w:szCs w:val="20"/>
                <w:color w:val="auto"/>
              </w:rPr>
            </w:pPr>
            <w:r>
              <w:rPr>
                <w:rFonts w:ascii="Arial" w:cs="Arial" w:eastAsia="Arial" w:hAnsi="Arial"/>
                <w:sz w:val="13"/>
                <w:szCs w:val="13"/>
                <w:b w:val="1"/>
                <w:bCs w:val="1"/>
                <w:color w:val="2360A6"/>
              </w:rPr>
              <w:t>Statement of Financial Position (not</w:t>
            </w:r>
          </w:p>
        </w:tc>
        <w:tc>
          <w:tcPr>
            <w:tcW w:w="1160" w:type="dxa"/>
            <w:vAlign w:val="bottom"/>
            <w:tcBorders>
              <w:right w:val="single" w:sz="8" w:color="2360A6"/>
            </w:tcBorders>
          </w:tcPr>
          <w:p>
            <w:pPr>
              <w:jc w:val="right"/>
              <w:ind w:right="55"/>
              <w:spacing w:after="0" w:line="135" w:lineRule="exact"/>
              <w:rPr>
                <w:sz w:val="20"/>
                <w:szCs w:val="20"/>
                <w:color w:val="auto"/>
              </w:rPr>
            </w:pPr>
            <w:r>
              <w:rPr>
                <w:rFonts w:ascii="Arial" w:cs="Arial" w:eastAsia="Arial" w:hAnsi="Arial"/>
                <w:sz w:val="13"/>
                <w:szCs w:val="13"/>
                <w:b w:val="1"/>
                <w:bCs w:val="1"/>
                <w:color w:val="2360A6"/>
              </w:rPr>
              <w:t>Net</w:t>
            </w:r>
          </w:p>
        </w:tc>
      </w:tr>
      <w:tr>
        <w:trPr>
          <w:trHeight w:val="178"/>
        </w:trPr>
        <w:tc>
          <w:tcPr>
            <w:tcW w:w="3440" w:type="dxa"/>
            <w:vAlign w:val="bottom"/>
            <w:tcBorders>
              <w:left w:val="single" w:sz="8" w:color="2360A6"/>
              <w:right w:val="single" w:sz="8" w:color="2360A6"/>
            </w:tcBorders>
          </w:tcPr>
          <w:p>
            <w:pPr>
              <w:spacing w:after="0"/>
              <w:rPr>
                <w:sz w:val="15"/>
                <w:szCs w:val="15"/>
                <w:color w:val="auto"/>
              </w:rPr>
            </w:pPr>
          </w:p>
        </w:tc>
        <w:tc>
          <w:tcPr>
            <w:tcW w:w="98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b w:val="1"/>
                <w:bCs w:val="1"/>
                <w:color w:val="2360A6"/>
              </w:rPr>
              <w:t>Offsetting)</w:t>
            </w:r>
          </w:p>
        </w:tc>
        <w:tc>
          <w:tcPr>
            <w:tcW w:w="1500" w:type="dxa"/>
            <w:vAlign w:val="bottom"/>
            <w:tcBorders>
              <w:bottom w:val="single" w:sz="8" w:color="2360A6"/>
              <w:right w:val="single" w:sz="8" w:color="2360A6"/>
            </w:tcBorders>
          </w:tcPr>
          <w:p>
            <w:pPr>
              <w:jc w:val="right"/>
              <w:ind w:right="76"/>
              <w:spacing w:after="0"/>
              <w:rPr>
                <w:sz w:val="20"/>
                <w:szCs w:val="20"/>
                <w:color w:val="auto"/>
              </w:rPr>
            </w:pPr>
            <w:r>
              <w:rPr>
                <w:rFonts w:ascii="Arial" w:cs="Arial" w:eastAsia="Arial" w:hAnsi="Arial"/>
                <w:sz w:val="13"/>
                <w:szCs w:val="13"/>
                <w:b w:val="1"/>
                <w:bCs w:val="1"/>
                <w:color w:val="2360A6"/>
              </w:rPr>
              <w:t>IAS 32)</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Statements (a- b)</w:t>
            </w:r>
          </w:p>
        </w:tc>
        <w:tc>
          <w:tcPr>
            <w:tcW w:w="2460" w:type="dxa"/>
            <w:vAlign w:val="bottom"/>
            <w:tcBorders>
              <w:bottom w:val="single" w:sz="8" w:color="2360A6"/>
              <w:right w:val="single" w:sz="8" w:color="2360A6"/>
            </w:tcBorders>
            <w:gridSpan w:val="2"/>
          </w:tcPr>
          <w:p>
            <w:pPr>
              <w:ind w:left="40"/>
              <w:spacing w:after="0"/>
              <w:rPr>
                <w:sz w:val="20"/>
                <w:szCs w:val="20"/>
                <w:color w:val="auto"/>
              </w:rPr>
            </w:pPr>
            <w:r>
              <w:rPr>
                <w:rFonts w:ascii="Arial" w:cs="Arial" w:eastAsia="Arial" w:hAnsi="Arial"/>
                <w:sz w:val="13"/>
                <w:szCs w:val="13"/>
                <w:b w:val="1"/>
                <w:bCs w:val="1"/>
                <w:color w:val="2360A6"/>
              </w:rPr>
              <w:t>Meeting Offsetting Criteria IAS 32)</w:t>
            </w:r>
          </w:p>
        </w:tc>
        <w:tc>
          <w:tcPr>
            <w:tcW w:w="1160" w:type="dxa"/>
            <w:vAlign w:val="bottom"/>
            <w:tcBorders>
              <w:bottom w:val="single" w:sz="8" w:color="2360A6"/>
              <w:right w:val="single" w:sz="8" w:color="2360A6"/>
            </w:tcBorders>
          </w:tcPr>
          <w:p>
            <w:pPr>
              <w:jc w:val="right"/>
              <w:ind w:right="55"/>
              <w:spacing w:after="0"/>
              <w:rPr>
                <w:sz w:val="20"/>
                <w:szCs w:val="20"/>
                <w:color w:val="auto"/>
              </w:rPr>
            </w:pPr>
            <w:r>
              <w:rPr>
                <w:rFonts w:ascii="Arial" w:cs="Arial" w:eastAsia="Arial" w:hAnsi="Arial"/>
                <w:sz w:val="13"/>
                <w:szCs w:val="13"/>
                <w:b w:val="1"/>
                <w:bCs w:val="1"/>
                <w:color w:val="2360A6"/>
              </w:rPr>
              <w:t>Amount (c- d)</w:t>
            </w:r>
          </w:p>
        </w:tc>
      </w:tr>
      <w:tr>
        <w:trPr>
          <w:trHeight w:val="208"/>
        </w:trPr>
        <w:tc>
          <w:tcPr>
            <w:tcW w:w="3440" w:type="dxa"/>
            <w:vAlign w:val="bottom"/>
            <w:tcBorders>
              <w:left w:val="single" w:sz="8" w:color="2360A6"/>
              <w:right w:val="single" w:sz="8" w:color="2360A6"/>
            </w:tcBorders>
          </w:tcPr>
          <w:p>
            <w:pPr>
              <w:spacing w:after="0"/>
              <w:rPr>
                <w:sz w:val="18"/>
                <w:szCs w:val="18"/>
                <w:color w:val="auto"/>
              </w:rPr>
            </w:pPr>
          </w:p>
        </w:tc>
        <w:tc>
          <w:tcPr>
            <w:tcW w:w="980" w:type="dxa"/>
            <w:vAlign w:val="bottom"/>
            <w:tcBorders>
              <w:right w:val="single" w:sz="8" w:color="2360A6"/>
            </w:tcBorders>
          </w:tcPr>
          <w:p>
            <w:pPr>
              <w:spacing w:after="0"/>
              <w:rPr>
                <w:sz w:val="18"/>
                <w:szCs w:val="18"/>
                <w:color w:val="auto"/>
              </w:rPr>
            </w:pPr>
          </w:p>
        </w:tc>
        <w:tc>
          <w:tcPr>
            <w:tcW w:w="1500" w:type="dxa"/>
            <w:vAlign w:val="bottom"/>
            <w:tcBorders>
              <w:right w:val="single" w:sz="8" w:color="2360A6"/>
            </w:tcBorders>
          </w:tcPr>
          <w:p>
            <w:pPr>
              <w:spacing w:after="0"/>
              <w:rPr>
                <w:sz w:val="18"/>
                <w:szCs w:val="18"/>
                <w:color w:val="auto"/>
              </w:rPr>
            </w:pPr>
          </w:p>
        </w:tc>
        <w:tc>
          <w:tcPr>
            <w:tcW w:w="1160" w:type="dxa"/>
            <w:vAlign w:val="bottom"/>
            <w:tcBorders>
              <w:right w:val="single" w:sz="8" w:color="2360A6"/>
            </w:tcBorders>
          </w:tcPr>
          <w:p>
            <w:pPr>
              <w:spacing w:after="0"/>
              <w:rPr>
                <w:sz w:val="18"/>
                <w:szCs w:val="18"/>
                <w:color w:val="auto"/>
              </w:rPr>
            </w:pPr>
          </w:p>
        </w:tc>
        <w:tc>
          <w:tcPr>
            <w:tcW w:w="1180" w:type="dxa"/>
            <w:vAlign w:val="bottom"/>
            <w:tcBorders>
              <w:right w:val="single" w:sz="8" w:color="2360A6"/>
            </w:tcBorders>
          </w:tcPr>
          <w:p>
            <w:pPr>
              <w:spacing w:after="0"/>
              <w:rPr>
                <w:sz w:val="18"/>
                <w:szCs w:val="18"/>
                <w:color w:val="auto"/>
              </w:rPr>
            </w:pPr>
          </w:p>
        </w:tc>
        <w:tc>
          <w:tcPr>
            <w:tcW w:w="1280" w:type="dxa"/>
            <w:vAlign w:val="bottom"/>
            <w:tcBorders>
              <w:right w:val="single" w:sz="8" w:color="2360A6"/>
            </w:tcBorders>
          </w:tcPr>
          <w:p>
            <w:pPr>
              <w:jc w:val="right"/>
              <w:ind w:right="55"/>
              <w:spacing w:after="0"/>
              <w:rPr>
                <w:sz w:val="20"/>
                <w:szCs w:val="20"/>
                <w:color w:val="auto"/>
              </w:rPr>
            </w:pPr>
            <w:r>
              <w:rPr>
                <w:rFonts w:ascii="Arial" w:cs="Arial" w:eastAsia="Arial" w:hAnsi="Arial"/>
                <w:sz w:val="13"/>
                <w:szCs w:val="13"/>
                <w:b w:val="1"/>
                <w:bCs w:val="1"/>
                <w:color w:val="2360A6"/>
              </w:rPr>
              <w:t>Fair Value of</w:t>
            </w:r>
          </w:p>
        </w:tc>
        <w:tc>
          <w:tcPr>
            <w:tcW w:w="1160" w:type="dxa"/>
            <w:vAlign w:val="bottom"/>
            <w:tcBorders>
              <w:right w:val="single" w:sz="8" w:color="2360A6"/>
            </w:tcBorders>
          </w:tcPr>
          <w:p>
            <w:pPr>
              <w:spacing w:after="0"/>
              <w:rPr>
                <w:sz w:val="18"/>
                <w:szCs w:val="18"/>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1500" w:type="dxa"/>
            <w:vAlign w:val="bottom"/>
            <w:tcBorders>
              <w:right w:val="single" w:sz="8" w:color="2360A6"/>
            </w:tcBorders>
          </w:tcPr>
          <w:p>
            <w:pPr>
              <w:spacing w:after="0"/>
              <w:rPr>
                <w:sz w:val="11"/>
                <w:szCs w:val="11"/>
                <w:color w:val="auto"/>
              </w:rPr>
            </w:pPr>
          </w:p>
        </w:tc>
        <w:tc>
          <w:tcPr>
            <w:tcW w:w="1160" w:type="dxa"/>
            <w:vAlign w:val="bottom"/>
            <w:tcBorders>
              <w:right w:val="single" w:sz="8" w:color="2360A6"/>
            </w:tcBorders>
          </w:tcPr>
          <w:p>
            <w:pPr>
              <w:spacing w:after="0"/>
              <w:rPr>
                <w:sz w:val="11"/>
                <w:szCs w:val="11"/>
                <w:color w:val="auto"/>
              </w:rPr>
            </w:pPr>
          </w:p>
        </w:tc>
        <w:tc>
          <w:tcPr>
            <w:tcW w:w="118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Financial</w:t>
            </w:r>
          </w:p>
        </w:tc>
        <w:tc>
          <w:tcPr>
            <w:tcW w:w="1280" w:type="dxa"/>
            <w:vAlign w:val="bottom"/>
            <w:tcBorders>
              <w:right w:val="single" w:sz="8" w:color="2360A6"/>
            </w:tcBorders>
          </w:tcPr>
          <w:p>
            <w:pPr>
              <w:jc w:val="right"/>
              <w:ind w:right="55"/>
              <w:spacing w:after="0" w:line="135" w:lineRule="exact"/>
              <w:rPr>
                <w:sz w:val="20"/>
                <w:szCs w:val="20"/>
                <w:color w:val="auto"/>
              </w:rPr>
            </w:pPr>
            <w:r>
              <w:rPr>
                <w:rFonts w:ascii="Arial" w:cs="Arial" w:eastAsia="Arial" w:hAnsi="Arial"/>
                <w:sz w:val="13"/>
                <w:szCs w:val="13"/>
                <w:b w:val="1"/>
                <w:bCs w:val="1"/>
                <w:color w:val="2360A6"/>
              </w:rPr>
              <w:t>Financial</w:t>
            </w:r>
          </w:p>
        </w:tc>
        <w:tc>
          <w:tcPr>
            <w:tcW w:w="1160" w:type="dxa"/>
            <w:vAlign w:val="bottom"/>
            <w:tcBorders>
              <w:right w:val="single" w:sz="8" w:color="2360A6"/>
            </w:tcBorders>
          </w:tcPr>
          <w:p>
            <w:pPr>
              <w:spacing w:after="0"/>
              <w:rPr>
                <w:sz w:val="11"/>
                <w:szCs w:val="11"/>
                <w:color w:val="auto"/>
              </w:rPr>
            </w:pPr>
          </w:p>
        </w:tc>
      </w:tr>
      <w:tr>
        <w:trPr>
          <w:trHeight w:val="178"/>
        </w:trPr>
        <w:tc>
          <w:tcPr>
            <w:tcW w:w="3440" w:type="dxa"/>
            <w:vAlign w:val="bottom"/>
            <w:tcBorders>
              <w:left w:val="single" w:sz="8" w:color="2360A6"/>
              <w:bottom w:val="single" w:sz="8" w:color="2360A6"/>
              <w:right w:val="single" w:sz="8" w:color="2360A6"/>
            </w:tcBorders>
          </w:tcPr>
          <w:p>
            <w:pPr>
              <w:spacing w:after="0"/>
              <w:rPr>
                <w:sz w:val="15"/>
                <w:szCs w:val="15"/>
                <w:color w:val="auto"/>
              </w:rPr>
            </w:pPr>
          </w:p>
        </w:tc>
        <w:tc>
          <w:tcPr>
            <w:tcW w:w="980" w:type="dxa"/>
            <w:vAlign w:val="bottom"/>
            <w:tcBorders>
              <w:bottom w:val="single" w:sz="8" w:color="2360A6"/>
              <w:right w:val="single" w:sz="8" w:color="2360A6"/>
            </w:tcBorders>
          </w:tcPr>
          <w:p>
            <w:pPr>
              <w:spacing w:after="0"/>
              <w:rPr>
                <w:sz w:val="15"/>
                <w:szCs w:val="15"/>
                <w:color w:val="auto"/>
              </w:rPr>
            </w:pPr>
          </w:p>
        </w:tc>
        <w:tc>
          <w:tcPr>
            <w:tcW w:w="1500" w:type="dxa"/>
            <w:vAlign w:val="bottom"/>
            <w:tcBorders>
              <w:bottom w:val="single" w:sz="8" w:color="2360A6"/>
              <w:right w:val="single" w:sz="8" w:color="2360A6"/>
            </w:tcBorders>
          </w:tcPr>
          <w:p>
            <w:pPr>
              <w:spacing w:after="0"/>
              <w:rPr>
                <w:sz w:val="15"/>
                <w:szCs w:val="15"/>
                <w:color w:val="auto"/>
              </w:rPr>
            </w:pPr>
          </w:p>
        </w:tc>
        <w:tc>
          <w:tcPr>
            <w:tcW w:w="1160" w:type="dxa"/>
            <w:vAlign w:val="bottom"/>
            <w:tcBorders>
              <w:bottom w:val="single" w:sz="8" w:color="2360A6"/>
              <w:right w:val="single" w:sz="8" w:color="2360A6"/>
            </w:tcBorders>
          </w:tcPr>
          <w:p>
            <w:pPr>
              <w:spacing w:after="0"/>
              <w:rPr>
                <w:sz w:val="15"/>
                <w:szCs w:val="15"/>
                <w:color w:val="auto"/>
              </w:rPr>
            </w:pPr>
          </w:p>
        </w:tc>
        <w:tc>
          <w:tcPr>
            <w:tcW w:w="11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Instruments</w:t>
            </w:r>
          </w:p>
        </w:tc>
        <w:tc>
          <w:tcPr>
            <w:tcW w:w="1280" w:type="dxa"/>
            <w:vAlign w:val="bottom"/>
            <w:tcBorders>
              <w:bottom w:val="single" w:sz="8" w:color="2360A6"/>
              <w:right w:val="single" w:sz="8" w:color="2360A6"/>
            </w:tcBorders>
          </w:tcPr>
          <w:p>
            <w:pPr>
              <w:jc w:val="right"/>
              <w:ind w:right="55"/>
              <w:spacing w:after="0"/>
              <w:rPr>
                <w:sz w:val="20"/>
                <w:szCs w:val="20"/>
                <w:color w:val="auto"/>
              </w:rPr>
            </w:pPr>
            <w:r>
              <w:rPr>
                <w:rFonts w:ascii="Arial" w:cs="Arial" w:eastAsia="Arial" w:hAnsi="Arial"/>
                <w:sz w:val="13"/>
                <w:szCs w:val="13"/>
                <w:b w:val="1"/>
                <w:bCs w:val="1"/>
                <w:color w:val="2360A6"/>
              </w:rPr>
              <w:t>Collaterals</w:t>
            </w:r>
          </w:p>
        </w:tc>
        <w:tc>
          <w:tcPr>
            <w:tcW w:w="1160" w:type="dxa"/>
            <w:vAlign w:val="bottom"/>
            <w:tcBorders>
              <w:bottom w:val="single" w:sz="8" w:color="2360A6"/>
              <w:right w:val="single" w:sz="8" w:color="2360A6"/>
            </w:tcBorders>
          </w:tcPr>
          <w:p>
            <w:pPr>
              <w:spacing w:after="0"/>
              <w:rPr>
                <w:sz w:val="15"/>
                <w:szCs w:val="15"/>
                <w:color w:val="auto"/>
              </w:rPr>
            </w:pPr>
          </w:p>
        </w:tc>
      </w:tr>
      <w:tr>
        <w:trPr>
          <w:trHeight w:val="210"/>
        </w:trPr>
        <w:tc>
          <w:tcPr>
            <w:tcW w:w="3440" w:type="dxa"/>
            <w:vAlign w:val="bottom"/>
            <w:tcBorders>
              <w:left w:val="single" w:sz="8" w:color="2360A6"/>
              <w:bottom w:val="single" w:sz="8" w:color="2360A6"/>
              <w:right w:val="single" w:sz="8" w:color="2360A6"/>
            </w:tcBorders>
            <w:shd w:val="clear" w:color="auto" w:fill="CCD1E7"/>
          </w:tcPr>
          <w:p>
            <w:pPr>
              <w:ind w:left="40"/>
              <w:spacing w:after="0"/>
              <w:rPr>
                <w:sz w:val="20"/>
                <w:szCs w:val="20"/>
                <w:color w:val="auto"/>
              </w:rPr>
            </w:pPr>
            <w:r>
              <w:rPr>
                <w:rFonts w:ascii="Arial" w:cs="Arial" w:eastAsia="Arial" w:hAnsi="Arial"/>
                <w:sz w:val="14"/>
                <w:szCs w:val="14"/>
                <w:b w:val="1"/>
                <w:bCs w:val="1"/>
                <w:color w:val="2360A6"/>
              </w:rPr>
              <w:t>TOTAL DERIVATIVE FINANCIAL INSTRUMENTS</w:t>
            </w:r>
          </w:p>
        </w:tc>
        <w:tc>
          <w:tcPr>
            <w:tcW w:w="98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46.6</w:t>
            </w:r>
          </w:p>
        </w:tc>
        <w:tc>
          <w:tcPr>
            <w:tcW w:w="1500" w:type="dxa"/>
            <w:vAlign w:val="bottom"/>
            <w:tcBorders>
              <w:bottom w:val="single" w:sz="8" w:color="2360A6"/>
              <w:right w:val="single" w:sz="8" w:color="2360A6"/>
            </w:tcBorders>
            <w:shd w:val="clear" w:color="auto" w:fill="CCD1E7"/>
          </w:tcPr>
          <w:p>
            <w:pPr>
              <w:jc w:val="right"/>
              <w:ind w:right="76"/>
              <w:spacing w:after="0"/>
              <w:rPr>
                <w:sz w:val="20"/>
                <w:szCs w:val="20"/>
                <w:color w:val="auto"/>
              </w:rPr>
            </w:pPr>
            <w:r>
              <w:rPr>
                <w:rFonts w:ascii="Arial" w:cs="Arial" w:eastAsia="Arial" w:hAnsi="Arial"/>
                <w:sz w:val="14"/>
                <w:szCs w:val="14"/>
                <w:b w:val="1"/>
                <w:bCs w:val="1"/>
                <w:color w:val="2360A6"/>
              </w:rPr>
              <w:t>—</w:t>
            </w:r>
          </w:p>
        </w:tc>
        <w:tc>
          <w:tcPr>
            <w:tcW w:w="116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46.6</w:t>
            </w:r>
          </w:p>
        </w:tc>
        <w:tc>
          <w:tcPr>
            <w:tcW w:w="118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46.6</w:t>
            </w:r>
          </w:p>
        </w:tc>
        <w:tc>
          <w:tcPr>
            <w:tcW w:w="1280" w:type="dxa"/>
            <w:vAlign w:val="bottom"/>
            <w:tcBorders>
              <w:bottom w:val="single" w:sz="8" w:color="2360A6"/>
              <w:right w:val="single" w:sz="8" w:color="2360A6"/>
            </w:tcBorders>
            <w:shd w:val="clear" w:color="auto" w:fill="CCD1E7"/>
          </w:tcPr>
          <w:p>
            <w:pPr>
              <w:jc w:val="right"/>
              <w:ind w:right="55"/>
              <w:spacing w:after="0"/>
              <w:rPr>
                <w:sz w:val="20"/>
                <w:szCs w:val="20"/>
                <w:color w:val="auto"/>
              </w:rPr>
            </w:pPr>
            <w:r>
              <w:rPr>
                <w:rFonts w:ascii="Arial" w:cs="Arial" w:eastAsia="Arial" w:hAnsi="Arial"/>
                <w:sz w:val="14"/>
                <w:szCs w:val="14"/>
                <w:b w:val="1"/>
                <w:bCs w:val="1"/>
                <w:color w:val="2360A6"/>
              </w:rPr>
              <w:t>—</w:t>
            </w:r>
          </w:p>
        </w:tc>
        <w:tc>
          <w:tcPr>
            <w:tcW w:w="1160" w:type="dxa"/>
            <w:vAlign w:val="bottom"/>
            <w:tcBorders>
              <w:bottom w:val="single" w:sz="8" w:color="2360A6"/>
              <w:right w:val="single" w:sz="8" w:color="2360A6"/>
            </w:tcBorders>
            <w:shd w:val="clear" w:color="auto" w:fill="CCD1E7"/>
          </w:tcPr>
          <w:p>
            <w:pPr>
              <w:jc w:val="right"/>
              <w:ind w:right="55"/>
              <w:spacing w:after="0"/>
              <w:rPr>
                <w:sz w:val="20"/>
                <w:szCs w:val="20"/>
                <w:color w:val="auto"/>
              </w:rPr>
            </w:pPr>
            <w:r>
              <w:rPr>
                <w:rFonts w:ascii="Arial" w:cs="Arial" w:eastAsia="Arial" w:hAnsi="Arial"/>
                <w:sz w:val="14"/>
                <w:szCs w:val="14"/>
                <w:b w:val="1"/>
                <w:bCs w:val="1"/>
                <w:color w:val="2360A6"/>
              </w:rPr>
              <w:t>—</w:t>
            </w:r>
          </w:p>
        </w:tc>
      </w:tr>
      <w:tr>
        <w:trPr>
          <w:trHeight w:val="337"/>
        </w:trPr>
        <w:tc>
          <w:tcPr>
            <w:tcW w:w="3440" w:type="dxa"/>
            <w:vAlign w:val="bottom"/>
            <w:tcBorders>
              <w:bottom w:val="single" w:sz="8" w:color="2360A6"/>
            </w:tcBorders>
          </w:tcPr>
          <w:p>
            <w:pPr>
              <w:spacing w:after="0"/>
              <w:rPr>
                <w:sz w:val="24"/>
                <w:szCs w:val="24"/>
                <w:color w:val="auto"/>
              </w:rPr>
            </w:pPr>
          </w:p>
        </w:tc>
        <w:tc>
          <w:tcPr>
            <w:tcW w:w="980" w:type="dxa"/>
            <w:vAlign w:val="bottom"/>
            <w:tcBorders>
              <w:bottom w:val="single" w:sz="8" w:color="2360A6"/>
            </w:tcBorders>
          </w:tcPr>
          <w:p>
            <w:pPr>
              <w:spacing w:after="0"/>
              <w:rPr>
                <w:sz w:val="24"/>
                <w:szCs w:val="24"/>
                <w:color w:val="auto"/>
              </w:rPr>
            </w:pPr>
          </w:p>
        </w:tc>
        <w:tc>
          <w:tcPr>
            <w:tcW w:w="1500" w:type="dxa"/>
            <w:vAlign w:val="bottom"/>
            <w:tcBorders>
              <w:bottom w:val="single" w:sz="8" w:color="2360A6"/>
            </w:tcBorders>
          </w:tcPr>
          <w:p>
            <w:pPr>
              <w:spacing w:after="0"/>
              <w:rPr>
                <w:sz w:val="24"/>
                <w:szCs w:val="24"/>
                <w:color w:val="auto"/>
              </w:rPr>
            </w:pPr>
          </w:p>
        </w:tc>
        <w:tc>
          <w:tcPr>
            <w:tcW w:w="1160" w:type="dxa"/>
            <w:vAlign w:val="bottom"/>
            <w:tcBorders>
              <w:bottom w:val="single" w:sz="8" w:color="2360A6"/>
            </w:tcBorders>
          </w:tcPr>
          <w:p>
            <w:pPr>
              <w:spacing w:after="0"/>
              <w:rPr>
                <w:sz w:val="24"/>
                <w:szCs w:val="24"/>
                <w:color w:val="auto"/>
              </w:rPr>
            </w:pPr>
          </w:p>
        </w:tc>
        <w:tc>
          <w:tcPr>
            <w:tcW w:w="1180" w:type="dxa"/>
            <w:vAlign w:val="bottom"/>
            <w:tcBorders>
              <w:bottom w:val="single" w:sz="8" w:color="2360A6"/>
            </w:tcBorders>
          </w:tcPr>
          <w:p>
            <w:pPr>
              <w:spacing w:after="0"/>
              <w:rPr>
                <w:sz w:val="24"/>
                <w:szCs w:val="24"/>
                <w:color w:val="auto"/>
              </w:rPr>
            </w:pPr>
          </w:p>
        </w:tc>
        <w:tc>
          <w:tcPr>
            <w:tcW w:w="1280" w:type="dxa"/>
            <w:vAlign w:val="bottom"/>
            <w:tcBorders>
              <w:bottom w:val="single" w:sz="8" w:color="2360A6"/>
            </w:tcBorders>
          </w:tcPr>
          <w:p>
            <w:pPr>
              <w:spacing w:after="0"/>
              <w:rPr>
                <w:sz w:val="24"/>
                <w:szCs w:val="24"/>
                <w:color w:val="auto"/>
              </w:rPr>
            </w:pPr>
          </w:p>
        </w:tc>
        <w:tc>
          <w:tcPr>
            <w:tcW w:w="1160" w:type="dxa"/>
            <w:vAlign w:val="bottom"/>
            <w:tcBorders>
              <w:bottom w:val="single" w:sz="8" w:color="2360A6"/>
            </w:tcBorders>
          </w:tcPr>
          <w:p>
            <w:pPr>
              <w:spacing w:after="0"/>
              <w:rPr>
                <w:sz w:val="24"/>
                <w:szCs w:val="24"/>
                <w:color w:val="auto"/>
              </w:rPr>
            </w:pPr>
          </w:p>
        </w:tc>
      </w:tr>
      <w:tr>
        <w:trPr>
          <w:trHeight w:val="204"/>
        </w:trPr>
        <w:tc>
          <w:tcPr>
            <w:tcW w:w="34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980" w:type="dxa"/>
            <w:vAlign w:val="bottom"/>
            <w:tcBorders>
              <w:bottom w:val="single" w:sz="8" w:color="2360A6"/>
            </w:tcBorders>
          </w:tcPr>
          <w:p>
            <w:pPr>
              <w:spacing w:after="0"/>
              <w:rPr>
                <w:sz w:val="17"/>
                <w:szCs w:val="17"/>
                <w:color w:val="auto"/>
              </w:rPr>
            </w:pPr>
          </w:p>
        </w:tc>
        <w:tc>
          <w:tcPr>
            <w:tcW w:w="1500" w:type="dxa"/>
            <w:vAlign w:val="bottom"/>
            <w:tcBorders>
              <w:bottom w:val="single" w:sz="8" w:color="2360A6"/>
            </w:tcBorders>
          </w:tcPr>
          <w:p>
            <w:pPr>
              <w:spacing w:after="0"/>
              <w:rPr>
                <w:sz w:val="17"/>
                <w:szCs w:val="17"/>
                <w:color w:val="auto"/>
              </w:rPr>
            </w:pPr>
          </w:p>
        </w:tc>
        <w:tc>
          <w:tcPr>
            <w:tcW w:w="2340" w:type="dxa"/>
            <w:vAlign w:val="bottom"/>
            <w:tcBorders>
              <w:bottom w:val="single" w:sz="8" w:color="2360A6"/>
            </w:tcBorders>
            <w:gridSpan w:val="2"/>
          </w:tcPr>
          <w:p>
            <w:pPr>
              <w:jc w:val="right"/>
              <w:ind w:right="296"/>
              <w:spacing w:after="0"/>
              <w:rPr>
                <w:sz w:val="20"/>
                <w:szCs w:val="20"/>
                <w:color w:val="auto"/>
              </w:rPr>
            </w:pPr>
            <w:r>
              <w:rPr>
                <w:rFonts w:ascii="Arial" w:cs="Arial" w:eastAsia="Arial" w:hAnsi="Arial"/>
                <w:sz w:val="14"/>
                <w:szCs w:val="14"/>
                <w:b w:val="1"/>
                <w:bCs w:val="1"/>
                <w:color w:val="2360A6"/>
              </w:rPr>
              <w:t>As of December 31, 2014</w:t>
            </w:r>
          </w:p>
        </w:tc>
        <w:tc>
          <w:tcPr>
            <w:tcW w:w="1280" w:type="dxa"/>
            <w:vAlign w:val="bottom"/>
            <w:tcBorders>
              <w:bottom w:val="single" w:sz="8" w:color="2360A6"/>
            </w:tcBorders>
          </w:tcPr>
          <w:p>
            <w:pPr>
              <w:spacing w:after="0"/>
              <w:rPr>
                <w:sz w:val="17"/>
                <w:szCs w:val="17"/>
                <w:color w:val="auto"/>
              </w:rPr>
            </w:pPr>
          </w:p>
        </w:tc>
        <w:tc>
          <w:tcPr>
            <w:tcW w:w="1160" w:type="dxa"/>
            <w:vAlign w:val="bottom"/>
            <w:tcBorders>
              <w:bottom w:val="single" w:sz="8" w:color="2360A6"/>
              <w:right w:val="single" w:sz="8" w:color="2360A6"/>
            </w:tcBorders>
          </w:tcPr>
          <w:p>
            <w:pPr>
              <w:spacing w:after="0"/>
              <w:rPr>
                <w:sz w:val="17"/>
                <w:szCs w:val="17"/>
                <w:color w:val="auto"/>
              </w:rPr>
            </w:pPr>
          </w:p>
        </w:tc>
      </w:tr>
      <w:tr>
        <w:trPr>
          <w:trHeight w:val="175"/>
        </w:trPr>
        <w:tc>
          <w:tcPr>
            <w:tcW w:w="344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Financial Liabilities (by Type of Financial</w:t>
            </w:r>
          </w:p>
        </w:tc>
        <w:tc>
          <w:tcPr>
            <w:tcW w:w="980" w:type="dxa"/>
            <w:vAlign w:val="bottom"/>
            <w:tcBorders>
              <w:right w:val="single" w:sz="8" w:color="2360A6"/>
            </w:tcBorders>
          </w:tcPr>
          <w:p>
            <w:pPr>
              <w:spacing w:after="0"/>
              <w:rPr>
                <w:sz w:val="15"/>
                <w:szCs w:val="15"/>
                <w:color w:val="auto"/>
              </w:rPr>
            </w:pPr>
          </w:p>
        </w:tc>
        <w:tc>
          <w:tcPr>
            <w:tcW w:w="1500" w:type="dxa"/>
            <w:vAlign w:val="bottom"/>
            <w:tcBorders>
              <w:right w:val="single" w:sz="8" w:color="2360A6"/>
            </w:tcBorders>
          </w:tcPr>
          <w:p>
            <w:pPr>
              <w:spacing w:after="0"/>
              <w:rPr>
                <w:sz w:val="15"/>
                <w:szCs w:val="15"/>
                <w:color w:val="auto"/>
              </w:rPr>
            </w:pPr>
          </w:p>
        </w:tc>
        <w:tc>
          <w:tcPr>
            <w:tcW w:w="1160" w:type="dxa"/>
            <w:vAlign w:val="bottom"/>
            <w:tcBorders>
              <w:right w:val="single" w:sz="8" w:color="2360A6"/>
            </w:tcBorders>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tcBorders>
              <w:right w:val="single" w:sz="8" w:color="2360A6"/>
            </w:tcBorders>
          </w:tcPr>
          <w:p>
            <w:pPr>
              <w:spacing w:after="0"/>
              <w:rPr>
                <w:sz w:val="15"/>
                <w:szCs w:val="15"/>
                <w:color w:val="auto"/>
              </w:rPr>
            </w:pPr>
          </w:p>
        </w:tc>
        <w:tc>
          <w:tcPr>
            <w:tcW w:w="1160" w:type="dxa"/>
            <w:vAlign w:val="bottom"/>
            <w:tcBorders>
              <w:right w:val="single" w:sz="8" w:color="2360A6"/>
            </w:tcBorders>
          </w:tcPr>
          <w:p>
            <w:pPr>
              <w:spacing w:after="0"/>
              <w:rPr>
                <w:sz w:val="15"/>
                <w:szCs w:val="15"/>
                <w:color w:val="auto"/>
              </w:rPr>
            </w:pPr>
          </w:p>
        </w:tc>
      </w:tr>
      <w:tr>
        <w:trPr>
          <w:trHeight w:val="196"/>
        </w:trPr>
        <w:tc>
          <w:tcPr>
            <w:tcW w:w="34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b w:val="1"/>
                <w:bCs w:val="1"/>
                <w:color w:val="2360A6"/>
              </w:rPr>
              <w:t>Instruments)</w:t>
            </w:r>
          </w:p>
        </w:tc>
        <w:tc>
          <w:tcPr>
            <w:tcW w:w="98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b w:val="1"/>
                <w:bCs w:val="1"/>
                <w:color w:val="2360A6"/>
              </w:rPr>
              <w:t>a</w:t>
            </w:r>
          </w:p>
        </w:tc>
        <w:tc>
          <w:tcPr>
            <w:tcW w:w="1500" w:type="dxa"/>
            <w:vAlign w:val="bottom"/>
            <w:tcBorders>
              <w:bottom w:val="single" w:sz="8" w:color="2360A6"/>
              <w:right w:val="single" w:sz="8" w:color="2360A6"/>
            </w:tcBorders>
          </w:tcPr>
          <w:p>
            <w:pPr>
              <w:jc w:val="right"/>
              <w:ind w:right="1336"/>
              <w:spacing w:after="0"/>
              <w:rPr>
                <w:sz w:val="20"/>
                <w:szCs w:val="20"/>
                <w:color w:val="auto"/>
              </w:rPr>
            </w:pPr>
            <w:r>
              <w:rPr>
                <w:rFonts w:ascii="Arial" w:cs="Arial" w:eastAsia="Arial" w:hAnsi="Arial"/>
                <w:sz w:val="13"/>
                <w:szCs w:val="13"/>
                <w:b w:val="1"/>
                <w:bCs w:val="1"/>
                <w:color w:val="2360A6"/>
              </w:rPr>
              <w:t>b</w:t>
            </w:r>
          </w:p>
        </w:tc>
        <w:tc>
          <w:tcPr>
            <w:tcW w:w="1160" w:type="dxa"/>
            <w:vAlign w:val="bottom"/>
            <w:tcBorders>
              <w:bottom w:val="single" w:sz="8" w:color="2360A6"/>
              <w:right w:val="single" w:sz="8" w:color="2360A6"/>
            </w:tcBorders>
          </w:tcPr>
          <w:p>
            <w:pPr>
              <w:jc w:val="right"/>
              <w:ind w:right="1014"/>
              <w:spacing w:after="0"/>
              <w:rPr>
                <w:sz w:val="20"/>
                <w:szCs w:val="20"/>
                <w:color w:val="auto"/>
              </w:rPr>
            </w:pPr>
            <w:r>
              <w:rPr>
                <w:rFonts w:ascii="Arial" w:cs="Arial" w:eastAsia="Arial" w:hAnsi="Arial"/>
                <w:sz w:val="13"/>
                <w:szCs w:val="13"/>
                <w:b w:val="1"/>
                <w:bCs w:val="1"/>
                <w:color w:val="2360A6"/>
                <w:w w:val="82"/>
              </w:rPr>
              <w:t>c</w:t>
            </w:r>
          </w:p>
        </w:tc>
        <w:tc>
          <w:tcPr>
            <w:tcW w:w="1180" w:type="dxa"/>
            <w:vAlign w:val="bottom"/>
            <w:tcBorders>
              <w:bottom w:val="single" w:sz="8" w:color="2360A6"/>
            </w:tcBorders>
          </w:tcPr>
          <w:p>
            <w:pPr>
              <w:ind w:left="40"/>
              <w:spacing w:after="0"/>
              <w:rPr>
                <w:sz w:val="20"/>
                <w:szCs w:val="20"/>
                <w:color w:val="auto"/>
              </w:rPr>
            </w:pPr>
            <w:r>
              <w:rPr>
                <w:rFonts w:ascii="Arial" w:cs="Arial" w:eastAsia="Arial" w:hAnsi="Arial"/>
                <w:sz w:val="13"/>
                <w:szCs w:val="13"/>
                <w:b w:val="1"/>
                <w:bCs w:val="1"/>
                <w:color w:val="2360A6"/>
              </w:rPr>
              <w:t>d</w:t>
            </w:r>
          </w:p>
        </w:tc>
        <w:tc>
          <w:tcPr>
            <w:tcW w:w="1280" w:type="dxa"/>
            <w:vAlign w:val="bottom"/>
            <w:tcBorders>
              <w:bottom w:val="single" w:sz="8" w:color="2360A6"/>
              <w:right w:val="single" w:sz="8" w:color="2360A6"/>
            </w:tcBorders>
          </w:tcPr>
          <w:p>
            <w:pPr>
              <w:spacing w:after="0"/>
              <w:rPr>
                <w:sz w:val="17"/>
                <w:szCs w:val="17"/>
                <w:color w:val="auto"/>
              </w:rPr>
            </w:pPr>
          </w:p>
        </w:tc>
        <w:tc>
          <w:tcPr>
            <w:tcW w:w="1160" w:type="dxa"/>
            <w:vAlign w:val="bottom"/>
            <w:tcBorders>
              <w:bottom w:val="single" w:sz="8" w:color="2360A6"/>
              <w:right w:val="single" w:sz="8" w:color="2360A6"/>
            </w:tcBorders>
          </w:tcPr>
          <w:p>
            <w:pPr>
              <w:jc w:val="right"/>
              <w:ind w:right="1015"/>
              <w:spacing w:after="0"/>
              <w:rPr>
                <w:sz w:val="20"/>
                <w:szCs w:val="20"/>
                <w:color w:val="auto"/>
              </w:rPr>
            </w:pPr>
            <w:r>
              <w:rPr>
                <w:rFonts w:ascii="Arial" w:cs="Arial" w:eastAsia="Arial" w:hAnsi="Arial"/>
                <w:sz w:val="13"/>
                <w:szCs w:val="13"/>
                <w:b w:val="1"/>
                <w:bCs w:val="1"/>
                <w:color w:val="2360A6"/>
                <w:w w:val="82"/>
              </w:rPr>
              <w:t>e</w:t>
            </w:r>
          </w:p>
        </w:tc>
      </w:tr>
      <w:tr>
        <w:trPr>
          <w:trHeight w:val="342"/>
        </w:trPr>
        <w:tc>
          <w:tcPr>
            <w:tcW w:w="3440" w:type="dxa"/>
            <w:vAlign w:val="bottom"/>
            <w:tcBorders>
              <w:left w:val="single" w:sz="8" w:color="2360A6"/>
              <w:right w:val="single" w:sz="8" w:color="2360A6"/>
            </w:tcBorders>
          </w:tcPr>
          <w:p>
            <w:pPr>
              <w:spacing w:after="0"/>
              <w:rPr>
                <w:sz w:val="24"/>
                <w:szCs w:val="24"/>
                <w:color w:val="auto"/>
              </w:rPr>
            </w:pPr>
          </w:p>
        </w:tc>
        <w:tc>
          <w:tcPr>
            <w:tcW w:w="980" w:type="dxa"/>
            <w:vAlign w:val="bottom"/>
            <w:tcBorders>
              <w:right w:val="single" w:sz="8" w:color="2360A6"/>
            </w:tcBorders>
          </w:tcPr>
          <w:p>
            <w:pPr>
              <w:spacing w:after="0"/>
              <w:rPr>
                <w:sz w:val="24"/>
                <w:szCs w:val="24"/>
                <w:color w:val="auto"/>
              </w:rPr>
            </w:pPr>
          </w:p>
        </w:tc>
        <w:tc>
          <w:tcPr>
            <w:tcW w:w="1500" w:type="dxa"/>
            <w:vAlign w:val="bottom"/>
            <w:tcBorders>
              <w:right w:val="single" w:sz="8" w:color="2360A6"/>
            </w:tcBorders>
          </w:tcPr>
          <w:p>
            <w:pPr>
              <w:jc w:val="right"/>
              <w:ind w:right="76"/>
              <w:spacing w:after="0"/>
              <w:rPr>
                <w:sz w:val="20"/>
                <w:szCs w:val="20"/>
                <w:color w:val="auto"/>
              </w:rPr>
            </w:pPr>
            <w:r>
              <w:rPr>
                <w:rFonts w:ascii="Arial" w:cs="Arial" w:eastAsia="Arial" w:hAnsi="Arial"/>
                <w:sz w:val="13"/>
                <w:szCs w:val="13"/>
                <w:b w:val="1"/>
                <w:bCs w:val="1"/>
                <w:color w:val="2360A6"/>
              </w:rPr>
              <w:t>Gross Amounts Set</w:t>
            </w:r>
          </w:p>
        </w:tc>
        <w:tc>
          <w:tcPr>
            <w:tcW w:w="1160" w:type="dxa"/>
            <w:vAlign w:val="bottom"/>
            <w:tcBorders>
              <w:right w:val="single" w:sz="8" w:color="2360A6"/>
            </w:tcBorders>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Borders>
              <w:right w:val="single" w:sz="8" w:color="2360A6"/>
            </w:tcBorders>
          </w:tcPr>
          <w:p>
            <w:pPr>
              <w:spacing w:after="0"/>
              <w:rPr>
                <w:sz w:val="24"/>
                <w:szCs w:val="24"/>
                <w:color w:val="auto"/>
              </w:rPr>
            </w:pPr>
          </w:p>
        </w:tc>
        <w:tc>
          <w:tcPr>
            <w:tcW w:w="1160" w:type="dxa"/>
            <w:vAlign w:val="bottom"/>
            <w:tcBorders>
              <w:right w:val="single" w:sz="8" w:color="2360A6"/>
            </w:tcBorders>
          </w:tcPr>
          <w:p>
            <w:pPr>
              <w:spacing w:after="0"/>
              <w:rPr>
                <w:sz w:val="24"/>
                <w:szCs w:val="24"/>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1500" w:type="dxa"/>
            <w:vAlign w:val="bottom"/>
            <w:tcBorders>
              <w:right w:val="single" w:sz="8" w:color="2360A6"/>
            </w:tcBorders>
          </w:tcPr>
          <w:p>
            <w:pPr>
              <w:jc w:val="right"/>
              <w:ind w:right="76"/>
              <w:spacing w:after="0" w:line="135" w:lineRule="exact"/>
              <w:rPr>
                <w:sz w:val="20"/>
                <w:szCs w:val="20"/>
                <w:color w:val="auto"/>
              </w:rPr>
            </w:pPr>
            <w:r>
              <w:rPr>
                <w:rFonts w:ascii="Arial" w:cs="Arial" w:eastAsia="Arial" w:hAnsi="Arial"/>
                <w:sz w:val="13"/>
                <w:szCs w:val="13"/>
                <w:b w:val="1"/>
                <w:bCs w:val="1"/>
                <w:color w:val="2360A6"/>
              </w:rPr>
              <w:t>off in the Financial</w:t>
            </w:r>
          </w:p>
        </w:tc>
        <w:tc>
          <w:tcPr>
            <w:tcW w:w="116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Net Amounts</w:t>
            </w:r>
          </w:p>
        </w:tc>
        <w:tc>
          <w:tcPr>
            <w:tcW w:w="1180" w:type="dxa"/>
            <w:vAlign w:val="bottom"/>
          </w:tcPr>
          <w:p>
            <w:pPr>
              <w:spacing w:after="0"/>
              <w:rPr>
                <w:sz w:val="11"/>
                <w:szCs w:val="11"/>
                <w:color w:val="auto"/>
              </w:rPr>
            </w:pPr>
          </w:p>
        </w:tc>
        <w:tc>
          <w:tcPr>
            <w:tcW w:w="1280" w:type="dxa"/>
            <w:vAlign w:val="bottom"/>
            <w:tcBorders>
              <w:right w:val="single" w:sz="8" w:color="2360A6"/>
            </w:tcBorders>
          </w:tcPr>
          <w:p>
            <w:pPr>
              <w:spacing w:after="0"/>
              <w:rPr>
                <w:sz w:val="11"/>
                <w:szCs w:val="11"/>
                <w:color w:val="auto"/>
              </w:rPr>
            </w:pPr>
          </w:p>
        </w:tc>
        <w:tc>
          <w:tcPr>
            <w:tcW w:w="1160" w:type="dxa"/>
            <w:vAlign w:val="bottom"/>
            <w:tcBorders>
              <w:right w:val="single" w:sz="8" w:color="2360A6"/>
            </w:tcBorders>
          </w:tcPr>
          <w:p>
            <w:pPr>
              <w:spacing w:after="0"/>
              <w:rPr>
                <w:sz w:val="11"/>
                <w:szCs w:val="1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ind w:left="20"/>
              <w:spacing w:after="0" w:line="135" w:lineRule="exact"/>
              <w:rPr>
                <w:sz w:val="20"/>
                <w:szCs w:val="20"/>
                <w:color w:val="auto"/>
              </w:rPr>
            </w:pPr>
            <w:r>
              <w:rPr>
                <w:rFonts w:ascii="Arial" w:cs="Arial" w:eastAsia="Arial" w:hAnsi="Arial"/>
                <w:sz w:val="13"/>
                <w:szCs w:val="13"/>
                <w:b w:val="1"/>
                <w:bCs w:val="1"/>
                <w:color w:val="2360A6"/>
              </w:rPr>
              <w:t>Gross Amount</w:t>
            </w:r>
          </w:p>
        </w:tc>
        <w:tc>
          <w:tcPr>
            <w:tcW w:w="1500" w:type="dxa"/>
            <w:vAlign w:val="bottom"/>
            <w:tcBorders>
              <w:right w:val="single" w:sz="8" w:color="2360A6"/>
            </w:tcBorders>
          </w:tcPr>
          <w:p>
            <w:pPr>
              <w:jc w:val="right"/>
              <w:ind w:right="76"/>
              <w:spacing w:after="0" w:line="135" w:lineRule="exact"/>
              <w:rPr>
                <w:sz w:val="20"/>
                <w:szCs w:val="20"/>
                <w:color w:val="auto"/>
              </w:rPr>
            </w:pPr>
            <w:r>
              <w:rPr>
                <w:rFonts w:ascii="Arial" w:cs="Arial" w:eastAsia="Arial" w:hAnsi="Arial"/>
                <w:sz w:val="13"/>
                <w:szCs w:val="13"/>
                <w:b w:val="1"/>
                <w:bCs w:val="1"/>
                <w:color w:val="2360A6"/>
              </w:rPr>
              <w:t>Statements</w:t>
            </w:r>
          </w:p>
        </w:tc>
        <w:tc>
          <w:tcPr>
            <w:tcW w:w="116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Recorded in the</w:t>
            </w:r>
          </w:p>
        </w:tc>
        <w:tc>
          <w:tcPr>
            <w:tcW w:w="2460" w:type="dxa"/>
            <w:vAlign w:val="bottom"/>
            <w:tcBorders>
              <w:right w:val="single" w:sz="8" w:color="2360A6"/>
            </w:tcBorders>
            <w:gridSpan w:val="2"/>
          </w:tcPr>
          <w:p>
            <w:pPr>
              <w:ind w:left="40"/>
              <w:spacing w:after="0" w:line="135" w:lineRule="exact"/>
              <w:rPr>
                <w:sz w:val="20"/>
                <w:szCs w:val="20"/>
                <w:color w:val="auto"/>
              </w:rPr>
            </w:pPr>
            <w:r>
              <w:rPr>
                <w:rFonts w:ascii="Arial" w:cs="Arial" w:eastAsia="Arial" w:hAnsi="Arial"/>
                <w:sz w:val="13"/>
                <w:szCs w:val="13"/>
                <w:b w:val="1"/>
                <w:bCs w:val="1"/>
                <w:color w:val="2360A6"/>
              </w:rPr>
              <w:t>Related Amounts not Set off in the</w:t>
            </w:r>
          </w:p>
        </w:tc>
        <w:tc>
          <w:tcPr>
            <w:tcW w:w="1160" w:type="dxa"/>
            <w:vAlign w:val="bottom"/>
            <w:tcBorders>
              <w:right w:val="single" w:sz="8" w:color="2360A6"/>
            </w:tcBorders>
          </w:tcPr>
          <w:p>
            <w:pPr>
              <w:spacing w:after="0"/>
              <w:rPr>
                <w:sz w:val="11"/>
                <w:szCs w:val="11"/>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ind w:left="20"/>
              <w:spacing w:after="0" w:line="135" w:lineRule="exact"/>
              <w:rPr>
                <w:sz w:val="20"/>
                <w:szCs w:val="20"/>
                <w:color w:val="auto"/>
              </w:rPr>
            </w:pPr>
            <w:r>
              <w:rPr>
                <w:rFonts w:ascii="Arial" w:cs="Arial" w:eastAsia="Arial" w:hAnsi="Arial"/>
                <w:sz w:val="13"/>
                <w:szCs w:val="13"/>
                <w:b w:val="1"/>
                <w:bCs w:val="1"/>
                <w:color w:val="2360A6"/>
              </w:rPr>
              <w:t>(before</w:t>
            </w:r>
          </w:p>
        </w:tc>
        <w:tc>
          <w:tcPr>
            <w:tcW w:w="1500" w:type="dxa"/>
            <w:vAlign w:val="bottom"/>
            <w:tcBorders>
              <w:right w:val="single" w:sz="8" w:color="2360A6"/>
            </w:tcBorders>
          </w:tcPr>
          <w:p>
            <w:pPr>
              <w:jc w:val="right"/>
              <w:ind w:right="76"/>
              <w:spacing w:after="0" w:line="135" w:lineRule="exact"/>
              <w:rPr>
                <w:sz w:val="20"/>
                <w:szCs w:val="20"/>
                <w:color w:val="auto"/>
              </w:rPr>
            </w:pPr>
            <w:r>
              <w:rPr>
                <w:rFonts w:ascii="Arial" w:cs="Arial" w:eastAsia="Arial" w:hAnsi="Arial"/>
                <w:sz w:val="13"/>
                <w:szCs w:val="13"/>
                <w:b w:val="1"/>
                <w:bCs w:val="1"/>
                <w:color w:val="2360A6"/>
              </w:rPr>
              <w:t>(according to</w:t>
            </w:r>
          </w:p>
        </w:tc>
        <w:tc>
          <w:tcPr>
            <w:tcW w:w="1160" w:type="dxa"/>
            <w:vAlign w:val="bottom"/>
            <w:tcBorders>
              <w:right w:val="single" w:sz="8" w:color="2360A6"/>
            </w:tcBorders>
          </w:tcPr>
          <w:p>
            <w:pPr>
              <w:jc w:val="right"/>
              <w:spacing w:after="0" w:line="135" w:lineRule="exact"/>
              <w:rPr>
                <w:sz w:val="20"/>
                <w:szCs w:val="20"/>
                <w:color w:val="auto"/>
              </w:rPr>
            </w:pPr>
            <w:r>
              <w:rPr>
                <w:rFonts w:ascii="Arial" w:cs="Arial" w:eastAsia="Arial" w:hAnsi="Arial"/>
                <w:sz w:val="13"/>
                <w:szCs w:val="13"/>
                <w:b w:val="1"/>
                <w:bCs w:val="1"/>
                <w:color w:val="2360A6"/>
              </w:rPr>
              <w:t>Financial</w:t>
            </w:r>
          </w:p>
        </w:tc>
        <w:tc>
          <w:tcPr>
            <w:tcW w:w="2460" w:type="dxa"/>
            <w:vAlign w:val="bottom"/>
            <w:tcBorders>
              <w:right w:val="single" w:sz="8" w:color="2360A6"/>
            </w:tcBorders>
            <w:gridSpan w:val="2"/>
          </w:tcPr>
          <w:p>
            <w:pPr>
              <w:ind w:left="40"/>
              <w:spacing w:after="0" w:line="135" w:lineRule="exact"/>
              <w:rPr>
                <w:sz w:val="20"/>
                <w:szCs w:val="20"/>
                <w:color w:val="auto"/>
              </w:rPr>
            </w:pPr>
            <w:r>
              <w:rPr>
                <w:rFonts w:ascii="Arial" w:cs="Arial" w:eastAsia="Arial" w:hAnsi="Arial"/>
                <w:sz w:val="13"/>
                <w:szCs w:val="13"/>
                <w:b w:val="1"/>
                <w:bCs w:val="1"/>
                <w:color w:val="2360A6"/>
              </w:rPr>
              <w:t>Statement of Financial Position (not</w:t>
            </w:r>
          </w:p>
        </w:tc>
        <w:tc>
          <w:tcPr>
            <w:tcW w:w="1160" w:type="dxa"/>
            <w:vAlign w:val="bottom"/>
            <w:tcBorders>
              <w:right w:val="single" w:sz="8" w:color="2360A6"/>
            </w:tcBorders>
          </w:tcPr>
          <w:p>
            <w:pPr>
              <w:jc w:val="right"/>
              <w:ind w:right="55"/>
              <w:spacing w:after="0" w:line="135" w:lineRule="exact"/>
              <w:rPr>
                <w:sz w:val="20"/>
                <w:szCs w:val="20"/>
                <w:color w:val="auto"/>
              </w:rPr>
            </w:pPr>
            <w:r>
              <w:rPr>
                <w:rFonts w:ascii="Arial" w:cs="Arial" w:eastAsia="Arial" w:hAnsi="Arial"/>
                <w:sz w:val="13"/>
                <w:szCs w:val="13"/>
                <w:b w:val="1"/>
                <w:bCs w:val="1"/>
                <w:color w:val="2360A6"/>
              </w:rPr>
              <w:t>Net</w:t>
            </w:r>
          </w:p>
        </w:tc>
      </w:tr>
      <w:tr>
        <w:trPr>
          <w:trHeight w:val="178"/>
        </w:trPr>
        <w:tc>
          <w:tcPr>
            <w:tcW w:w="3440" w:type="dxa"/>
            <w:vAlign w:val="bottom"/>
            <w:tcBorders>
              <w:left w:val="single" w:sz="8" w:color="2360A6"/>
              <w:right w:val="single" w:sz="8" w:color="2360A6"/>
            </w:tcBorders>
          </w:tcPr>
          <w:p>
            <w:pPr>
              <w:spacing w:after="0"/>
              <w:rPr>
                <w:sz w:val="15"/>
                <w:szCs w:val="15"/>
                <w:color w:val="auto"/>
              </w:rPr>
            </w:pPr>
          </w:p>
        </w:tc>
        <w:tc>
          <w:tcPr>
            <w:tcW w:w="98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3"/>
                <w:szCs w:val="13"/>
                <w:b w:val="1"/>
                <w:bCs w:val="1"/>
                <w:color w:val="2360A6"/>
              </w:rPr>
              <w:t>Offsetting)</w:t>
            </w:r>
          </w:p>
        </w:tc>
        <w:tc>
          <w:tcPr>
            <w:tcW w:w="1500" w:type="dxa"/>
            <w:vAlign w:val="bottom"/>
            <w:tcBorders>
              <w:bottom w:val="single" w:sz="8" w:color="2360A6"/>
              <w:right w:val="single" w:sz="8" w:color="2360A6"/>
            </w:tcBorders>
          </w:tcPr>
          <w:p>
            <w:pPr>
              <w:jc w:val="right"/>
              <w:ind w:right="76"/>
              <w:spacing w:after="0"/>
              <w:rPr>
                <w:sz w:val="20"/>
                <w:szCs w:val="20"/>
                <w:color w:val="auto"/>
              </w:rPr>
            </w:pPr>
            <w:r>
              <w:rPr>
                <w:rFonts w:ascii="Arial" w:cs="Arial" w:eastAsia="Arial" w:hAnsi="Arial"/>
                <w:sz w:val="13"/>
                <w:szCs w:val="13"/>
                <w:b w:val="1"/>
                <w:bCs w:val="1"/>
                <w:color w:val="2360A6"/>
              </w:rPr>
              <w:t>IAS 32)</w:t>
            </w:r>
          </w:p>
        </w:tc>
        <w:tc>
          <w:tcPr>
            <w:tcW w:w="11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3"/>
                <w:szCs w:val="13"/>
                <w:b w:val="1"/>
                <w:bCs w:val="1"/>
                <w:color w:val="2360A6"/>
              </w:rPr>
              <w:t>Statements (a- b)</w:t>
            </w:r>
          </w:p>
        </w:tc>
        <w:tc>
          <w:tcPr>
            <w:tcW w:w="2460" w:type="dxa"/>
            <w:vAlign w:val="bottom"/>
            <w:tcBorders>
              <w:bottom w:val="single" w:sz="8" w:color="2360A6"/>
              <w:right w:val="single" w:sz="8" w:color="2360A6"/>
            </w:tcBorders>
            <w:gridSpan w:val="2"/>
          </w:tcPr>
          <w:p>
            <w:pPr>
              <w:ind w:left="40"/>
              <w:spacing w:after="0"/>
              <w:rPr>
                <w:sz w:val="20"/>
                <w:szCs w:val="20"/>
                <w:color w:val="auto"/>
              </w:rPr>
            </w:pPr>
            <w:r>
              <w:rPr>
                <w:rFonts w:ascii="Arial" w:cs="Arial" w:eastAsia="Arial" w:hAnsi="Arial"/>
                <w:sz w:val="13"/>
                <w:szCs w:val="13"/>
                <w:b w:val="1"/>
                <w:bCs w:val="1"/>
                <w:color w:val="2360A6"/>
              </w:rPr>
              <w:t>Meeting Offsetting Criteria IAS 32)</w:t>
            </w:r>
          </w:p>
        </w:tc>
        <w:tc>
          <w:tcPr>
            <w:tcW w:w="1160" w:type="dxa"/>
            <w:vAlign w:val="bottom"/>
            <w:tcBorders>
              <w:bottom w:val="single" w:sz="8" w:color="2360A6"/>
              <w:right w:val="single" w:sz="8" w:color="2360A6"/>
            </w:tcBorders>
          </w:tcPr>
          <w:p>
            <w:pPr>
              <w:jc w:val="right"/>
              <w:ind w:right="55"/>
              <w:spacing w:after="0"/>
              <w:rPr>
                <w:sz w:val="20"/>
                <w:szCs w:val="20"/>
                <w:color w:val="auto"/>
              </w:rPr>
            </w:pPr>
            <w:r>
              <w:rPr>
                <w:rFonts w:ascii="Arial" w:cs="Arial" w:eastAsia="Arial" w:hAnsi="Arial"/>
                <w:sz w:val="13"/>
                <w:szCs w:val="13"/>
                <w:b w:val="1"/>
                <w:bCs w:val="1"/>
                <w:color w:val="2360A6"/>
              </w:rPr>
              <w:t>Amount (c- d)</w:t>
            </w:r>
          </w:p>
        </w:tc>
      </w:tr>
      <w:tr>
        <w:trPr>
          <w:trHeight w:val="208"/>
        </w:trPr>
        <w:tc>
          <w:tcPr>
            <w:tcW w:w="3440" w:type="dxa"/>
            <w:vAlign w:val="bottom"/>
            <w:tcBorders>
              <w:left w:val="single" w:sz="8" w:color="2360A6"/>
              <w:right w:val="single" w:sz="8" w:color="2360A6"/>
            </w:tcBorders>
          </w:tcPr>
          <w:p>
            <w:pPr>
              <w:spacing w:after="0"/>
              <w:rPr>
                <w:sz w:val="18"/>
                <w:szCs w:val="18"/>
                <w:color w:val="auto"/>
              </w:rPr>
            </w:pPr>
          </w:p>
        </w:tc>
        <w:tc>
          <w:tcPr>
            <w:tcW w:w="980" w:type="dxa"/>
            <w:vAlign w:val="bottom"/>
            <w:tcBorders>
              <w:right w:val="single" w:sz="8" w:color="2360A6"/>
            </w:tcBorders>
          </w:tcPr>
          <w:p>
            <w:pPr>
              <w:spacing w:after="0"/>
              <w:rPr>
                <w:sz w:val="18"/>
                <w:szCs w:val="18"/>
                <w:color w:val="auto"/>
              </w:rPr>
            </w:pPr>
          </w:p>
        </w:tc>
        <w:tc>
          <w:tcPr>
            <w:tcW w:w="1500" w:type="dxa"/>
            <w:vAlign w:val="bottom"/>
            <w:tcBorders>
              <w:right w:val="single" w:sz="8" w:color="2360A6"/>
            </w:tcBorders>
          </w:tcPr>
          <w:p>
            <w:pPr>
              <w:spacing w:after="0"/>
              <w:rPr>
                <w:sz w:val="18"/>
                <w:szCs w:val="18"/>
                <w:color w:val="auto"/>
              </w:rPr>
            </w:pPr>
          </w:p>
        </w:tc>
        <w:tc>
          <w:tcPr>
            <w:tcW w:w="1160" w:type="dxa"/>
            <w:vAlign w:val="bottom"/>
            <w:tcBorders>
              <w:right w:val="single" w:sz="8" w:color="2360A6"/>
            </w:tcBorders>
          </w:tcPr>
          <w:p>
            <w:pPr>
              <w:spacing w:after="0"/>
              <w:rPr>
                <w:sz w:val="18"/>
                <w:szCs w:val="18"/>
                <w:color w:val="auto"/>
              </w:rPr>
            </w:pPr>
          </w:p>
        </w:tc>
        <w:tc>
          <w:tcPr>
            <w:tcW w:w="1180" w:type="dxa"/>
            <w:vAlign w:val="bottom"/>
            <w:tcBorders>
              <w:right w:val="single" w:sz="8" w:color="2360A6"/>
            </w:tcBorders>
          </w:tcPr>
          <w:p>
            <w:pPr>
              <w:spacing w:after="0"/>
              <w:rPr>
                <w:sz w:val="18"/>
                <w:szCs w:val="18"/>
                <w:color w:val="auto"/>
              </w:rPr>
            </w:pPr>
          </w:p>
        </w:tc>
        <w:tc>
          <w:tcPr>
            <w:tcW w:w="1280" w:type="dxa"/>
            <w:vAlign w:val="bottom"/>
            <w:tcBorders>
              <w:right w:val="single" w:sz="8" w:color="2360A6"/>
            </w:tcBorders>
          </w:tcPr>
          <w:p>
            <w:pPr>
              <w:jc w:val="right"/>
              <w:ind w:right="55"/>
              <w:spacing w:after="0"/>
              <w:rPr>
                <w:sz w:val="20"/>
                <w:szCs w:val="20"/>
                <w:color w:val="auto"/>
              </w:rPr>
            </w:pPr>
            <w:r>
              <w:rPr>
                <w:rFonts w:ascii="Arial" w:cs="Arial" w:eastAsia="Arial" w:hAnsi="Arial"/>
                <w:sz w:val="13"/>
                <w:szCs w:val="13"/>
                <w:b w:val="1"/>
                <w:bCs w:val="1"/>
                <w:color w:val="2360A6"/>
              </w:rPr>
              <w:t>Fair Value of</w:t>
            </w:r>
          </w:p>
        </w:tc>
        <w:tc>
          <w:tcPr>
            <w:tcW w:w="1160" w:type="dxa"/>
            <w:vAlign w:val="bottom"/>
            <w:tcBorders>
              <w:right w:val="single" w:sz="8" w:color="2360A6"/>
            </w:tcBorders>
          </w:tcPr>
          <w:p>
            <w:pPr>
              <w:spacing w:after="0"/>
              <w:rPr>
                <w:sz w:val="18"/>
                <w:szCs w:val="18"/>
                <w:color w:val="auto"/>
              </w:rPr>
            </w:pPr>
          </w:p>
        </w:tc>
      </w:tr>
      <w:tr>
        <w:trPr>
          <w:trHeight w:val="135"/>
        </w:trPr>
        <w:tc>
          <w:tcPr>
            <w:tcW w:w="3440" w:type="dxa"/>
            <w:vAlign w:val="bottom"/>
            <w:tcBorders>
              <w:left w:val="single" w:sz="8" w:color="2360A6"/>
              <w:right w:val="single" w:sz="8" w:color="2360A6"/>
            </w:tcBorders>
          </w:tcPr>
          <w:p>
            <w:pPr>
              <w:spacing w:after="0"/>
              <w:rPr>
                <w:sz w:val="11"/>
                <w:szCs w:val="11"/>
                <w:color w:val="auto"/>
              </w:rPr>
            </w:pPr>
          </w:p>
        </w:tc>
        <w:tc>
          <w:tcPr>
            <w:tcW w:w="980" w:type="dxa"/>
            <w:vAlign w:val="bottom"/>
            <w:tcBorders>
              <w:right w:val="single" w:sz="8" w:color="2360A6"/>
            </w:tcBorders>
          </w:tcPr>
          <w:p>
            <w:pPr>
              <w:spacing w:after="0"/>
              <w:rPr>
                <w:sz w:val="11"/>
                <w:szCs w:val="11"/>
                <w:color w:val="auto"/>
              </w:rPr>
            </w:pPr>
          </w:p>
        </w:tc>
        <w:tc>
          <w:tcPr>
            <w:tcW w:w="1500" w:type="dxa"/>
            <w:vAlign w:val="bottom"/>
            <w:tcBorders>
              <w:right w:val="single" w:sz="8" w:color="2360A6"/>
            </w:tcBorders>
          </w:tcPr>
          <w:p>
            <w:pPr>
              <w:spacing w:after="0"/>
              <w:rPr>
                <w:sz w:val="11"/>
                <w:szCs w:val="11"/>
                <w:color w:val="auto"/>
              </w:rPr>
            </w:pPr>
          </w:p>
        </w:tc>
        <w:tc>
          <w:tcPr>
            <w:tcW w:w="1160" w:type="dxa"/>
            <w:vAlign w:val="bottom"/>
            <w:tcBorders>
              <w:right w:val="single" w:sz="8" w:color="2360A6"/>
            </w:tcBorders>
          </w:tcPr>
          <w:p>
            <w:pPr>
              <w:spacing w:after="0"/>
              <w:rPr>
                <w:sz w:val="11"/>
                <w:szCs w:val="11"/>
                <w:color w:val="auto"/>
              </w:rPr>
            </w:pPr>
          </w:p>
        </w:tc>
        <w:tc>
          <w:tcPr>
            <w:tcW w:w="1180" w:type="dxa"/>
            <w:vAlign w:val="bottom"/>
            <w:tcBorders>
              <w:right w:val="single" w:sz="8" w:color="2360A6"/>
            </w:tcBorders>
          </w:tcPr>
          <w:p>
            <w:pPr>
              <w:jc w:val="center"/>
              <w:spacing w:after="0" w:line="135" w:lineRule="exact"/>
              <w:rPr>
                <w:sz w:val="20"/>
                <w:szCs w:val="20"/>
                <w:color w:val="auto"/>
              </w:rPr>
            </w:pPr>
            <w:r>
              <w:rPr>
                <w:rFonts w:ascii="Arial" w:cs="Arial" w:eastAsia="Arial" w:hAnsi="Arial"/>
                <w:sz w:val="13"/>
                <w:szCs w:val="13"/>
                <w:b w:val="1"/>
                <w:bCs w:val="1"/>
                <w:color w:val="2360A6"/>
                <w:w w:val="99"/>
              </w:rPr>
              <w:t>Financial</w:t>
            </w:r>
          </w:p>
        </w:tc>
        <w:tc>
          <w:tcPr>
            <w:tcW w:w="1280" w:type="dxa"/>
            <w:vAlign w:val="bottom"/>
            <w:tcBorders>
              <w:right w:val="single" w:sz="8" w:color="2360A6"/>
            </w:tcBorders>
          </w:tcPr>
          <w:p>
            <w:pPr>
              <w:jc w:val="right"/>
              <w:ind w:right="55"/>
              <w:spacing w:after="0" w:line="135" w:lineRule="exact"/>
              <w:rPr>
                <w:sz w:val="20"/>
                <w:szCs w:val="20"/>
                <w:color w:val="auto"/>
              </w:rPr>
            </w:pPr>
            <w:r>
              <w:rPr>
                <w:rFonts w:ascii="Arial" w:cs="Arial" w:eastAsia="Arial" w:hAnsi="Arial"/>
                <w:sz w:val="13"/>
                <w:szCs w:val="13"/>
                <w:b w:val="1"/>
                <w:bCs w:val="1"/>
                <w:color w:val="2360A6"/>
              </w:rPr>
              <w:t>Financial</w:t>
            </w:r>
          </w:p>
        </w:tc>
        <w:tc>
          <w:tcPr>
            <w:tcW w:w="1160" w:type="dxa"/>
            <w:vAlign w:val="bottom"/>
            <w:tcBorders>
              <w:right w:val="single" w:sz="8" w:color="2360A6"/>
            </w:tcBorders>
          </w:tcPr>
          <w:p>
            <w:pPr>
              <w:spacing w:after="0"/>
              <w:rPr>
                <w:sz w:val="11"/>
                <w:szCs w:val="11"/>
                <w:color w:val="auto"/>
              </w:rPr>
            </w:pPr>
          </w:p>
        </w:tc>
      </w:tr>
      <w:tr>
        <w:trPr>
          <w:trHeight w:val="178"/>
        </w:trPr>
        <w:tc>
          <w:tcPr>
            <w:tcW w:w="3440" w:type="dxa"/>
            <w:vAlign w:val="bottom"/>
            <w:tcBorders>
              <w:left w:val="single" w:sz="8" w:color="2360A6"/>
              <w:bottom w:val="single" w:sz="8" w:color="2360A6"/>
              <w:right w:val="single" w:sz="8" w:color="2360A6"/>
            </w:tcBorders>
          </w:tcPr>
          <w:p>
            <w:pPr>
              <w:spacing w:after="0"/>
              <w:rPr>
                <w:sz w:val="15"/>
                <w:szCs w:val="15"/>
                <w:color w:val="auto"/>
              </w:rPr>
            </w:pPr>
          </w:p>
        </w:tc>
        <w:tc>
          <w:tcPr>
            <w:tcW w:w="980" w:type="dxa"/>
            <w:vAlign w:val="bottom"/>
            <w:tcBorders>
              <w:bottom w:val="single" w:sz="8" w:color="2360A6"/>
              <w:right w:val="single" w:sz="8" w:color="2360A6"/>
            </w:tcBorders>
          </w:tcPr>
          <w:p>
            <w:pPr>
              <w:spacing w:after="0"/>
              <w:rPr>
                <w:sz w:val="15"/>
                <w:szCs w:val="15"/>
                <w:color w:val="auto"/>
              </w:rPr>
            </w:pPr>
          </w:p>
        </w:tc>
        <w:tc>
          <w:tcPr>
            <w:tcW w:w="1500" w:type="dxa"/>
            <w:vAlign w:val="bottom"/>
            <w:tcBorders>
              <w:bottom w:val="single" w:sz="8" w:color="2360A6"/>
              <w:right w:val="single" w:sz="8" w:color="2360A6"/>
            </w:tcBorders>
          </w:tcPr>
          <w:p>
            <w:pPr>
              <w:spacing w:after="0"/>
              <w:rPr>
                <w:sz w:val="15"/>
                <w:szCs w:val="15"/>
                <w:color w:val="auto"/>
              </w:rPr>
            </w:pPr>
          </w:p>
        </w:tc>
        <w:tc>
          <w:tcPr>
            <w:tcW w:w="1160" w:type="dxa"/>
            <w:vAlign w:val="bottom"/>
            <w:tcBorders>
              <w:bottom w:val="single" w:sz="8" w:color="2360A6"/>
              <w:right w:val="single" w:sz="8" w:color="2360A6"/>
            </w:tcBorders>
          </w:tcPr>
          <w:p>
            <w:pPr>
              <w:spacing w:after="0"/>
              <w:rPr>
                <w:sz w:val="15"/>
                <w:szCs w:val="15"/>
                <w:color w:val="auto"/>
              </w:rPr>
            </w:pPr>
          </w:p>
        </w:tc>
        <w:tc>
          <w:tcPr>
            <w:tcW w:w="1180" w:type="dxa"/>
            <w:vAlign w:val="bottom"/>
            <w:tcBorders>
              <w:bottom w:val="single" w:sz="8" w:color="2360A6"/>
              <w:right w:val="single" w:sz="8" w:color="2360A6"/>
            </w:tcBorders>
          </w:tcPr>
          <w:p>
            <w:pPr>
              <w:jc w:val="center"/>
              <w:spacing w:after="0"/>
              <w:rPr>
                <w:sz w:val="20"/>
                <w:szCs w:val="20"/>
                <w:color w:val="auto"/>
              </w:rPr>
            </w:pPr>
            <w:r>
              <w:rPr>
                <w:rFonts w:ascii="Arial" w:cs="Arial" w:eastAsia="Arial" w:hAnsi="Arial"/>
                <w:sz w:val="13"/>
                <w:szCs w:val="13"/>
                <w:b w:val="1"/>
                <w:bCs w:val="1"/>
                <w:color w:val="2360A6"/>
                <w:w w:val="96"/>
              </w:rPr>
              <w:t>Instruments</w:t>
            </w:r>
          </w:p>
        </w:tc>
        <w:tc>
          <w:tcPr>
            <w:tcW w:w="1280" w:type="dxa"/>
            <w:vAlign w:val="bottom"/>
            <w:tcBorders>
              <w:bottom w:val="single" w:sz="8" w:color="2360A6"/>
              <w:right w:val="single" w:sz="8" w:color="2360A6"/>
            </w:tcBorders>
          </w:tcPr>
          <w:p>
            <w:pPr>
              <w:jc w:val="right"/>
              <w:ind w:right="55"/>
              <w:spacing w:after="0"/>
              <w:rPr>
                <w:sz w:val="20"/>
                <w:szCs w:val="20"/>
                <w:color w:val="auto"/>
              </w:rPr>
            </w:pPr>
            <w:r>
              <w:rPr>
                <w:rFonts w:ascii="Arial" w:cs="Arial" w:eastAsia="Arial" w:hAnsi="Arial"/>
                <w:sz w:val="13"/>
                <w:szCs w:val="13"/>
                <w:b w:val="1"/>
                <w:bCs w:val="1"/>
                <w:color w:val="2360A6"/>
              </w:rPr>
              <w:t>Collaterals</w:t>
            </w:r>
          </w:p>
        </w:tc>
        <w:tc>
          <w:tcPr>
            <w:tcW w:w="1160" w:type="dxa"/>
            <w:vAlign w:val="bottom"/>
            <w:tcBorders>
              <w:bottom w:val="single" w:sz="8" w:color="2360A6"/>
              <w:right w:val="single" w:sz="8" w:color="2360A6"/>
            </w:tcBorders>
          </w:tcPr>
          <w:p>
            <w:pPr>
              <w:spacing w:after="0"/>
              <w:rPr>
                <w:sz w:val="15"/>
                <w:szCs w:val="15"/>
                <w:color w:val="auto"/>
              </w:rPr>
            </w:pPr>
          </w:p>
        </w:tc>
      </w:tr>
      <w:tr>
        <w:trPr>
          <w:trHeight w:val="210"/>
        </w:trPr>
        <w:tc>
          <w:tcPr>
            <w:tcW w:w="3440" w:type="dxa"/>
            <w:vAlign w:val="bottom"/>
            <w:tcBorders>
              <w:left w:val="single" w:sz="8" w:color="2360A6"/>
              <w:bottom w:val="single" w:sz="8" w:color="2360A6"/>
              <w:right w:val="single" w:sz="8" w:color="2360A6"/>
            </w:tcBorders>
            <w:shd w:val="clear" w:color="auto" w:fill="CCD1E7"/>
          </w:tcPr>
          <w:p>
            <w:pPr>
              <w:ind w:left="40"/>
              <w:spacing w:after="0"/>
              <w:rPr>
                <w:sz w:val="20"/>
                <w:szCs w:val="20"/>
                <w:color w:val="auto"/>
              </w:rPr>
            </w:pPr>
            <w:r>
              <w:rPr>
                <w:rFonts w:ascii="Arial" w:cs="Arial" w:eastAsia="Arial" w:hAnsi="Arial"/>
                <w:sz w:val="14"/>
                <w:szCs w:val="14"/>
                <w:b w:val="1"/>
                <w:bCs w:val="1"/>
                <w:color w:val="2360A6"/>
              </w:rPr>
              <w:t>TOTAL DERIVATIVE FINANCIAL INSTRUMENTS</w:t>
            </w:r>
          </w:p>
        </w:tc>
        <w:tc>
          <w:tcPr>
            <w:tcW w:w="98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300.5</w:t>
            </w:r>
          </w:p>
        </w:tc>
        <w:tc>
          <w:tcPr>
            <w:tcW w:w="1500" w:type="dxa"/>
            <w:vAlign w:val="bottom"/>
            <w:tcBorders>
              <w:bottom w:val="single" w:sz="8" w:color="2360A6"/>
              <w:right w:val="single" w:sz="8" w:color="2360A6"/>
            </w:tcBorders>
            <w:shd w:val="clear" w:color="auto" w:fill="CCD1E7"/>
          </w:tcPr>
          <w:p>
            <w:pPr>
              <w:jc w:val="right"/>
              <w:ind w:right="76"/>
              <w:spacing w:after="0"/>
              <w:rPr>
                <w:sz w:val="20"/>
                <w:szCs w:val="20"/>
                <w:color w:val="auto"/>
              </w:rPr>
            </w:pPr>
            <w:r>
              <w:rPr>
                <w:rFonts w:ascii="Arial" w:cs="Arial" w:eastAsia="Arial" w:hAnsi="Arial"/>
                <w:sz w:val="14"/>
                <w:szCs w:val="14"/>
                <w:b w:val="1"/>
                <w:bCs w:val="1"/>
                <w:color w:val="2360A6"/>
              </w:rPr>
              <w:t>—</w:t>
            </w:r>
          </w:p>
        </w:tc>
        <w:tc>
          <w:tcPr>
            <w:tcW w:w="116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300.5</w:t>
            </w:r>
          </w:p>
        </w:tc>
        <w:tc>
          <w:tcPr>
            <w:tcW w:w="1180" w:type="dxa"/>
            <w:vAlign w:val="bottom"/>
            <w:tcBorders>
              <w:bottom w:val="single" w:sz="8" w:color="2360A6"/>
              <w:right w:val="single" w:sz="8" w:color="2360A6"/>
            </w:tcBorders>
            <w:shd w:val="clear" w:color="auto" w:fill="CCD1E7"/>
          </w:tcPr>
          <w:p>
            <w:pPr>
              <w:jc w:val="right"/>
              <w:spacing w:after="0"/>
              <w:rPr>
                <w:sz w:val="20"/>
                <w:szCs w:val="20"/>
                <w:color w:val="auto"/>
              </w:rPr>
            </w:pPr>
            <w:r>
              <w:rPr>
                <w:rFonts w:ascii="Arial" w:cs="Arial" w:eastAsia="Arial" w:hAnsi="Arial"/>
                <w:sz w:val="14"/>
                <w:szCs w:val="14"/>
                <w:b w:val="1"/>
                <w:bCs w:val="1"/>
                <w:color w:val="2360A6"/>
              </w:rPr>
              <w:t>46.6</w:t>
            </w:r>
          </w:p>
        </w:tc>
        <w:tc>
          <w:tcPr>
            <w:tcW w:w="1280" w:type="dxa"/>
            <w:vAlign w:val="bottom"/>
            <w:tcBorders>
              <w:bottom w:val="single" w:sz="8" w:color="2360A6"/>
              <w:right w:val="single" w:sz="8" w:color="2360A6"/>
            </w:tcBorders>
            <w:shd w:val="clear" w:color="auto" w:fill="CCD1E7"/>
          </w:tcPr>
          <w:p>
            <w:pPr>
              <w:jc w:val="right"/>
              <w:ind w:right="55"/>
              <w:spacing w:after="0"/>
              <w:rPr>
                <w:sz w:val="20"/>
                <w:szCs w:val="20"/>
                <w:color w:val="auto"/>
              </w:rPr>
            </w:pPr>
            <w:r>
              <w:rPr>
                <w:rFonts w:ascii="Arial" w:cs="Arial" w:eastAsia="Arial" w:hAnsi="Arial"/>
                <w:sz w:val="14"/>
                <w:szCs w:val="14"/>
                <w:b w:val="1"/>
                <w:bCs w:val="1"/>
                <w:color w:val="2360A6"/>
              </w:rPr>
              <w:t>—</w:t>
            </w:r>
          </w:p>
        </w:tc>
        <w:tc>
          <w:tcPr>
            <w:tcW w:w="1160" w:type="dxa"/>
            <w:vAlign w:val="bottom"/>
            <w:tcBorders>
              <w:bottom w:val="single" w:sz="8" w:color="2360A6"/>
              <w:right w:val="single" w:sz="8" w:color="2360A6"/>
            </w:tcBorders>
            <w:shd w:val="clear" w:color="auto" w:fill="CCD1E7"/>
          </w:tcPr>
          <w:p>
            <w:pPr>
              <w:jc w:val="right"/>
              <w:ind w:right="55"/>
              <w:spacing w:after="0"/>
              <w:rPr>
                <w:sz w:val="20"/>
                <w:szCs w:val="20"/>
                <w:color w:val="auto"/>
              </w:rPr>
            </w:pPr>
            <w:r>
              <w:rPr>
                <w:rFonts w:ascii="Arial" w:cs="Arial" w:eastAsia="Arial" w:hAnsi="Arial"/>
                <w:sz w:val="14"/>
                <w:szCs w:val="14"/>
                <w:b w:val="1"/>
                <w:bCs w:val="1"/>
                <w:color w:val="2360A6"/>
              </w:rPr>
              <w:t>253.9</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27 Payroll Staff</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231F20"/>
        </w:rPr>
        <w:t>In 2016, Technip had a workforce of 29,400, in 45 countries, including an average of 3,400 contracted workforce integrated in operating teams.</w:t>
      </w:r>
    </w:p>
    <w:p>
      <w:pPr>
        <w:spacing w:after="0" w:line="22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In 2015, Technip had a workforce of more than 34,000 people, in 45 countries, including an average of 5,300 contracted workforce integrated in operating teams.</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In 2014, Technip had a workforce of more than 38,000 people, in 48 countries, including an average of 6,400 contracted workforce integrated in operating teams.</w:t>
      </w:r>
    </w:p>
    <w:p>
      <w:pPr>
        <w:spacing w:after="0" w:line="73"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28 Related Parties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Transactions with Related Parties</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IFP Énergies nouvelles (IFP) is represented on Technip’s Board of Directors. Its percentage of ownership amounted to 2.30% as of December 31, 2016, 2.40% as of December 31, 2015 and 2.50% as of December 31, 2014.</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Technip paid IFP a royalty in respect of an agreement for research cooperation on offshore deepwaters. This royalty is determined under arm’s length conditions and amounted to €3.3 million in 2016, to €3.2 million in 2015 and €3.2 million in 2014. The amount paid to IFP was €4.3 million in 2016, €2.9 million in 2015 and €3.2 million in 2014.</w:t>
      </w:r>
    </w:p>
    <w:p>
      <w:pPr>
        <w:sectPr>
          <w:pgSz w:w="11900" w:h="16838" w:orient="portrait"/>
          <w:cols w:equalWidth="0" w:num="1">
            <w:col w:w="11340"/>
          </w:cols>
          <w:pgMar w:left="320" w:top="714" w:right="239" w:bottom="1440" w:gutter="0" w:footer="0" w:header="0"/>
        </w:sectPr>
      </w:pPr>
    </w:p>
    <w:bookmarkStart w:id="158" w:name="page159"/>
    <w:bookmarkEnd w:id="158"/>
    <w:p>
      <w:pPr>
        <w:ind w:left="540" w:right="680" w:hanging="451"/>
        <w:spacing w:after="0" w:line="288" w:lineRule="auto"/>
        <w:tabs>
          <w:tab w:leader="none" w:pos="501" w:val="left"/>
        </w:tabs>
        <w:numPr>
          <w:ilvl w:val="0"/>
          <w:numId w:val="61"/>
        </w:numPr>
        <w:rPr>
          <w:rFonts w:ascii="Arial" w:cs="Arial" w:eastAsia="Arial" w:hAnsi="Arial"/>
          <w:sz w:val="25"/>
          <w:szCs w:val="25"/>
          <w:b w:val="1"/>
          <w:bCs w:val="1"/>
          <w:color w:val="231F20"/>
        </w:rPr>
      </w:pPr>
      <w:r>
        <w:rPr>
          <w:rFonts w:ascii="Arial" w:cs="Arial" w:eastAsia="Arial" w:hAnsi="Arial"/>
          <w:sz w:val="25"/>
          <w:szCs w:val="25"/>
          <w:b w:val="1"/>
          <w:bCs w:val="1"/>
          <w:color w:val="231F20"/>
        </w:rPr>
        <w:t>Receivables and Payables, Income and Expenses with Respect to Associates in Joint Arrangements</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Receivables and payables towards associates in joint arrangements are as follows:</w:t>
      </w:r>
    </w:p>
    <w:p>
      <w:pPr>
        <w:spacing w:after="0" w:line="118" w:lineRule="exact"/>
        <w:rPr>
          <w:sz w:val="20"/>
          <w:szCs w:val="20"/>
          <w:color w:val="auto"/>
        </w:rPr>
      </w:pPr>
    </w:p>
    <w:tbl>
      <w:tblPr>
        <w:tblLayout w:type="fixed"/>
        <w:tblInd w:w="410" w:type="dxa"/>
        <w:tblCellMar>
          <w:top w:w="0" w:type="dxa"/>
          <w:left w:w="0" w:type="dxa"/>
          <w:bottom w:w="0" w:type="dxa"/>
          <w:right w:w="0" w:type="dxa"/>
        </w:tblCellMar>
      </w:tblPr>
      <w:tr>
        <w:trPr>
          <w:trHeight w:val="189"/>
        </w:trPr>
        <w:tc>
          <w:tcPr>
            <w:tcW w:w="2680" w:type="dxa"/>
            <w:vAlign w:val="bottom"/>
            <w:tcBorders>
              <w:top w:val="single" w:sz="8" w:color="2360A6"/>
              <w:left w:val="single" w:sz="8" w:color="2360A6"/>
              <w:right w:val="single" w:sz="8" w:color="2360A6"/>
            </w:tcBorders>
          </w:tcPr>
          <w:p>
            <w:pPr>
              <w:spacing w:after="0"/>
              <w:rPr>
                <w:sz w:val="16"/>
                <w:szCs w:val="16"/>
                <w:color w:val="auto"/>
              </w:rPr>
            </w:pPr>
          </w:p>
        </w:tc>
        <w:tc>
          <w:tcPr>
            <w:tcW w:w="2660" w:type="dxa"/>
            <w:vAlign w:val="bottom"/>
            <w:tcBorders>
              <w:top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As of</w:t>
            </w:r>
          </w:p>
        </w:tc>
        <w:tc>
          <w:tcPr>
            <w:tcW w:w="26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As of</w:t>
            </w:r>
          </w:p>
        </w:tc>
        <w:tc>
          <w:tcPr>
            <w:tcW w:w="266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As of</w:t>
            </w:r>
          </w:p>
        </w:tc>
      </w:tr>
      <w:tr>
        <w:trPr>
          <w:trHeight w:val="162"/>
        </w:trPr>
        <w:tc>
          <w:tcPr>
            <w:tcW w:w="2680" w:type="dxa"/>
            <w:vAlign w:val="bottom"/>
            <w:tcBorders>
              <w:left w:val="single" w:sz="8" w:color="2360A6"/>
              <w:right w:val="single" w:sz="8" w:color="2360A6"/>
            </w:tcBorders>
          </w:tcPr>
          <w:p>
            <w:pPr>
              <w:spacing w:after="0"/>
              <w:rPr>
                <w:sz w:val="14"/>
                <w:szCs w:val="14"/>
                <w:color w:val="auto"/>
              </w:rPr>
            </w:pPr>
          </w:p>
        </w:tc>
        <w:tc>
          <w:tcPr>
            <w:tcW w:w="2660" w:type="dxa"/>
            <w:vAlign w:val="bottom"/>
            <w:tcBorders>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December 31,</w:t>
            </w:r>
          </w:p>
        </w:tc>
        <w:tc>
          <w:tcPr>
            <w:tcW w:w="266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December 31,</w:t>
            </w:r>
          </w:p>
        </w:tc>
        <w:tc>
          <w:tcPr>
            <w:tcW w:w="266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26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2660" w:type="dxa"/>
            <w:vAlign w:val="bottom"/>
            <w:tcBorders>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26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2015</w:t>
            </w:r>
          </w:p>
        </w:tc>
        <w:tc>
          <w:tcPr>
            <w:tcW w:w="26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26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Trade Receivables</w:t>
            </w:r>
          </w:p>
        </w:tc>
        <w:tc>
          <w:tcPr>
            <w:tcW w:w="26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208.9</w:t>
            </w:r>
          </w:p>
        </w:tc>
        <w:tc>
          <w:tcPr>
            <w:tcW w:w="26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auto"/>
              </w:rPr>
              <w:t>376.9</w:t>
            </w:r>
          </w:p>
        </w:tc>
        <w:tc>
          <w:tcPr>
            <w:tcW w:w="26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373.3</w:t>
            </w:r>
          </w:p>
        </w:tc>
      </w:tr>
      <w:tr>
        <w:trPr>
          <w:trHeight w:val="210"/>
        </w:trPr>
        <w:tc>
          <w:tcPr>
            <w:tcW w:w="26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Trade Payables</w:t>
            </w:r>
          </w:p>
        </w:tc>
        <w:tc>
          <w:tcPr>
            <w:tcW w:w="26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81.0</w:t>
            </w:r>
          </w:p>
        </w:tc>
        <w:tc>
          <w:tcPr>
            <w:tcW w:w="26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24.5</w:t>
            </w:r>
          </w:p>
        </w:tc>
        <w:tc>
          <w:tcPr>
            <w:tcW w:w="26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180.8</w:t>
            </w:r>
          </w:p>
        </w:tc>
      </w:tr>
      <w:tr>
        <w:trPr>
          <w:trHeight w:val="175"/>
        </w:trPr>
        <w:tc>
          <w:tcPr>
            <w:tcW w:w="2680" w:type="dxa"/>
            <w:vAlign w:val="bottom"/>
            <w:tcBorders>
              <w:left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NET TRADE</w:t>
            </w:r>
          </w:p>
        </w:tc>
        <w:tc>
          <w:tcPr>
            <w:tcW w:w="2660" w:type="dxa"/>
            <w:vAlign w:val="bottom"/>
            <w:tcBorders>
              <w:right w:val="single" w:sz="8" w:color="2360A6"/>
            </w:tcBorders>
            <w:shd w:val="clear" w:color="auto" w:fill="D2DEEC"/>
          </w:tcPr>
          <w:p>
            <w:pPr>
              <w:spacing w:after="0"/>
              <w:rPr>
                <w:sz w:val="15"/>
                <w:szCs w:val="15"/>
                <w:color w:val="auto"/>
              </w:rPr>
            </w:pPr>
          </w:p>
        </w:tc>
        <w:tc>
          <w:tcPr>
            <w:tcW w:w="2660" w:type="dxa"/>
            <w:vAlign w:val="bottom"/>
            <w:tcBorders>
              <w:right w:val="single" w:sz="8" w:color="2360A6"/>
            </w:tcBorders>
            <w:shd w:val="clear" w:color="auto" w:fill="D2DEEC"/>
          </w:tcPr>
          <w:p>
            <w:pPr>
              <w:spacing w:after="0"/>
              <w:rPr>
                <w:sz w:val="15"/>
                <w:szCs w:val="15"/>
                <w:color w:val="auto"/>
              </w:rPr>
            </w:pPr>
          </w:p>
        </w:tc>
        <w:tc>
          <w:tcPr>
            <w:tcW w:w="2660" w:type="dxa"/>
            <w:vAlign w:val="bottom"/>
            <w:tcBorders>
              <w:right w:val="single" w:sz="8" w:color="2360A6"/>
            </w:tcBorders>
            <w:shd w:val="clear" w:color="auto" w:fill="D2DEEC"/>
          </w:tcPr>
          <w:p>
            <w:pPr>
              <w:spacing w:after="0"/>
              <w:rPr>
                <w:sz w:val="15"/>
                <w:szCs w:val="15"/>
                <w:color w:val="auto"/>
              </w:rPr>
            </w:pPr>
          </w:p>
        </w:tc>
      </w:tr>
      <w:tr>
        <w:trPr>
          <w:trHeight w:val="196"/>
        </w:trPr>
        <w:tc>
          <w:tcPr>
            <w:tcW w:w="268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RECEIVABLES/(PAYABLES)</w:t>
            </w:r>
          </w:p>
        </w:tc>
        <w:tc>
          <w:tcPr>
            <w:tcW w:w="26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127.9</w:t>
            </w:r>
          </w:p>
        </w:tc>
        <w:tc>
          <w:tcPr>
            <w:tcW w:w="26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352.4</w:t>
            </w:r>
          </w:p>
        </w:tc>
        <w:tc>
          <w:tcPr>
            <w:tcW w:w="26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192.5</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231F20"/>
        </w:rPr>
        <w:t>Income and expenses generated with associates in joint arrangements are as follows:</w:t>
      </w:r>
    </w:p>
    <w:p>
      <w:pPr>
        <w:spacing w:after="0" w:line="118" w:lineRule="exact"/>
        <w:rPr>
          <w:sz w:val="20"/>
          <w:szCs w:val="20"/>
          <w:color w:val="auto"/>
        </w:rPr>
      </w:pPr>
    </w:p>
    <w:tbl>
      <w:tblPr>
        <w:tblLayout w:type="fixed"/>
        <w:tblInd w:w="410" w:type="dxa"/>
        <w:tblCellMar>
          <w:top w:w="0" w:type="dxa"/>
          <w:left w:w="0" w:type="dxa"/>
          <w:bottom w:w="0" w:type="dxa"/>
          <w:right w:w="0" w:type="dxa"/>
        </w:tblCellMar>
      </w:tblPr>
      <w:tr>
        <w:trPr>
          <w:trHeight w:val="224"/>
        </w:trPr>
        <w:tc>
          <w:tcPr>
            <w:tcW w:w="3640" w:type="dxa"/>
            <w:vAlign w:val="bottom"/>
            <w:tcBorders>
              <w:top w:val="single" w:sz="8" w:color="2360A6"/>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2340" w:type="dxa"/>
            <w:vAlign w:val="bottom"/>
            <w:tcBorders>
              <w:top w:val="single" w:sz="8" w:color="2360A6"/>
              <w:bottom w:val="single" w:sz="8" w:color="2360A6"/>
              <w:right w:val="single" w:sz="8" w:color="2360A6"/>
            </w:tcBorders>
            <w:shd w:val="clear" w:color="auto" w:fill="2360A6"/>
          </w:tcPr>
          <w:p>
            <w:pPr>
              <w:jc w:val="right"/>
              <w:spacing w:after="0"/>
              <w:rPr>
                <w:sz w:val="20"/>
                <w:szCs w:val="20"/>
                <w:color w:val="auto"/>
              </w:rPr>
            </w:pPr>
            <w:r>
              <w:rPr>
                <w:rFonts w:ascii="Arial" w:cs="Arial" w:eastAsia="Arial" w:hAnsi="Arial"/>
                <w:sz w:val="14"/>
                <w:szCs w:val="14"/>
                <w:b w:val="1"/>
                <w:bCs w:val="1"/>
                <w:color w:val="FFFFFF"/>
              </w:rPr>
              <w:t>2016</w:t>
            </w:r>
          </w:p>
        </w:tc>
        <w:tc>
          <w:tcPr>
            <w:tcW w:w="234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2015</w:t>
            </w:r>
          </w:p>
        </w:tc>
        <w:tc>
          <w:tcPr>
            <w:tcW w:w="2340" w:type="dxa"/>
            <w:vAlign w:val="bottom"/>
            <w:tcBorders>
              <w:top w:val="single" w:sz="8" w:color="2360A6"/>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10"/>
        </w:trPr>
        <w:tc>
          <w:tcPr>
            <w:tcW w:w="36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Income</w:t>
            </w:r>
          </w:p>
        </w:tc>
        <w:tc>
          <w:tcPr>
            <w:tcW w:w="234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61.2</w:t>
            </w:r>
          </w:p>
        </w:tc>
        <w:tc>
          <w:tcPr>
            <w:tcW w:w="23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372.6</w:t>
            </w:r>
          </w:p>
        </w:tc>
        <w:tc>
          <w:tcPr>
            <w:tcW w:w="23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311.0</w:t>
            </w:r>
          </w:p>
        </w:tc>
      </w:tr>
      <w:tr>
        <w:trPr>
          <w:trHeight w:val="210"/>
        </w:trPr>
        <w:tc>
          <w:tcPr>
            <w:tcW w:w="364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Expenses</w:t>
            </w:r>
          </w:p>
        </w:tc>
        <w:tc>
          <w:tcPr>
            <w:tcW w:w="234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auto"/>
              </w:rPr>
              <w:t>(100.3)</w:t>
            </w:r>
          </w:p>
        </w:tc>
        <w:tc>
          <w:tcPr>
            <w:tcW w:w="23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(48.1)</w:t>
            </w:r>
          </w:p>
        </w:tc>
        <w:tc>
          <w:tcPr>
            <w:tcW w:w="23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(45.3)</w:t>
            </w:r>
          </w:p>
        </w:tc>
      </w:tr>
    </w:tbl>
    <w:p>
      <w:pPr>
        <w:spacing w:after="0" w:line="294"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231F20"/>
        </w:rPr>
        <w:t>(C) Compensation of the Chairman and 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2016</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of the Chairman and Chief Executive Officer is composed of both a fixed and a variable portion.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2016, the aggregate amount of compensation due by the Company to Thierry Pilenko amounted to € 2,271,631.</w:t>
      </w:r>
    </w:p>
    <w:p>
      <w:pPr>
        <w:spacing w:after="0" w:line="11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variable portion of the compensation is subject to precise and predetermined objectives. 70% of the target variable portion is linked to the financial performance of the Group (quantitative criteria) and 30% is linked to the achievement of individual objectives (qualitative criteria). The share of the variable portion is linked with a financial target (70% of the total) and broken down into two objectives:</w:t>
      </w:r>
    </w:p>
    <w:p>
      <w:pPr>
        <w:spacing w:after="0" w:line="5"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8"/>
          <w:szCs w:val="18"/>
          <w:color w:val="006EBF"/>
        </w:rPr>
      </w:pPr>
      <w:r>
        <w:rPr>
          <w:rFonts w:ascii="Arial" w:cs="Arial" w:eastAsia="Arial" w:hAnsi="Arial"/>
          <w:sz w:val="16"/>
          <w:szCs w:val="16"/>
          <w:color w:val="auto"/>
        </w:rPr>
        <w:t>up to 50% on the Group operating income budgeted for 2016.</w:t>
      </w:r>
    </w:p>
    <w:p>
      <w:pPr>
        <w:spacing w:after="0" w:line="9" w:lineRule="exact"/>
        <w:rPr>
          <w:rFonts w:ascii="Arial" w:cs="Arial" w:eastAsia="Arial" w:hAnsi="Arial"/>
          <w:sz w:val="18"/>
          <w:szCs w:val="18"/>
          <w:color w:val="006EBF"/>
        </w:rPr>
      </w:pPr>
    </w:p>
    <w:p>
      <w:pPr>
        <w:ind w:left="180" w:hanging="172"/>
        <w:spacing w:after="0"/>
        <w:tabs>
          <w:tab w:leader="none" w:pos="180" w:val="left"/>
        </w:tabs>
        <w:numPr>
          <w:ilvl w:val="0"/>
          <w:numId w:val="62"/>
        </w:numPr>
        <w:rPr>
          <w:rFonts w:ascii="Arial" w:cs="Arial" w:eastAsia="Arial" w:hAnsi="Arial"/>
          <w:sz w:val="18"/>
          <w:szCs w:val="18"/>
          <w:color w:val="006EBF"/>
        </w:rPr>
      </w:pPr>
      <w:r>
        <w:rPr>
          <w:rFonts w:ascii="Arial" w:cs="Arial" w:eastAsia="Arial" w:hAnsi="Arial"/>
          <w:sz w:val="16"/>
          <w:szCs w:val="16"/>
          <w:color w:val="auto"/>
        </w:rPr>
        <w:t>up to 20% on the percentage of gross margin on order intake.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variable portion due to Thierry Pilenko for financial year 2016 is €1,187,420.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Thierry Pilenko does not receive any directors’ fees for the positions he holds as a director of the Company or in the Group companies.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is no specific retirement plan for Thierry Pilenko as Chairman and Chief Executive Officer. The Chairman and Chief Executive Officer is a beneficiary of the supplementary defined contribution retirement plan for Group executives, as well as the Company’s existing supplementary defined benefits retirement plan for Executive Committee (Excom) members.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115,000 stock options and 95,000 performance shares were granted to Thierry Pilenko over financial year 2016 corresponding to 0.18% of the share capital as of the day of the General Meeting dated April 28, 2016.</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In financial year 2016, Thierry Pilenko did not exercise share subscription options.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context of the renewal of the mandate of Thierry Pilenko, the Board of Directors on April 23, 2015, upon recommendation of the Nominations and Remunerations Committee, proposed a worldwide non-compete agreement for a 24-month period. According to this agreement, Thierry Pilenko could receive an amount corresponding to two years of gross fixed annual compensation paid (gross fixed compensation plus variable compensation). The basis of calculation would be the average of the gross annual compensation paid over the last three years, the payment of which would be paid on a monthly basis.</w:t>
      </w:r>
    </w:p>
    <w:p>
      <w:pPr>
        <w:sectPr>
          <w:pgSz w:w="11900" w:h="16838" w:orient="portrait"/>
          <w:cols w:equalWidth="0" w:num="1">
            <w:col w:w="11420"/>
          </w:cols>
          <w:pgMar w:left="240" w:top="677" w:right="2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b w:val="1"/>
          <w:bCs w:val="1"/>
          <w:color w:val="2360A6"/>
        </w:rPr>
        <w:t>As of December 31, 2015</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31F20"/>
        </w:rPr>
        <w:t>The compensation of the Chairman and Chief Executive Officer is composed of both a fixed and a variable portion.</w:t>
      </w:r>
    </w:p>
    <w:p>
      <w:pPr>
        <w:spacing w:after="0" w:line="11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For 2015, the aggregate amount of compensation paid by the Company to Thierry Pilenko amounted to € 1,984,211. The variable portion of the compensation is subject to precise and predetermined objectives. 70% of the target variable portion is linked to the financial performance of the Group (quantitative criteria) and 30% is linked to the achievement of individual objectives (qualitative criteria). The share of the variable portion is linked with a financial target (70% of the total) and broken down into two objectives:</w:t>
      </w:r>
    </w:p>
    <w:p>
      <w:pPr>
        <w:spacing w:after="0" w:line="6" w:lineRule="exact"/>
        <w:rPr>
          <w:sz w:val="20"/>
          <w:szCs w:val="20"/>
          <w:color w:val="auto"/>
        </w:rPr>
      </w:pPr>
    </w:p>
    <w:p>
      <w:pPr>
        <w:ind w:left="180" w:hanging="172"/>
        <w:spacing w:after="0"/>
        <w:tabs>
          <w:tab w:leader="none" w:pos="180" w:val="left"/>
        </w:tabs>
        <w:numPr>
          <w:ilvl w:val="0"/>
          <w:numId w:val="63"/>
        </w:numPr>
        <w:rPr>
          <w:rFonts w:ascii="Arial" w:cs="Arial" w:eastAsia="Arial" w:hAnsi="Arial"/>
          <w:sz w:val="18"/>
          <w:szCs w:val="18"/>
          <w:color w:val="006EBF"/>
        </w:rPr>
      </w:pPr>
      <w:r>
        <w:rPr>
          <w:rFonts w:ascii="Arial" w:cs="Arial" w:eastAsia="Arial" w:hAnsi="Arial"/>
          <w:sz w:val="16"/>
          <w:szCs w:val="16"/>
          <w:color w:val="231F20"/>
        </w:rPr>
        <w:t>up to 50% on the Group operating income budgeted for 2015;</w:t>
      </w:r>
    </w:p>
    <w:p>
      <w:pPr>
        <w:spacing w:after="0" w:line="9" w:lineRule="exact"/>
        <w:rPr>
          <w:rFonts w:ascii="Arial" w:cs="Arial" w:eastAsia="Arial" w:hAnsi="Arial"/>
          <w:sz w:val="18"/>
          <w:szCs w:val="18"/>
          <w:color w:val="006EBF"/>
        </w:rPr>
      </w:pPr>
    </w:p>
    <w:p>
      <w:pPr>
        <w:ind w:left="180" w:hanging="172"/>
        <w:spacing w:after="0"/>
        <w:tabs>
          <w:tab w:leader="none" w:pos="180" w:val="left"/>
        </w:tabs>
        <w:numPr>
          <w:ilvl w:val="0"/>
          <w:numId w:val="63"/>
        </w:numPr>
        <w:rPr>
          <w:rFonts w:ascii="Arial" w:cs="Arial" w:eastAsia="Arial" w:hAnsi="Arial"/>
          <w:sz w:val="18"/>
          <w:szCs w:val="18"/>
          <w:color w:val="006EBF"/>
        </w:rPr>
      </w:pPr>
      <w:r>
        <w:rPr>
          <w:rFonts w:ascii="Arial" w:cs="Arial" w:eastAsia="Arial" w:hAnsi="Arial"/>
          <w:sz w:val="16"/>
          <w:szCs w:val="16"/>
          <w:color w:val="231F20"/>
        </w:rPr>
        <w:t>up to 20% on the percentage of gross margin on order intake.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variable portion due to Thierry Pilenko for financial year 2015 was €900,000.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Thierry Pilenko does not receive any Directors’ fees for the positions he holds as a Director of the Company or in the Group companies.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There is no specific retirement plan for Thierry Pilenko as the Chairman and Chief Executive Officer. The Chairman and Chief Executive Officer is a beneficiary of the supplementary defined contribution retirement plan for Group executives, as well as the Company’s existing supplementary defined benefits retirement plan for Executive Committee (Excom) members.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110,000 stock options and 33,000 performance shares were granted to Thierry Pilenko over financial year 2015 corresponding to 0.12% of the share capital as of the day of the General Meeting dated April 23, 2015.</w:t>
      </w:r>
    </w:p>
    <w:p>
      <w:pPr>
        <w:spacing w:after="0" w:line="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financial year 2015, Thierry Pilenko exercised 109,000 share subscription options. In the context of the renewal of the mandate of Thierry Pilenko, the Board of Directors on April 23, 2015, upon recommendation of the Nominations and Remunerations Committee, proposed a worldwide non-compete agreement for a 24-month period. According to this agreement, Thierry Pilenko could receive an amount corresponding to two years of gross fixed annual compensation paid (gross fixed compensation plus variable compensation). The basis of calculation would be the average of the gross annual compensation paid over the last three years, the payment of which would be paid on a monthly basis.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2014</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compensation of the Chairman and Chief Executive Officer is composed of both a fixed and a variable portion. For 2014, the aggregate amount of compensation paid by the Company to Thierry Pilenko amounted to €1,988,819.</w:t>
      </w:r>
    </w:p>
    <w:p>
      <w:pPr>
        <w:spacing w:after="0" w:line="8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231F20"/>
        </w:rPr>
        <w:t>The variable portion of the compensation is subject to precise and predetermined objectives. 70% of the target variable portion is linked to the financial performance of the Group (quantitative criteria) and 30% is linked to the achievement of individual objectives (qualitative criteria). The share of the variable portion is linked with a financial target (70% of the total) and broken down into two objectives:</w:t>
      </w:r>
    </w:p>
    <w:p>
      <w:pPr>
        <w:spacing w:after="0" w:line="5"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006EBF"/>
        </w:rPr>
      </w:pPr>
      <w:r>
        <w:rPr>
          <w:rFonts w:ascii="Arial" w:cs="Arial" w:eastAsia="Arial" w:hAnsi="Arial"/>
          <w:sz w:val="16"/>
          <w:szCs w:val="16"/>
          <w:color w:val="231F20"/>
        </w:rPr>
        <w:t>up to 50% on the Group operating income budgeted for 2014; and</w:t>
      </w:r>
    </w:p>
    <w:p>
      <w:pPr>
        <w:spacing w:after="0" w:line="9" w:lineRule="exact"/>
        <w:rPr>
          <w:rFonts w:ascii="Arial" w:cs="Arial" w:eastAsia="Arial" w:hAnsi="Arial"/>
          <w:sz w:val="18"/>
          <w:szCs w:val="18"/>
          <w:color w:val="006EBF"/>
        </w:rPr>
      </w:pPr>
    </w:p>
    <w:p>
      <w:pPr>
        <w:ind w:left="180" w:hanging="172"/>
        <w:spacing w:after="0"/>
        <w:tabs>
          <w:tab w:leader="none" w:pos="180" w:val="left"/>
        </w:tabs>
        <w:numPr>
          <w:ilvl w:val="0"/>
          <w:numId w:val="64"/>
        </w:numPr>
        <w:rPr>
          <w:rFonts w:ascii="Arial" w:cs="Arial" w:eastAsia="Arial" w:hAnsi="Arial"/>
          <w:sz w:val="18"/>
          <w:szCs w:val="18"/>
          <w:color w:val="006EBF"/>
        </w:rPr>
      </w:pPr>
      <w:r>
        <w:rPr>
          <w:rFonts w:ascii="Arial" w:cs="Arial" w:eastAsia="Arial" w:hAnsi="Arial"/>
          <w:sz w:val="16"/>
          <w:szCs w:val="16"/>
          <w:color w:val="231F20"/>
        </w:rPr>
        <w:t>up to 20% on the percentage of gross margin on order intake.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231F20"/>
        </w:rPr>
        <w:t>The variable portion due to Thierry Pilenko for financial year 2014 was €904,608.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231F20"/>
        </w:rPr>
        <w:t>Thierry Pilenko does not receive any Directors’ fees for the positions he holds as a Director of the Company or in the Group companies.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There is no specific retirement plan for Thierry Pilenko as the Chairman and Chief Executive Officer. The Chairman and Chief Executive Officer is a beneficiary of the supplementary defined contribution retirement plan for Group executives, as well as the Company’s existing supplementary defined benefits retirement plan for Executive Committee (Excom) members.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231F20"/>
        </w:rPr>
        <w:t>No share subscription or purchase options nor performance shares were granted to Thierry Pilenko over financial year 2014.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231F20"/>
        </w:rPr>
        <w:t>In financial year 2014, Thierry Pilenko exercised 80,000 share purchase options.</w:t>
      </w:r>
    </w:p>
    <w:p>
      <w:pPr>
        <w:sectPr>
          <w:pgSz w:w="11900" w:h="16838" w:orient="portrait"/>
          <w:cols w:equalWidth="0" w:num="1">
            <w:col w:w="11420"/>
          </w:cols>
          <w:pgMar w:left="240" w:top="580" w:right="239" w:bottom="1440" w:gutter="0" w:footer="0" w:header="0"/>
        </w:sectPr>
      </w:pPr>
    </w:p>
    <w:bookmarkStart w:id="160" w:name="page161"/>
    <w:bookmarkEnd w:id="160"/>
    <w:p>
      <w:pPr>
        <w:spacing w:after="0"/>
        <w:rPr>
          <w:sz w:val="20"/>
          <w:szCs w:val="20"/>
          <w:color w:val="auto"/>
        </w:rPr>
      </w:pPr>
      <w:r>
        <w:rPr>
          <w:rFonts w:ascii="Arial" w:cs="Arial" w:eastAsia="Arial" w:hAnsi="Arial"/>
          <w:sz w:val="25"/>
          <w:szCs w:val="25"/>
          <w:b w:val="1"/>
          <w:bCs w:val="1"/>
          <w:color w:val="231F20"/>
        </w:rPr>
        <w:t>(D) Compensation and Retirement Commitments of the Group’s Principal Executives</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2016</w:t>
      </w:r>
    </w:p>
    <w:p>
      <w:pPr>
        <w:spacing w:after="0" w:line="24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231F20"/>
        </w:rPr>
        <w:t>In 2016, the total amount of all direct and indirect compensation paid by the Group’s French and foreign companies to all of the Group’s principal executives on payroll on December 31, 2016, (i.e., the seven members of the Excom of the Group) amounted to €5,381,256. The variable portion represented 36.4% of the overall amount.</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charges relating to share purchase and share subscription options, as well as performance shares, granted to the Company’s executive officers, and accounted for in 2016, amounted to € 2,616,678.</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On 6 December, 2016, the Board of Directors of Technip, upon recommendation from the Nominations and Remunerations Committee, decided the cancellation/termination of the current defined benefit pension plan (Article 39) and the granting of an exceptional and temporary supplementary remuneration.</w:t>
      </w:r>
    </w:p>
    <w:p>
      <w:pPr>
        <w:spacing w:after="0" w:line="19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31F20"/>
        </w:rPr>
        <w:t>The defined benefit plan benefits non-exclusively to the Chairman and Chief Executive Officer and was actually open to 2 of the members of the Technip SA Executive Committee with 5 years of service and whose annual remuneration exceeds 8 Annual Social Security Ceilings. It was reminded that the rights under the defined benefit plan vest only when the beneficiaries retire from the Group and after claiming their legal retirement rights.</w:t>
      </w:r>
    </w:p>
    <w:p>
      <w:pPr>
        <w:spacing w:after="0" w:line="20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In the context of the merger with FMC Technologies and due to the fact that the plan (Article 39) had become less attractive for several years and the fact that only 3 persons were beneficiaries at such date, the Board of Directors decided the following adjustments:</w:t>
      </w:r>
    </w:p>
    <w:p>
      <w:pPr>
        <w:spacing w:after="0" w:line="209" w:lineRule="exact"/>
        <w:rPr>
          <w:sz w:val="20"/>
          <w:szCs w:val="20"/>
          <w:color w:val="auto"/>
        </w:rPr>
      </w:pPr>
    </w:p>
    <w:p>
      <w:pPr>
        <w:ind w:left="180" w:hanging="172"/>
        <w:spacing w:after="0" w:line="265" w:lineRule="auto"/>
        <w:tabs>
          <w:tab w:leader="none" w:pos="180" w:val="left"/>
        </w:tabs>
        <w:numPr>
          <w:ilvl w:val="0"/>
          <w:numId w:val="65"/>
        </w:numPr>
        <w:rPr>
          <w:rFonts w:ascii="Arial" w:cs="Arial" w:eastAsia="Arial" w:hAnsi="Arial"/>
          <w:sz w:val="18"/>
          <w:szCs w:val="18"/>
          <w:color w:val="006EBF"/>
        </w:rPr>
      </w:pPr>
      <w:r>
        <w:rPr>
          <w:rFonts w:ascii="Arial" w:cs="Arial" w:eastAsia="Arial" w:hAnsi="Arial"/>
          <w:sz w:val="16"/>
          <w:szCs w:val="16"/>
          <w:color w:val="auto"/>
        </w:rPr>
        <w:t>the cancellation/termination at December 31, 2016 of the current defined benefit pension scheme benefitting among others to the Chairman and Chief Executive Officer;</w:t>
      </w:r>
    </w:p>
    <w:p>
      <w:pPr>
        <w:spacing w:after="0" w:line="392" w:lineRule="exact"/>
        <w:rPr>
          <w:rFonts w:ascii="Arial" w:cs="Arial" w:eastAsia="Arial" w:hAnsi="Arial"/>
          <w:sz w:val="18"/>
          <w:szCs w:val="18"/>
          <w:color w:val="006EBF"/>
        </w:rPr>
      </w:pPr>
    </w:p>
    <w:p>
      <w:pPr>
        <w:ind w:left="180" w:hanging="172"/>
        <w:spacing w:after="0" w:line="265" w:lineRule="auto"/>
        <w:tabs>
          <w:tab w:leader="none" w:pos="180" w:val="left"/>
        </w:tabs>
        <w:numPr>
          <w:ilvl w:val="0"/>
          <w:numId w:val="65"/>
        </w:numPr>
        <w:rPr>
          <w:rFonts w:ascii="Arial" w:cs="Arial" w:eastAsia="Arial" w:hAnsi="Arial"/>
          <w:sz w:val="18"/>
          <w:szCs w:val="18"/>
          <w:color w:val="006EBF"/>
        </w:rPr>
      </w:pPr>
      <w:r>
        <w:rPr>
          <w:rFonts w:ascii="Arial" w:cs="Arial" w:eastAsia="Arial" w:hAnsi="Arial"/>
          <w:sz w:val="16"/>
          <w:szCs w:val="16"/>
          <w:color w:val="auto"/>
        </w:rPr>
        <w:t>the granting of an exceptional supplementary remuneration based on a partial replacement of pension rights accrued at the end of 2016 to Mr. Pilenko and other beneficiaries, who must now deal personally with the investment of this cash allowance in view of their retirement coverage.</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The introduction of this supplementary and exceptional remuneration/allowance aimed at the creation of a retirement savings for the benefit of the Chairman and Chief Executive Officer and 2 of the members of the Technip SA Executive Committee whose amount, at the time of their retirement, should allow them to benefit from a net annual pension almost equivalent to that which they would have acquired under the defined benefit plan: on the one hand by freezing the accrued rights at the end of 2016 (pensionable service and salary) and on the other hand by applying a discount based on their age to take into account the fact that the defined benefit pension did not vest before retirement.</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This substitution applied to the past service frozen pension in constant euros at the end of 2016, a discount depending on the age of the beneficiary accompanying the change from a non-vested pension right to a vested supplementary and exceptional remuneration.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2015</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In 2015, the total amount of all direct and indirect compensation paid by the Group’s French and foreign companies to all of the Group’s principal executives on payroll on December 31, 2015, (i.e., the six members of the Excom of the Group) amounted to €3,836,926. The variable portion represented 33.5% of the overall amount.</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charges relating to share purchase and share subscription options, as well as performance shares, granted to the Company’s executive officers, and accounted for in 2015, amounted to €3,081,470.</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 2015, payment made by Group companies under supplementary retirement plans applicable to the principal executives discussed above amounted to €0.1 million. The recorded expense related to the retirement income guarantee plan for Executive Committee members amounted to €1.6 million in 2015.</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2015, the amount for retirement commitments for Executive Committee members amounted to €5.5 million.</w:t>
      </w:r>
    </w:p>
    <w:p>
      <w:pPr>
        <w:sectPr>
          <w:pgSz w:w="11900" w:h="16838" w:orient="portrait"/>
          <w:cols w:equalWidth="0" w:num="1">
            <w:col w:w="11420"/>
          </w:cols>
          <w:pgMar w:left="240" w:top="676"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b w:val="1"/>
          <w:bCs w:val="1"/>
          <w:color w:val="2360A6"/>
        </w:rPr>
        <w:t>As of December 31, 2014</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In 2014, the total amount of all direct and indirect compensation paid by the Group’s French and foreign companies to all of the Group’s principal executives on payroll during the whole year 2014 (i.e., the seven members of the Excom of the Group) amounted to €5,025,449. The variable portion represented 29.5% of the overall amount.</w:t>
      </w:r>
    </w:p>
    <w:p>
      <w:pPr>
        <w:spacing w:after="0" w:line="20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charges relating to share purchase and share subscription options, as well as performance shares, granted to the Company’s executive officers, and accounted for in 2014, amounted to €6.2 million.</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In 2014, payment made by Group companies under supplementary retirement plans applicable to the principal executives discussed above amounted to €0.1 million. The recorded expense related to the retirement income guarantee plan for Executive Committee members amounted to €1.3 million in 2014.</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2014, the amount for retirement commitments for Executive Committee members amounted to €9.2 million.</w:t>
      </w: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29 Board of Directors Compensation</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2016</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Shareholders’ Meeting of April 28, 2016 set the amount of Directors’ fees allocated to members of the Board of Directors at €800,000 for financial year 2016. The amount actually paid in 2016 was €797,000.</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231F20"/>
        </w:rPr>
        <w:t>During 2016, the gross amount of compensation and benefits of all kinds paid by Technip to the members of the Board of Directors was €2,271,631.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2015</w:t>
      </w:r>
    </w:p>
    <w:p>
      <w:pPr>
        <w:spacing w:after="0" w:line="2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Shareholders’ Meeting of April 25, 2013 set the amount of Directors’ fees allocated to members of the Board of Directors at €800,000 for each of financial years 2013, 2014 and 2015. The amount actually paid in 2015 was €799,720.</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231F20"/>
        </w:rPr>
        <w:t>During 2015, the gross amount of compensation and benefits of all kinds paid by Technip to the members of the Board of Directors was €1,984,211.</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2014</w:t>
      </w:r>
    </w:p>
    <w:p>
      <w:pPr>
        <w:spacing w:after="0" w:line="24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231F20"/>
        </w:rPr>
        <w:t>The Shareholders’ Meeting of April 25, 2013 set the amount of Directors’ fees allocated to members of the Board of Directors at €800,000 for each of financial years 2013, 2014 and 2015. The amount actually paid in 2014 was €795,960.</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231F20"/>
        </w:rPr>
        <w:t>During 2014, the gross amount of compensation and benefits of all kinds paid by Technip to the members of the Board of Directors was €1,988,819.</w:t>
      </w:r>
    </w:p>
    <w:p>
      <w:pPr>
        <w:sectPr>
          <w:pgSz w:w="11900" w:h="16838" w:orient="portrait"/>
          <w:cols w:equalWidth="0" w:num="1">
            <w:col w:w="11420"/>
          </w:cols>
          <w:pgMar w:left="240" w:top="580" w:right="239" w:bottom="1440" w:gutter="0" w:footer="0" w:header="0"/>
        </w:sectPr>
      </w:pPr>
    </w:p>
    <w:bookmarkStart w:id="162" w:name="page163"/>
    <w:bookmarkEnd w:id="162"/>
    <w:p>
      <w:pPr>
        <w:spacing w:after="0"/>
        <w:rPr>
          <w:sz w:val="20"/>
          <w:szCs w:val="20"/>
          <w:color w:val="auto"/>
        </w:rPr>
      </w:pPr>
      <w:r>
        <w:rPr>
          <w:rFonts w:ascii="Arial" w:cs="Arial" w:eastAsia="Arial" w:hAnsi="Arial"/>
          <w:sz w:val="29"/>
          <w:szCs w:val="29"/>
          <w:b w:val="1"/>
          <w:bCs w:val="1"/>
          <w:color w:val="2360A6"/>
        </w:rPr>
        <w:t>Note 30 Off-Balance Sheet Commitments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Off-Balance Sheet Commitments Related to Group Operating Activities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illustrates the breakdown of off-balance sheet commitments per maturity:</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340" w:type="dxa"/>
            <w:vAlign w:val="bottom"/>
            <w:tcBorders>
              <w:top w:val="single" w:sz="8" w:color="2360A6"/>
              <w:left w:val="single" w:sz="8" w:color="2360A6"/>
            </w:tcBorders>
          </w:tcPr>
          <w:p>
            <w:pPr>
              <w:spacing w:after="0"/>
              <w:rPr>
                <w:sz w:val="16"/>
                <w:szCs w:val="16"/>
                <w:color w:val="auto"/>
              </w:rPr>
            </w:pPr>
          </w:p>
        </w:tc>
        <w:tc>
          <w:tcPr>
            <w:tcW w:w="120" w:type="dxa"/>
            <w:vAlign w:val="bottom"/>
            <w:tcBorders>
              <w:top w:val="single" w:sz="8" w:color="2360A6"/>
              <w:right w:val="single" w:sz="8" w:color="2360A6"/>
            </w:tcBorders>
          </w:tcPr>
          <w:p>
            <w:pPr>
              <w:spacing w:after="0"/>
              <w:rPr>
                <w:sz w:val="16"/>
                <w:szCs w:val="16"/>
                <w:color w:val="auto"/>
              </w:rPr>
            </w:pPr>
          </w:p>
        </w:tc>
        <w:tc>
          <w:tcPr>
            <w:tcW w:w="1160" w:type="dxa"/>
            <w:vAlign w:val="bottom"/>
            <w:tcBorders>
              <w:top w:val="single" w:sz="8" w:color="2360A6"/>
              <w:right w:val="single" w:sz="8" w:color="2360A6"/>
            </w:tcBorders>
            <w:shd w:val="clear" w:color="auto" w:fill="2360A6"/>
          </w:tcPr>
          <w:p>
            <w:pPr>
              <w:spacing w:after="0"/>
              <w:rPr>
                <w:sz w:val="16"/>
                <w:szCs w:val="16"/>
                <w:color w:val="auto"/>
              </w:rPr>
            </w:pPr>
          </w:p>
        </w:tc>
        <w:tc>
          <w:tcPr>
            <w:tcW w:w="120" w:type="dxa"/>
            <w:vAlign w:val="bottom"/>
            <w:tcBorders>
              <w:top w:val="single" w:sz="8" w:color="2360A6"/>
              <w:right w:val="single" w:sz="8" w:color="2360A6"/>
            </w:tcBorders>
            <w:shd w:val="clear" w:color="auto" w:fill="2360A6"/>
          </w:tcPr>
          <w:p>
            <w:pPr>
              <w:spacing w:after="0"/>
              <w:rPr>
                <w:sz w:val="16"/>
                <w:szCs w:val="16"/>
                <w:color w:val="auto"/>
              </w:rPr>
            </w:pPr>
          </w:p>
        </w:tc>
        <w:tc>
          <w:tcPr>
            <w:tcW w:w="960" w:type="dxa"/>
            <w:vAlign w:val="bottom"/>
            <w:tcBorders>
              <w:top w:val="single" w:sz="8" w:color="2360A6"/>
              <w:right w:val="single" w:sz="8" w:color="2360A6"/>
            </w:tcBorders>
            <w:shd w:val="clear" w:color="auto" w:fill="2360A6"/>
          </w:tcPr>
          <w:p>
            <w:pPr>
              <w:spacing w:after="0"/>
              <w:rPr>
                <w:sz w:val="16"/>
                <w:szCs w:val="16"/>
                <w:color w:val="auto"/>
              </w:rPr>
            </w:pPr>
          </w:p>
        </w:tc>
        <w:tc>
          <w:tcPr>
            <w:tcW w:w="300" w:type="dxa"/>
            <w:vAlign w:val="bottom"/>
            <w:tcBorders>
              <w:top w:val="single" w:sz="8" w:color="2360A6"/>
              <w:right w:val="single" w:sz="8" w:color="2360A6"/>
            </w:tcBorders>
            <w:shd w:val="clear" w:color="auto" w:fill="2360A6"/>
          </w:tcPr>
          <w:p>
            <w:pPr>
              <w:spacing w:after="0"/>
              <w:rPr>
                <w:sz w:val="16"/>
                <w:szCs w:val="16"/>
                <w:color w:val="auto"/>
              </w:rPr>
            </w:pPr>
          </w:p>
        </w:tc>
        <w:tc>
          <w:tcPr>
            <w:tcW w:w="400" w:type="dxa"/>
            <w:vAlign w:val="bottom"/>
            <w:tcBorders>
              <w:top w:val="single" w:sz="8" w:color="2360A6"/>
            </w:tcBorders>
            <w:shd w:val="clear" w:color="auto" w:fill="2360A6"/>
          </w:tcPr>
          <w:p>
            <w:pPr>
              <w:spacing w:after="0"/>
              <w:rPr>
                <w:sz w:val="16"/>
                <w:szCs w:val="16"/>
                <w:color w:val="auto"/>
              </w:rPr>
            </w:pPr>
          </w:p>
        </w:tc>
        <w:tc>
          <w:tcPr>
            <w:tcW w:w="900" w:type="dxa"/>
            <w:vAlign w:val="bottom"/>
            <w:tcBorders>
              <w:top w:val="single" w:sz="8" w:color="2360A6"/>
              <w:right w:val="single" w:sz="8" w:color="2360A6"/>
            </w:tcBorders>
            <w:shd w:val="clear" w:color="auto" w:fill="2360A6"/>
          </w:tcPr>
          <w:p>
            <w:pPr>
              <w:spacing w:after="0"/>
              <w:rPr>
                <w:sz w:val="16"/>
                <w:szCs w:val="16"/>
                <w:color w:val="auto"/>
              </w:rPr>
            </w:pPr>
          </w:p>
        </w:tc>
        <w:tc>
          <w:tcPr>
            <w:tcW w:w="600" w:type="dxa"/>
            <w:vAlign w:val="bottom"/>
            <w:tcBorders>
              <w:top w:val="single" w:sz="8" w:color="2360A6"/>
            </w:tcBorders>
            <w:shd w:val="clear" w:color="auto" w:fill="2360A6"/>
          </w:tcPr>
          <w:p>
            <w:pPr>
              <w:spacing w:after="0"/>
              <w:rPr>
                <w:sz w:val="16"/>
                <w:szCs w:val="16"/>
                <w:color w:val="auto"/>
              </w:rPr>
            </w:pPr>
          </w:p>
        </w:tc>
        <w:tc>
          <w:tcPr>
            <w:tcW w:w="120" w:type="dxa"/>
            <w:vAlign w:val="bottom"/>
            <w:tcBorders>
              <w:top w:val="single" w:sz="8" w:color="2360A6"/>
              <w:right w:val="single" w:sz="8" w:color="2360A6"/>
            </w:tcBorders>
            <w:shd w:val="clear" w:color="auto" w:fill="2360A6"/>
          </w:tcPr>
          <w:p>
            <w:pPr>
              <w:spacing w:after="0"/>
              <w:rPr>
                <w:sz w:val="16"/>
                <w:szCs w:val="16"/>
                <w:color w:val="auto"/>
              </w:rPr>
            </w:pPr>
          </w:p>
        </w:tc>
        <w:tc>
          <w:tcPr>
            <w:tcW w:w="220" w:type="dxa"/>
            <w:vAlign w:val="bottom"/>
            <w:tcBorders>
              <w:top w:val="single" w:sz="8" w:color="2360A6"/>
              <w:right w:val="single" w:sz="8" w:color="2360A6"/>
            </w:tcBorders>
            <w:shd w:val="clear" w:color="auto" w:fill="2360A6"/>
          </w:tcPr>
          <w:p>
            <w:pPr>
              <w:spacing w:after="0"/>
              <w:rPr>
                <w:sz w:val="16"/>
                <w:szCs w:val="16"/>
                <w:color w:val="auto"/>
              </w:rPr>
            </w:pPr>
          </w:p>
        </w:tc>
        <w:tc>
          <w:tcPr>
            <w:tcW w:w="1660" w:type="dxa"/>
            <w:vAlign w:val="bottom"/>
            <w:tcBorders>
              <w:top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4"/>
                <w:szCs w:val="14"/>
                <w:b w:val="1"/>
                <w:bCs w:val="1"/>
                <w:color w:val="2360BA"/>
              </w:rPr>
              <w:t>As of</w:t>
            </w:r>
          </w:p>
        </w:tc>
        <w:tc>
          <w:tcPr>
            <w:tcW w:w="1660" w:type="dxa"/>
            <w:vAlign w:val="bottom"/>
            <w:tcBorders>
              <w:top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As of</w:t>
            </w:r>
          </w:p>
        </w:tc>
        <w:tc>
          <w:tcPr>
            <w:tcW w:w="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2340" w:type="dxa"/>
            <w:vAlign w:val="bottom"/>
            <w:tcBorders>
              <w:left w:val="single" w:sz="8" w:color="2360A6"/>
            </w:tcBorders>
          </w:tcPr>
          <w:p>
            <w:pPr>
              <w:spacing w:after="0"/>
              <w:rPr>
                <w:sz w:val="14"/>
                <w:szCs w:val="14"/>
                <w:color w:val="auto"/>
              </w:rPr>
            </w:pPr>
          </w:p>
        </w:tc>
        <w:tc>
          <w:tcPr>
            <w:tcW w:w="120" w:type="dxa"/>
            <w:vAlign w:val="bottom"/>
            <w:tcBorders>
              <w:right w:val="single" w:sz="8" w:color="2360A6"/>
            </w:tcBorders>
          </w:tcPr>
          <w:p>
            <w:pPr>
              <w:spacing w:after="0"/>
              <w:rPr>
                <w:sz w:val="14"/>
                <w:szCs w:val="14"/>
                <w:color w:val="auto"/>
              </w:rPr>
            </w:pPr>
          </w:p>
        </w:tc>
        <w:tc>
          <w:tcPr>
            <w:tcW w:w="1160" w:type="dxa"/>
            <w:vAlign w:val="bottom"/>
            <w:tcBorders>
              <w:right w:val="single" w:sz="8" w:color="2360A6"/>
            </w:tcBorders>
            <w:shd w:val="clear" w:color="auto" w:fill="2360A6"/>
          </w:tcPr>
          <w:p>
            <w:pPr>
              <w:spacing w:after="0"/>
              <w:rPr>
                <w:sz w:val="14"/>
                <w:szCs w:val="14"/>
                <w:color w:val="auto"/>
              </w:rPr>
            </w:pPr>
          </w:p>
        </w:tc>
        <w:tc>
          <w:tcPr>
            <w:tcW w:w="120" w:type="dxa"/>
            <w:vAlign w:val="bottom"/>
            <w:tcBorders>
              <w:right w:val="single" w:sz="8" w:color="2360A6"/>
            </w:tcBorders>
            <w:shd w:val="clear" w:color="auto" w:fill="2360A6"/>
          </w:tcPr>
          <w:p>
            <w:pPr>
              <w:spacing w:after="0"/>
              <w:rPr>
                <w:sz w:val="14"/>
                <w:szCs w:val="14"/>
                <w:color w:val="auto"/>
              </w:rPr>
            </w:pPr>
          </w:p>
        </w:tc>
        <w:tc>
          <w:tcPr>
            <w:tcW w:w="960" w:type="dxa"/>
            <w:vAlign w:val="bottom"/>
            <w:tcBorders>
              <w:right w:val="single" w:sz="8" w:color="2360A6"/>
            </w:tcBorders>
            <w:shd w:val="clear" w:color="auto" w:fill="2360A6"/>
          </w:tcPr>
          <w:p>
            <w:pPr>
              <w:spacing w:after="0"/>
              <w:rPr>
                <w:sz w:val="14"/>
                <w:szCs w:val="14"/>
                <w:color w:val="auto"/>
              </w:rPr>
            </w:pPr>
          </w:p>
        </w:tc>
        <w:tc>
          <w:tcPr>
            <w:tcW w:w="700" w:type="dxa"/>
            <w:vAlign w:val="bottom"/>
            <w:gridSpan w:val="2"/>
            <w:shd w:val="clear" w:color="auto" w:fill="2360A6"/>
          </w:tcPr>
          <w:p>
            <w:pPr>
              <w:jc w:val="center"/>
              <w:ind w:right="340"/>
              <w:spacing w:after="0"/>
              <w:rPr>
                <w:sz w:val="20"/>
                <w:szCs w:val="20"/>
                <w:color w:val="auto"/>
              </w:rPr>
            </w:pPr>
            <w:r>
              <w:rPr>
                <w:rFonts w:ascii="Arial" w:cs="Arial" w:eastAsia="Arial" w:hAnsi="Arial"/>
                <w:sz w:val="14"/>
                <w:szCs w:val="14"/>
                <w:b w:val="1"/>
                <w:bCs w:val="1"/>
                <w:color w:val="FFFFFF"/>
              </w:rPr>
              <w:t>As of</w:t>
            </w:r>
          </w:p>
        </w:tc>
        <w:tc>
          <w:tcPr>
            <w:tcW w:w="900" w:type="dxa"/>
            <w:vAlign w:val="bottom"/>
            <w:tcBorders>
              <w:right w:val="single" w:sz="8" w:color="2360A6"/>
            </w:tcBorders>
            <w:shd w:val="clear" w:color="auto" w:fill="2360A6"/>
          </w:tcPr>
          <w:p>
            <w:pPr>
              <w:spacing w:after="0"/>
              <w:rPr>
                <w:sz w:val="14"/>
                <w:szCs w:val="14"/>
                <w:color w:val="auto"/>
              </w:rPr>
            </w:pPr>
          </w:p>
        </w:tc>
        <w:tc>
          <w:tcPr>
            <w:tcW w:w="600" w:type="dxa"/>
            <w:vAlign w:val="bottom"/>
            <w:shd w:val="clear" w:color="auto" w:fill="2360A6"/>
          </w:tcPr>
          <w:p>
            <w:pPr>
              <w:spacing w:after="0"/>
              <w:rPr>
                <w:sz w:val="14"/>
                <w:szCs w:val="14"/>
                <w:color w:val="auto"/>
              </w:rPr>
            </w:pPr>
          </w:p>
        </w:tc>
        <w:tc>
          <w:tcPr>
            <w:tcW w:w="120" w:type="dxa"/>
            <w:vAlign w:val="bottom"/>
            <w:tcBorders>
              <w:right w:val="single" w:sz="8" w:color="2360A6"/>
            </w:tcBorders>
            <w:shd w:val="clear" w:color="auto" w:fill="2360A6"/>
          </w:tcPr>
          <w:p>
            <w:pPr>
              <w:spacing w:after="0"/>
              <w:rPr>
                <w:sz w:val="14"/>
                <w:szCs w:val="14"/>
                <w:color w:val="auto"/>
              </w:rPr>
            </w:pPr>
          </w:p>
        </w:tc>
        <w:tc>
          <w:tcPr>
            <w:tcW w:w="220" w:type="dxa"/>
            <w:vAlign w:val="bottom"/>
            <w:tcBorders>
              <w:right w:val="single" w:sz="8" w:color="2360A6"/>
            </w:tcBorders>
            <w:shd w:val="clear" w:color="auto" w:fill="2360A6"/>
          </w:tcPr>
          <w:p>
            <w:pPr>
              <w:spacing w:after="0"/>
              <w:rPr>
                <w:sz w:val="14"/>
                <w:szCs w:val="14"/>
                <w:color w:val="auto"/>
              </w:rPr>
            </w:pPr>
          </w:p>
        </w:tc>
        <w:tc>
          <w:tcPr>
            <w:tcW w:w="1660" w:type="dxa"/>
            <w:vAlign w:val="bottom"/>
            <w:tcBorders>
              <w:right w:val="single" w:sz="8" w:color="2360A6"/>
            </w:tcBorders>
            <w:gridSpan w:val="2"/>
          </w:tcPr>
          <w:p>
            <w:pPr>
              <w:jc w:val="right"/>
              <w:ind w:right="120"/>
              <w:spacing w:after="0"/>
              <w:rPr>
                <w:sz w:val="20"/>
                <w:szCs w:val="20"/>
                <w:color w:val="auto"/>
              </w:rPr>
            </w:pPr>
            <w:r>
              <w:rPr>
                <w:rFonts w:ascii="Arial" w:cs="Arial" w:eastAsia="Arial" w:hAnsi="Arial"/>
                <w:sz w:val="14"/>
                <w:szCs w:val="14"/>
                <w:b w:val="1"/>
                <w:bCs w:val="1"/>
                <w:color w:val="2360BA"/>
              </w:rPr>
              <w:t>December 31,</w:t>
            </w:r>
          </w:p>
        </w:tc>
        <w:tc>
          <w:tcPr>
            <w:tcW w:w="16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December 31,</w:t>
            </w: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340" w:type="dxa"/>
            <w:vAlign w:val="bottom"/>
            <w:tcBorders>
              <w:left w:val="single" w:sz="8" w:color="2360A6"/>
            </w:tcBorders>
          </w:tcPr>
          <w:p>
            <w:pPr>
              <w:spacing w:after="0"/>
              <w:rPr>
                <w:sz w:val="17"/>
                <w:szCs w:val="17"/>
                <w:color w:val="auto"/>
              </w:rPr>
            </w:pPr>
          </w:p>
        </w:tc>
        <w:tc>
          <w:tcPr>
            <w:tcW w:w="120" w:type="dxa"/>
            <w:vAlign w:val="bottom"/>
            <w:tcBorders>
              <w:right w:val="single" w:sz="8" w:color="2360A6"/>
            </w:tcBorders>
          </w:tcPr>
          <w:p>
            <w:pPr>
              <w:spacing w:after="0"/>
              <w:rPr>
                <w:sz w:val="17"/>
                <w:szCs w:val="17"/>
                <w:color w:val="auto"/>
              </w:rPr>
            </w:pPr>
          </w:p>
        </w:tc>
        <w:tc>
          <w:tcPr>
            <w:tcW w:w="1160" w:type="dxa"/>
            <w:vAlign w:val="bottom"/>
            <w:tcBorders>
              <w:bottom w:val="single" w:sz="8" w:color="2360A6"/>
              <w:right w:val="single" w:sz="8" w:color="2360A6"/>
            </w:tcBorders>
            <w:shd w:val="clear" w:color="auto" w:fill="2360A6"/>
          </w:tcPr>
          <w:p>
            <w:pPr>
              <w:spacing w:after="0"/>
              <w:rPr>
                <w:sz w:val="17"/>
                <w:szCs w:val="17"/>
                <w:color w:val="auto"/>
              </w:rPr>
            </w:pPr>
          </w:p>
        </w:tc>
        <w:tc>
          <w:tcPr>
            <w:tcW w:w="120" w:type="dxa"/>
            <w:vAlign w:val="bottom"/>
            <w:tcBorders>
              <w:bottom w:val="single" w:sz="8" w:color="2360A6"/>
              <w:right w:val="single" w:sz="8" w:color="2360A6"/>
            </w:tcBorders>
            <w:shd w:val="clear" w:color="auto" w:fill="2360A6"/>
          </w:tcPr>
          <w:p>
            <w:pPr>
              <w:spacing w:after="0"/>
              <w:rPr>
                <w:sz w:val="17"/>
                <w:szCs w:val="17"/>
                <w:color w:val="auto"/>
              </w:rPr>
            </w:pPr>
          </w:p>
        </w:tc>
        <w:tc>
          <w:tcPr>
            <w:tcW w:w="2560" w:type="dxa"/>
            <w:vAlign w:val="bottom"/>
            <w:tcBorders>
              <w:bottom w:val="single" w:sz="8" w:color="2360A6"/>
              <w:right w:val="single" w:sz="8" w:color="2360A6"/>
            </w:tcBorders>
            <w:gridSpan w:val="4"/>
            <w:shd w:val="clear" w:color="auto" w:fill="2360A6"/>
          </w:tcPr>
          <w:p>
            <w:pPr>
              <w:jc w:val="center"/>
              <w:ind w:right="188"/>
              <w:spacing w:after="0"/>
              <w:rPr>
                <w:sz w:val="20"/>
                <w:szCs w:val="20"/>
                <w:color w:val="auto"/>
              </w:rPr>
            </w:pPr>
            <w:r>
              <w:rPr>
                <w:rFonts w:ascii="Arial" w:cs="Arial" w:eastAsia="Arial" w:hAnsi="Arial"/>
                <w:sz w:val="14"/>
                <w:szCs w:val="14"/>
                <w:b w:val="1"/>
                <w:bCs w:val="1"/>
                <w:color w:val="FFFFFF"/>
              </w:rPr>
              <w:t>December 31, 2016</w:t>
            </w:r>
          </w:p>
        </w:tc>
        <w:tc>
          <w:tcPr>
            <w:tcW w:w="600" w:type="dxa"/>
            <w:vAlign w:val="bottom"/>
            <w:tcBorders>
              <w:bottom w:val="single" w:sz="8" w:color="2360A6"/>
            </w:tcBorders>
            <w:shd w:val="clear" w:color="auto" w:fill="2360A6"/>
          </w:tcPr>
          <w:p>
            <w:pPr>
              <w:spacing w:after="0"/>
              <w:rPr>
                <w:sz w:val="17"/>
                <w:szCs w:val="17"/>
                <w:color w:val="auto"/>
              </w:rPr>
            </w:pPr>
          </w:p>
        </w:tc>
        <w:tc>
          <w:tcPr>
            <w:tcW w:w="120" w:type="dxa"/>
            <w:vAlign w:val="bottom"/>
            <w:tcBorders>
              <w:bottom w:val="single" w:sz="8" w:color="2360A6"/>
              <w:right w:val="single" w:sz="8" w:color="2360A6"/>
            </w:tcBorders>
            <w:shd w:val="clear" w:color="auto" w:fill="2360A6"/>
          </w:tcPr>
          <w:p>
            <w:pPr>
              <w:spacing w:after="0"/>
              <w:rPr>
                <w:sz w:val="17"/>
                <w:szCs w:val="17"/>
                <w:color w:val="auto"/>
              </w:rPr>
            </w:pPr>
          </w:p>
        </w:tc>
        <w:tc>
          <w:tcPr>
            <w:tcW w:w="220" w:type="dxa"/>
            <w:vAlign w:val="bottom"/>
            <w:tcBorders>
              <w:bottom w:val="single" w:sz="8" w:color="2360A6"/>
              <w:right w:val="single" w:sz="8" w:color="2360A6"/>
            </w:tcBorders>
            <w:shd w:val="clear" w:color="auto" w:fill="2360A6"/>
          </w:tcPr>
          <w:p>
            <w:pPr>
              <w:spacing w:after="0"/>
              <w:rPr>
                <w:sz w:val="17"/>
                <w:szCs w:val="17"/>
                <w:color w:val="auto"/>
              </w:rPr>
            </w:pPr>
          </w:p>
        </w:tc>
        <w:tc>
          <w:tcPr>
            <w:tcW w:w="156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BA"/>
              </w:rPr>
              <w:t>2015</w:t>
            </w:r>
          </w:p>
        </w:tc>
        <w:tc>
          <w:tcPr>
            <w:tcW w:w="100" w:type="dxa"/>
            <w:vAlign w:val="bottom"/>
            <w:tcBorders>
              <w:bottom w:val="single" w:sz="8" w:color="2360A6"/>
              <w:right w:val="single" w:sz="8" w:color="2360A6"/>
            </w:tcBorders>
          </w:tcPr>
          <w:p>
            <w:pPr>
              <w:spacing w:after="0"/>
              <w:rPr>
                <w:sz w:val="17"/>
                <w:szCs w:val="17"/>
                <w:color w:val="auto"/>
              </w:rPr>
            </w:pPr>
          </w:p>
        </w:tc>
        <w:tc>
          <w:tcPr>
            <w:tcW w:w="16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2014</w:t>
            </w: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340" w:type="dxa"/>
            <w:vAlign w:val="bottom"/>
            <w:tcBorders>
              <w:left w:val="single" w:sz="8" w:color="2360A6"/>
            </w:tcBorders>
          </w:tcPr>
          <w:p>
            <w:pPr>
              <w:spacing w:after="0"/>
              <w:rPr>
                <w:sz w:val="18"/>
                <w:szCs w:val="18"/>
                <w:color w:val="auto"/>
              </w:rPr>
            </w:pPr>
          </w:p>
        </w:tc>
        <w:tc>
          <w:tcPr>
            <w:tcW w:w="120" w:type="dxa"/>
            <w:vAlign w:val="bottom"/>
            <w:tcBorders>
              <w:right w:val="single" w:sz="8" w:color="2360A6"/>
            </w:tcBorders>
          </w:tcPr>
          <w:p>
            <w:pPr>
              <w:spacing w:after="0"/>
              <w:rPr>
                <w:sz w:val="18"/>
                <w:szCs w:val="18"/>
                <w:color w:val="auto"/>
              </w:rPr>
            </w:pPr>
          </w:p>
        </w:tc>
        <w:tc>
          <w:tcPr>
            <w:tcW w:w="3840" w:type="dxa"/>
            <w:vAlign w:val="bottom"/>
            <w:tcBorders>
              <w:bottom w:val="single" w:sz="8" w:color="2360A6"/>
              <w:right w:val="single" w:sz="8" w:color="2360A6"/>
            </w:tcBorders>
            <w:gridSpan w:val="6"/>
            <w:shd w:val="clear" w:color="auto" w:fill="EDEDEE"/>
          </w:tcPr>
          <w:p>
            <w:pPr>
              <w:jc w:val="right"/>
              <w:ind w:right="388"/>
              <w:spacing w:after="0"/>
              <w:rPr>
                <w:sz w:val="20"/>
                <w:szCs w:val="20"/>
                <w:color w:val="auto"/>
              </w:rPr>
            </w:pPr>
            <w:r>
              <w:rPr>
                <w:rFonts w:ascii="Arial" w:cs="Arial" w:eastAsia="Arial" w:hAnsi="Arial"/>
                <w:sz w:val="14"/>
                <w:szCs w:val="14"/>
                <w:b w:val="1"/>
                <w:bCs w:val="1"/>
                <w:color w:val="2360A6"/>
              </w:rPr>
              <w:t>Amounts of Commitments by Maturity Date</w:t>
            </w:r>
          </w:p>
        </w:tc>
        <w:tc>
          <w:tcPr>
            <w:tcW w:w="600" w:type="dxa"/>
            <w:vAlign w:val="bottom"/>
            <w:tcBorders>
              <w:bottom w:val="single" w:sz="8" w:color="EDEDEE"/>
            </w:tcBorders>
            <w:shd w:val="clear" w:color="auto" w:fill="EDEDEE"/>
          </w:tcPr>
          <w:p>
            <w:pPr>
              <w:spacing w:after="0"/>
              <w:rPr>
                <w:sz w:val="18"/>
                <w:szCs w:val="18"/>
                <w:color w:val="auto"/>
              </w:rPr>
            </w:pPr>
          </w:p>
        </w:tc>
        <w:tc>
          <w:tcPr>
            <w:tcW w:w="120" w:type="dxa"/>
            <w:vAlign w:val="bottom"/>
            <w:tcBorders>
              <w:bottom w:val="single" w:sz="8" w:color="EDEDEE"/>
              <w:right w:val="single" w:sz="8" w:color="EDEDEE"/>
            </w:tcBorders>
            <w:shd w:val="clear" w:color="auto" w:fill="EDEDEE"/>
          </w:tcPr>
          <w:p>
            <w:pPr>
              <w:spacing w:after="0"/>
              <w:rPr>
                <w:sz w:val="18"/>
                <w:szCs w:val="18"/>
                <w:color w:val="auto"/>
              </w:rPr>
            </w:pPr>
          </w:p>
        </w:tc>
        <w:tc>
          <w:tcPr>
            <w:tcW w:w="220" w:type="dxa"/>
            <w:vAlign w:val="bottom"/>
            <w:tcBorders>
              <w:bottom w:val="single" w:sz="8" w:color="EDEDEE"/>
              <w:right w:val="single" w:sz="8" w:color="2360A6"/>
            </w:tcBorders>
            <w:shd w:val="clear" w:color="auto" w:fill="EDEDE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Borders>
              <w:right w:val="single" w:sz="8" w:color="2360A6"/>
            </w:tcBorders>
          </w:tcPr>
          <w:p>
            <w:pPr>
              <w:spacing w:after="0"/>
              <w:rPr>
                <w:sz w:val="18"/>
                <w:szCs w:val="18"/>
                <w:color w:val="auto"/>
              </w:rPr>
            </w:pPr>
          </w:p>
        </w:tc>
        <w:tc>
          <w:tcPr>
            <w:tcW w:w="1660" w:type="dxa"/>
            <w:vAlign w:val="bottom"/>
            <w:tcBorders>
              <w:right w:val="single" w:sz="8" w:color="2360A6"/>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40" w:type="dxa"/>
            <w:vAlign w:val="bottom"/>
            <w:tcBorders>
              <w:left w:val="single" w:sz="8" w:color="2360A6"/>
            </w:tcBorders>
          </w:tcPr>
          <w:p>
            <w:pPr>
              <w:spacing w:after="0"/>
              <w:rPr>
                <w:sz w:val="18"/>
                <w:szCs w:val="18"/>
                <w:color w:val="auto"/>
              </w:rPr>
            </w:pPr>
          </w:p>
        </w:tc>
        <w:tc>
          <w:tcPr>
            <w:tcW w:w="120" w:type="dxa"/>
            <w:vAlign w:val="bottom"/>
            <w:tcBorders>
              <w:right w:val="single" w:sz="8" w:color="2360A6"/>
            </w:tcBorders>
          </w:tcPr>
          <w:p>
            <w:pPr>
              <w:spacing w:after="0"/>
              <w:rPr>
                <w:sz w:val="18"/>
                <w:szCs w:val="18"/>
                <w:color w:val="auto"/>
              </w:rPr>
            </w:pPr>
          </w:p>
        </w:tc>
        <w:tc>
          <w:tcPr>
            <w:tcW w:w="1160" w:type="dxa"/>
            <w:vAlign w:val="bottom"/>
            <w:tcBorders>
              <w:right w:val="single" w:sz="8" w:color="EDEDEE"/>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Less than</w:t>
            </w:r>
          </w:p>
        </w:tc>
        <w:tc>
          <w:tcPr>
            <w:tcW w:w="120" w:type="dxa"/>
            <w:vAlign w:val="bottom"/>
            <w:tcBorders>
              <w:right w:val="single" w:sz="8" w:color="2360A6"/>
            </w:tcBorders>
            <w:shd w:val="clear" w:color="auto" w:fill="EDEDEE"/>
          </w:tcPr>
          <w:p>
            <w:pPr>
              <w:spacing w:after="0"/>
              <w:rPr>
                <w:sz w:val="18"/>
                <w:szCs w:val="18"/>
                <w:color w:val="auto"/>
              </w:rPr>
            </w:pPr>
          </w:p>
        </w:tc>
        <w:tc>
          <w:tcPr>
            <w:tcW w:w="960" w:type="dxa"/>
            <w:vAlign w:val="bottom"/>
            <w:tcBorders>
              <w:right w:val="single" w:sz="8" w:color="EDEDEE"/>
            </w:tcBorders>
            <w:shd w:val="clear" w:color="auto" w:fill="EDEDEE"/>
          </w:tcPr>
          <w:p>
            <w:pPr>
              <w:spacing w:after="0"/>
              <w:rPr>
                <w:sz w:val="18"/>
                <w:szCs w:val="18"/>
                <w:color w:val="auto"/>
              </w:rPr>
            </w:pPr>
          </w:p>
        </w:tc>
        <w:tc>
          <w:tcPr>
            <w:tcW w:w="300" w:type="dxa"/>
            <w:vAlign w:val="bottom"/>
            <w:tcBorders>
              <w:right w:val="single" w:sz="8" w:color="2360A6"/>
            </w:tcBorders>
            <w:shd w:val="clear" w:color="auto" w:fill="EDEDEE"/>
          </w:tcPr>
          <w:p>
            <w:pPr>
              <w:spacing w:after="0"/>
              <w:rPr>
                <w:sz w:val="18"/>
                <w:szCs w:val="18"/>
                <w:color w:val="auto"/>
              </w:rPr>
            </w:pPr>
          </w:p>
        </w:tc>
        <w:tc>
          <w:tcPr>
            <w:tcW w:w="400" w:type="dxa"/>
            <w:vAlign w:val="bottom"/>
            <w:shd w:val="clear" w:color="auto" w:fill="EDEDEE"/>
          </w:tcPr>
          <w:p>
            <w:pPr>
              <w:spacing w:after="0"/>
              <w:rPr>
                <w:sz w:val="18"/>
                <w:szCs w:val="18"/>
                <w:color w:val="auto"/>
              </w:rPr>
            </w:pPr>
          </w:p>
        </w:tc>
        <w:tc>
          <w:tcPr>
            <w:tcW w:w="900" w:type="dxa"/>
            <w:vAlign w:val="bottom"/>
            <w:tcBorders>
              <w:right w:val="single" w:sz="8" w:color="2360A6"/>
            </w:tcBorders>
            <w:shd w:val="clear" w:color="auto" w:fill="EDEDEE"/>
          </w:tcPr>
          <w:p>
            <w:pPr>
              <w:jc w:val="right"/>
              <w:ind w:right="88"/>
              <w:spacing w:after="0"/>
              <w:rPr>
                <w:sz w:val="20"/>
                <w:szCs w:val="20"/>
                <w:color w:val="auto"/>
              </w:rPr>
            </w:pPr>
            <w:r>
              <w:rPr>
                <w:rFonts w:ascii="Arial" w:cs="Arial" w:eastAsia="Arial" w:hAnsi="Arial"/>
                <w:sz w:val="14"/>
                <w:szCs w:val="14"/>
                <w:b w:val="1"/>
                <w:bCs w:val="1"/>
                <w:color w:val="2360A6"/>
              </w:rPr>
              <w:t>More than</w:t>
            </w:r>
          </w:p>
        </w:tc>
        <w:tc>
          <w:tcPr>
            <w:tcW w:w="600" w:type="dxa"/>
            <w:vAlign w:val="bottom"/>
            <w:shd w:val="clear" w:color="auto" w:fill="EDEDEE"/>
          </w:tcPr>
          <w:p>
            <w:pPr>
              <w:spacing w:after="0"/>
              <w:rPr>
                <w:sz w:val="18"/>
                <w:szCs w:val="18"/>
                <w:color w:val="auto"/>
              </w:rPr>
            </w:pPr>
          </w:p>
        </w:tc>
        <w:tc>
          <w:tcPr>
            <w:tcW w:w="120" w:type="dxa"/>
            <w:vAlign w:val="bottom"/>
            <w:tcBorders>
              <w:right w:val="single" w:sz="8" w:color="EDEDEE"/>
            </w:tcBorders>
            <w:shd w:val="clear" w:color="auto" w:fill="EDEDEE"/>
          </w:tcPr>
          <w:p>
            <w:pPr>
              <w:spacing w:after="0"/>
              <w:rPr>
                <w:sz w:val="18"/>
                <w:szCs w:val="18"/>
                <w:color w:val="auto"/>
              </w:rPr>
            </w:pPr>
          </w:p>
        </w:tc>
        <w:tc>
          <w:tcPr>
            <w:tcW w:w="220" w:type="dxa"/>
            <w:vAlign w:val="bottom"/>
            <w:tcBorders>
              <w:right w:val="single" w:sz="8" w:color="2360A6"/>
            </w:tcBorders>
            <w:shd w:val="clear" w:color="auto" w:fill="EDEDE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Borders>
              <w:right w:val="single" w:sz="8" w:color="2360A6"/>
            </w:tcBorders>
          </w:tcPr>
          <w:p>
            <w:pPr>
              <w:spacing w:after="0"/>
              <w:rPr>
                <w:sz w:val="18"/>
                <w:szCs w:val="18"/>
                <w:color w:val="auto"/>
              </w:rPr>
            </w:pPr>
          </w:p>
        </w:tc>
        <w:tc>
          <w:tcPr>
            <w:tcW w:w="1660" w:type="dxa"/>
            <w:vAlign w:val="bottom"/>
            <w:tcBorders>
              <w:right w:val="single" w:sz="8" w:color="2360A6"/>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460" w:type="dxa"/>
            <w:vAlign w:val="bottom"/>
            <w:tcBorders>
              <w:left w:val="single" w:sz="8" w:color="2360A6"/>
              <w:bottom w:val="single" w:sz="8" w:color="2360A6"/>
              <w:right w:val="single" w:sz="8" w:color="2360A6"/>
            </w:tcBorders>
            <w:gridSpan w:val="2"/>
          </w:tcPr>
          <w:p>
            <w:pPr>
              <w:ind w:left="60"/>
              <w:spacing w:after="0"/>
              <w:rPr>
                <w:sz w:val="20"/>
                <w:szCs w:val="20"/>
                <w:color w:val="auto"/>
              </w:rPr>
            </w:pPr>
            <w:r>
              <w:rPr>
                <w:rFonts w:ascii="Arial" w:cs="Arial" w:eastAsia="Arial" w:hAnsi="Arial"/>
                <w:sz w:val="14"/>
                <w:szCs w:val="14"/>
                <w:i w:val="1"/>
                <w:iCs w:val="1"/>
                <w:color w:val="231F20"/>
              </w:rPr>
              <w:t>In millions of Euro</w:t>
            </w:r>
          </w:p>
        </w:tc>
        <w:tc>
          <w:tcPr>
            <w:tcW w:w="1160" w:type="dxa"/>
            <w:vAlign w:val="bottom"/>
            <w:tcBorders>
              <w:bottom w:val="single" w:sz="8" w:color="2360A6"/>
              <w:right w:val="single" w:sz="8" w:color="EDEDEE"/>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 year</w:t>
            </w:r>
          </w:p>
        </w:tc>
        <w:tc>
          <w:tcPr>
            <w:tcW w:w="120" w:type="dxa"/>
            <w:vAlign w:val="bottom"/>
            <w:tcBorders>
              <w:bottom w:val="single" w:sz="8" w:color="2360A6"/>
              <w:right w:val="single" w:sz="8" w:color="2360A6"/>
            </w:tcBorders>
            <w:shd w:val="clear" w:color="auto" w:fill="EDEDEE"/>
          </w:tcPr>
          <w:p>
            <w:pPr>
              <w:spacing w:after="0"/>
              <w:rPr>
                <w:sz w:val="17"/>
                <w:szCs w:val="17"/>
                <w:color w:val="auto"/>
              </w:rPr>
            </w:pPr>
          </w:p>
        </w:tc>
        <w:tc>
          <w:tcPr>
            <w:tcW w:w="1260" w:type="dxa"/>
            <w:vAlign w:val="bottom"/>
            <w:tcBorders>
              <w:bottom w:val="single" w:sz="8" w:color="2360A6"/>
              <w:right w:val="single" w:sz="8" w:color="2360A6"/>
            </w:tcBorders>
            <w:gridSpan w:val="2"/>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1 to 5 years</w:t>
            </w:r>
          </w:p>
        </w:tc>
        <w:tc>
          <w:tcPr>
            <w:tcW w:w="400" w:type="dxa"/>
            <w:vAlign w:val="bottom"/>
            <w:tcBorders>
              <w:bottom w:val="single" w:sz="8" w:color="2360A6"/>
            </w:tcBorders>
            <w:shd w:val="clear" w:color="auto" w:fill="EDEDEE"/>
          </w:tcPr>
          <w:p>
            <w:pPr>
              <w:spacing w:after="0"/>
              <w:rPr>
                <w:sz w:val="17"/>
                <w:szCs w:val="17"/>
                <w:color w:val="auto"/>
              </w:rPr>
            </w:pPr>
          </w:p>
        </w:tc>
        <w:tc>
          <w:tcPr>
            <w:tcW w:w="900" w:type="dxa"/>
            <w:vAlign w:val="bottom"/>
            <w:tcBorders>
              <w:bottom w:val="single" w:sz="8" w:color="2360A6"/>
              <w:right w:val="single" w:sz="8" w:color="2360A6"/>
            </w:tcBorders>
            <w:shd w:val="clear" w:color="auto" w:fill="EDEDEE"/>
          </w:tcPr>
          <w:p>
            <w:pPr>
              <w:jc w:val="right"/>
              <w:ind w:right="88"/>
              <w:spacing w:after="0"/>
              <w:rPr>
                <w:sz w:val="20"/>
                <w:szCs w:val="20"/>
                <w:color w:val="auto"/>
              </w:rPr>
            </w:pPr>
            <w:r>
              <w:rPr>
                <w:rFonts w:ascii="Arial" w:cs="Arial" w:eastAsia="Arial" w:hAnsi="Arial"/>
                <w:sz w:val="14"/>
                <w:szCs w:val="14"/>
                <w:b w:val="1"/>
                <w:bCs w:val="1"/>
                <w:color w:val="2360A6"/>
              </w:rPr>
              <w:t>5 years</w:t>
            </w:r>
          </w:p>
        </w:tc>
        <w:tc>
          <w:tcPr>
            <w:tcW w:w="940" w:type="dxa"/>
            <w:vAlign w:val="bottom"/>
            <w:tcBorders>
              <w:bottom w:val="single" w:sz="8" w:color="2360A6"/>
              <w:right w:val="single" w:sz="8" w:color="2360A6"/>
            </w:tcBorders>
            <w:gridSpan w:val="3"/>
            <w:shd w:val="clear" w:color="auto" w:fill="EDEDEE"/>
          </w:tcPr>
          <w:p>
            <w:pPr>
              <w:jc w:val="right"/>
              <w:ind w:right="140"/>
              <w:spacing w:after="0"/>
              <w:rPr>
                <w:sz w:val="20"/>
                <w:szCs w:val="20"/>
                <w:color w:val="auto"/>
              </w:rPr>
            </w:pPr>
            <w:r>
              <w:rPr>
                <w:rFonts w:ascii="Arial" w:cs="Arial" w:eastAsia="Arial" w:hAnsi="Arial"/>
                <w:sz w:val="14"/>
                <w:szCs w:val="14"/>
                <w:b w:val="1"/>
                <w:bCs w:val="1"/>
                <w:color w:val="2360A6"/>
              </w:rPr>
              <w:t>Total</w:t>
            </w:r>
          </w:p>
        </w:tc>
        <w:tc>
          <w:tcPr>
            <w:tcW w:w="166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4"/>
                <w:szCs w:val="14"/>
                <w:b w:val="1"/>
                <w:bCs w:val="1"/>
                <w:color w:val="2360A6"/>
              </w:rPr>
              <w:t>Total</w:t>
            </w:r>
          </w:p>
        </w:tc>
        <w:tc>
          <w:tcPr>
            <w:tcW w:w="16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Total</w:t>
            </w: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460" w:type="dxa"/>
            <w:vAlign w:val="bottom"/>
            <w:tcBorders>
              <w:left w:val="single" w:sz="8" w:color="2360A6"/>
              <w:bottom w:val="single" w:sz="8" w:color="2360A6"/>
              <w:right w:val="single" w:sz="8" w:color="2360A6"/>
            </w:tcBorders>
            <w:gridSpan w:val="2"/>
          </w:tcPr>
          <w:p>
            <w:pPr>
              <w:ind w:left="60"/>
              <w:spacing w:after="0"/>
              <w:rPr>
                <w:sz w:val="20"/>
                <w:szCs w:val="20"/>
                <w:color w:val="auto"/>
              </w:rPr>
            </w:pPr>
            <w:r>
              <w:rPr>
                <w:rFonts w:ascii="Arial" w:cs="Arial" w:eastAsia="Arial" w:hAnsi="Arial"/>
                <w:sz w:val="14"/>
                <w:szCs w:val="14"/>
                <w:color w:val="231F20"/>
              </w:rPr>
              <w:t>Operating Leases</w:t>
            </w:r>
          </w:p>
        </w:tc>
        <w:tc>
          <w:tcPr>
            <w:tcW w:w="1160" w:type="dxa"/>
            <w:vAlign w:val="bottom"/>
            <w:tcBorders>
              <w:bottom w:val="single" w:sz="8" w:color="2360A6"/>
              <w:right w:val="single" w:sz="8" w:color="EDEDEE"/>
            </w:tcBorders>
            <w:shd w:val="clear" w:color="auto" w:fill="EDEDEE"/>
          </w:tcPr>
          <w:p>
            <w:pPr>
              <w:jc w:val="right"/>
              <w:spacing w:after="0"/>
              <w:rPr>
                <w:sz w:val="20"/>
                <w:szCs w:val="20"/>
                <w:color w:val="auto"/>
              </w:rPr>
            </w:pPr>
            <w:r>
              <w:rPr>
                <w:rFonts w:ascii="Arial" w:cs="Arial" w:eastAsia="Arial" w:hAnsi="Arial"/>
                <w:sz w:val="14"/>
                <w:szCs w:val="14"/>
                <w:color w:val="231F20"/>
              </w:rPr>
              <w:t>251.2</w:t>
            </w:r>
          </w:p>
        </w:tc>
        <w:tc>
          <w:tcPr>
            <w:tcW w:w="120" w:type="dxa"/>
            <w:vAlign w:val="bottom"/>
            <w:tcBorders>
              <w:bottom w:val="single" w:sz="8" w:color="2360A6"/>
              <w:right w:val="single" w:sz="8" w:color="2360A6"/>
            </w:tcBorders>
            <w:shd w:val="clear" w:color="auto" w:fill="EDEDEE"/>
          </w:tcPr>
          <w:p>
            <w:pPr>
              <w:spacing w:after="0"/>
              <w:rPr>
                <w:sz w:val="18"/>
                <w:szCs w:val="18"/>
                <w:color w:val="auto"/>
              </w:rPr>
            </w:pPr>
          </w:p>
        </w:tc>
        <w:tc>
          <w:tcPr>
            <w:tcW w:w="1260" w:type="dxa"/>
            <w:vAlign w:val="bottom"/>
            <w:tcBorders>
              <w:bottom w:val="single" w:sz="8" w:color="2360A6"/>
              <w:right w:val="single" w:sz="8" w:color="2360A6"/>
            </w:tcBorders>
            <w:gridSpan w:val="2"/>
            <w:shd w:val="clear" w:color="auto" w:fill="EDEDEE"/>
          </w:tcPr>
          <w:p>
            <w:pPr>
              <w:jc w:val="right"/>
              <w:ind w:right="48"/>
              <w:spacing w:after="0"/>
              <w:rPr>
                <w:sz w:val="20"/>
                <w:szCs w:val="20"/>
                <w:color w:val="auto"/>
              </w:rPr>
            </w:pPr>
            <w:r>
              <w:rPr>
                <w:rFonts w:ascii="Arial" w:cs="Arial" w:eastAsia="Arial" w:hAnsi="Arial"/>
                <w:sz w:val="14"/>
                <w:szCs w:val="14"/>
                <w:color w:val="231F20"/>
              </w:rPr>
              <w:t>853.7</w:t>
            </w:r>
          </w:p>
        </w:tc>
        <w:tc>
          <w:tcPr>
            <w:tcW w:w="400" w:type="dxa"/>
            <w:vAlign w:val="bottom"/>
            <w:tcBorders>
              <w:bottom w:val="single" w:sz="8" w:color="2360A6"/>
            </w:tcBorders>
            <w:shd w:val="clear" w:color="auto" w:fill="EDEDEE"/>
          </w:tcPr>
          <w:p>
            <w:pPr>
              <w:spacing w:after="0"/>
              <w:rPr>
                <w:sz w:val="18"/>
                <w:szCs w:val="18"/>
                <w:color w:val="auto"/>
              </w:rPr>
            </w:pPr>
          </w:p>
        </w:tc>
        <w:tc>
          <w:tcPr>
            <w:tcW w:w="900" w:type="dxa"/>
            <w:vAlign w:val="bottom"/>
            <w:tcBorders>
              <w:bottom w:val="single" w:sz="8" w:color="2360A6"/>
              <w:right w:val="single" w:sz="8" w:color="2360A6"/>
            </w:tcBorders>
            <w:shd w:val="clear" w:color="auto" w:fill="EDEDEE"/>
          </w:tcPr>
          <w:p>
            <w:pPr>
              <w:jc w:val="right"/>
              <w:ind w:right="88"/>
              <w:spacing w:after="0"/>
              <w:rPr>
                <w:sz w:val="20"/>
                <w:szCs w:val="20"/>
                <w:color w:val="auto"/>
              </w:rPr>
            </w:pPr>
            <w:r>
              <w:rPr>
                <w:rFonts w:ascii="Arial" w:cs="Arial" w:eastAsia="Arial" w:hAnsi="Arial"/>
                <w:sz w:val="14"/>
                <w:szCs w:val="14"/>
                <w:color w:val="231F20"/>
              </w:rPr>
              <w:t>399.0</w:t>
            </w:r>
          </w:p>
        </w:tc>
        <w:tc>
          <w:tcPr>
            <w:tcW w:w="940" w:type="dxa"/>
            <w:vAlign w:val="bottom"/>
            <w:tcBorders>
              <w:bottom w:val="single" w:sz="8" w:color="2360A6"/>
              <w:right w:val="single" w:sz="8" w:color="2360A6"/>
            </w:tcBorders>
            <w:gridSpan w:val="3"/>
            <w:shd w:val="clear" w:color="auto" w:fill="EDEDEE"/>
          </w:tcPr>
          <w:p>
            <w:pPr>
              <w:jc w:val="right"/>
              <w:ind w:right="140"/>
              <w:spacing w:after="0"/>
              <w:rPr>
                <w:sz w:val="20"/>
                <w:szCs w:val="20"/>
                <w:color w:val="auto"/>
              </w:rPr>
            </w:pPr>
            <w:r>
              <w:rPr>
                <w:rFonts w:ascii="Arial" w:cs="Arial" w:eastAsia="Arial" w:hAnsi="Arial"/>
                <w:sz w:val="14"/>
                <w:szCs w:val="14"/>
                <w:color w:val="231F20"/>
              </w:rPr>
              <w:t>1,503.9</w:t>
            </w:r>
          </w:p>
        </w:tc>
        <w:tc>
          <w:tcPr>
            <w:tcW w:w="15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1,748.5</w:t>
            </w:r>
          </w:p>
        </w:tc>
        <w:tc>
          <w:tcPr>
            <w:tcW w:w="100" w:type="dxa"/>
            <w:vAlign w:val="bottom"/>
            <w:tcBorders>
              <w:bottom w:val="single" w:sz="8" w:color="2360A6"/>
              <w:right w:val="single" w:sz="8" w:color="2360A6"/>
            </w:tcBorders>
          </w:tcPr>
          <w:p>
            <w:pPr>
              <w:spacing w:after="0"/>
              <w:rPr>
                <w:sz w:val="18"/>
                <w:szCs w:val="18"/>
                <w:color w:val="auto"/>
              </w:rPr>
            </w:pPr>
          </w:p>
        </w:tc>
        <w:tc>
          <w:tcPr>
            <w:tcW w:w="16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1,814.2</w:t>
            </w:r>
          </w:p>
        </w:tc>
        <w:tc>
          <w:tcPr>
            <w:tcW w:w="20" w:type="dxa"/>
            <w:vAlign w:val="bottom"/>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2460" w:type="dxa"/>
            <w:vAlign w:val="bottom"/>
            <w:tcBorders>
              <w:left w:val="single" w:sz="8" w:color="2360A6"/>
              <w:right w:val="single" w:sz="8" w:color="2360A6"/>
            </w:tcBorders>
            <w:gridSpan w:val="2"/>
            <w:shd w:val="clear" w:color="auto" w:fill="D2DEEC"/>
          </w:tcPr>
          <w:p>
            <w:pPr>
              <w:ind w:left="60"/>
              <w:spacing w:after="0"/>
              <w:rPr>
                <w:sz w:val="20"/>
                <w:szCs w:val="20"/>
                <w:color w:val="auto"/>
              </w:rPr>
            </w:pPr>
            <w:r>
              <w:rPr>
                <w:rFonts w:ascii="Arial" w:cs="Arial" w:eastAsia="Arial" w:hAnsi="Arial"/>
                <w:sz w:val="14"/>
                <w:szCs w:val="14"/>
                <w:b w:val="1"/>
                <w:bCs w:val="1"/>
                <w:color w:val="2360A6"/>
              </w:rPr>
              <w:t>TOTAL CONTRACTUAL</w:t>
            </w:r>
          </w:p>
        </w:tc>
        <w:tc>
          <w:tcPr>
            <w:tcW w:w="1160" w:type="dxa"/>
            <w:vAlign w:val="bottom"/>
            <w:tcBorders>
              <w:right w:val="single" w:sz="8" w:color="D2DEEC"/>
            </w:tcBorders>
            <w:shd w:val="clear" w:color="auto" w:fill="D2DEEC"/>
          </w:tcPr>
          <w:p>
            <w:pPr>
              <w:spacing w:after="0"/>
              <w:rPr>
                <w:sz w:val="15"/>
                <w:szCs w:val="15"/>
                <w:color w:val="auto"/>
              </w:rPr>
            </w:pPr>
          </w:p>
        </w:tc>
        <w:tc>
          <w:tcPr>
            <w:tcW w:w="120" w:type="dxa"/>
            <w:vAlign w:val="bottom"/>
            <w:tcBorders>
              <w:right w:val="single" w:sz="8" w:color="2360A6"/>
            </w:tcBorders>
            <w:shd w:val="clear" w:color="auto" w:fill="D2DEEC"/>
          </w:tcPr>
          <w:p>
            <w:pPr>
              <w:spacing w:after="0"/>
              <w:rPr>
                <w:sz w:val="15"/>
                <w:szCs w:val="15"/>
                <w:color w:val="auto"/>
              </w:rPr>
            </w:pPr>
          </w:p>
        </w:tc>
        <w:tc>
          <w:tcPr>
            <w:tcW w:w="960" w:type="dxa"/>
            <w:vAlign w:val="bottom"/>
            <w:tcBorders>
              <w:right w:val="single" w:sz="8" w:color="D2DEEC"/>
            </w:tcBorders>
            <w:shd w:val="clear" w:color="auto" w:fill="D2DEEC"/>
          </w:tcPr>
          <w:p>
            <w:pPr>
              <w:spacing w:after="0"/>
              <w:rPr>
                <w:sz w:val="15"/>
                <w:szCs w:val="15"/>
                <w:color w:val="auto"/>
              </w:rPr>
            </w:pPr>
          </w:p>
        </w:tc>
        <w:tc>
          <w:tcPr>
            <w:tcW w:w="300" w:type="dxa"/>
            <w:vAlign w:val="bottom"/>
            <w:tcBorders>
              <w:right w:val="single" w:sz="8" w:color="2360A6"/>
            </w:tcBorders>
            <w:shd w:val="clear" w:color="auto" w:fill="D2DEEC"/>
          </w:tcPr>
          <w:p>
            <w:pPr>
              <w:spacing w:after="0"/>
              <w:rPr>
                <w:sz w:val="15"/>
                <w:szCs w:val="15"/>
                <w:color w:val="auto"/>
              </w:rPr>
            </w:pPr>
          </w:p>
        </w:tc>
        <w:tc>
          <w:tcPr>
            <w:tcW w:w="400" w:type="dxa"/>
            <w:vAlign w:val="bottom"/>
            <w:shd w:val="clear" w:color="auto" w:fill="D2DEEC"/>
          </w:tcPr>
          <w:p>
            <w:pPr>
              <w:spacing w:after="0"/>
              <w:rPr>
                <w:sz w:val="15"/>
                <w:szCs w:val="15"/>
                <w:color w:val="auto"/>
              </w:rPr>
            </w:pPr>
          </w:p>
        </w:tc>
        <w:tc>
          <w:tcPr>
            <w:tcW w:w="900" w:type="dxa"/>
            <w:vAlign w:val="bottom"/>
            <w:tcBorders>
              <w:right w:val="single" w:sz="8" w:color="2360A6"/>
            </w:tcBorders>
            <w:shd w:val="clear" w:color="auto" w:fill="D2DEEC"/>
          </w:tcPr>
          <w:p>
            <w:pPr>
              <w:spacing w:after="0"/>
              <w:rPr>
                <w:sz w:val="15"/>
                <w:szCs w:val="15"/>
                <w:color w:val="auto"/>
              </w:rPr>
            </w:pPr>
          </w:p>
        </w:tc>
        <w:tc>
          <w:tcPr>
            <w:tcW w:w="600" w:type="dxa"/>
            <w:vAlign w:val="bottom"/>
            <w:shd w:val="clear" w:color="auto" w:fill="D2DEEC"/>
          </w:tcPr>
          <w:p>
            <w:pPr>
              <w:spacing w:after="0"/>
              <w:rPr>
                <w:sz w:val="15"/>
                <w:szCs w:val="15"/>
                <w:color w:val="auto"/>
              </w:rPr>
            </w:pPr>
          </w:p>
        </w:tc>
        <w:tc>
          <w:tcPr>
            <w:tcW w:w="120" w:type="dxa"/>
            <w:vAlign w:val="bottom"/>
            <w:tcBorders>
              <w:right w:val="single" w:sz="8" w:color="D2DEEC"/>
            </w:tcBorders>
            <w:shd w:val="clear" w:color="auto" w:fill="D2DEEC"/>
          </w:tcPr>
          <w:p>
            <w:pPr>
              <w:spacing w:after="0"/>
              <w:rPr>
                <w:sz w:val="15"/>
                <w:szCs w:val="15"/>
                <w:color w:val="auto"/>
              </w:rPr>
            </w:pPr>
          </w:p>
        </w:tc>
        <w:tc>
          <w:tcPr>
            <w:tcW w:w="220" w:type="dxa"/>
            <w:vAlign w:val="bottom"/>
            <w:tcBorders>
              <w:right w:val="single" w:sz="8" w:color="2360A6"/>
            </w:tcBorders>
            <w:shd w:val="clear" w:color="auto" w:fill="D2DEEC"/>
          </w:tcPr>
          <w:p>
            <w:pPr>
              <w:spacing w:after="0"/>
              <w:rPr>
                <w:sz w:val="15"/>
                <w:szCs w:val="15"/>
                <w:color w:val="auto"/>
              </w:rPr>
            </w:pPr>
          </w:p>
        </w:tc>
        <w:tc>
          <w:tcPr>
            <w:tcW w:w="1560" w:type="dxa"/>
            <w:vAlign w:val="bottom"/>
            <w:tcBorders>
              <w:right w:val="single" w:sz="8" w:color="D2DEEC"/>
            </w:tcBorders>
            <w:shd w:val="clear" w:color="auto" w:fill="D2DEEC"/>
          </w:tcPr>
          <w:p>
            <w:pPr>
              <w:spacing w:after="0"/>
              <w:rPr>
                <w:sz w:val="15"/>
                <w:szCs w:val="15"/>
                <w:color w:val="auto"/>
              </w:rPr>
            </w:pPr>
          </w:p>
        </w:tc>
        <w:tc>
          <w:tcPr>
            <w:tcW w:w="100" w:type="dxa"/>
            <w:vAlign w:val="bottom"/>
            <w:tcBorders>
              <w:right w:val="single" w:sz="8" w:color="2360A6"/>
            </w:tcBorders>
            <w:shd w:val="clear" w:color="auto" w:fill="D2DEEC"/>
          </w:tcPr>
          <w:p>
            <w:pPr>
              <w:spacing w:after="0"/>
              <w:rPr>
                <w:sz w:val="15"/>
                <w:szCs w:val="15"/>
                <w:color w:val="auto"/>
              </w:rPr>
            </w:pPr>
          </w:p>
        </w:tc>
        <w:tc>
          <w:tcPr>
            <w:tcW w:w="1660" w:type="dxa"/>
            <w:vAlign w:val="bottom"/>
            <w:tcBorders>
              <w:right w:val="single" w:sz="8" w:color="2360A6"/>
            </w:tcBorders>
            <w:shd w:val="clear" w:color="auto" w:fill="D2DEEC"/>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2460" w:type="dxa"/>
            <w:vAlign w:val="bottom"/>
            <w:tcBorders>
              <w:left w:val="single" w:sz="8" w:color="2360A6"/>
              <w:bottom w:val="single" w:sz="8" w:color="2360A6"/>
              <w:right w:val="single" w:sz="8" w:color="2360A6"/>
            </w:tcBorders>
            <w:gridSpan w:val="2"/>
            <w:shd w:val="clear" w:color="auto" w:fill="D2DEEC"/>
          </w:tcPr>
          <w:p>
            <w:pPr>
              <w:ind w:left="60"/>
              <w:spacing w:after="0"/>
              <w:rPr>
                <w:sz w:val="20"/>
                <w:szCs w:val="20"/>
                <w:color w:val="auto"/>
              </w:rPr>
            </w:pPr>
            <w:r>
              <w:rPr>
                <w:rFonts w:ascii="Arial" w:cs="Arial" w:eastAsia="Arial" w:hAnsi="Arial"/>
                <w:sz w:val="14"/>
                <w:szCs w:val="14"/>
                <w:b w:val="1"/>
                <w:bCs w:val="1"/>
                <w:color w:val="2360A6"/>
              </w:rPr>
              <w:t>COMMITMENTS</w:t>
            </w:r>
          </w:p>
        </w:tc>
        <w:tc>
          <w:tcPr>
            <w:tcW w:w="1160" w:type="dxa"/>
            <w:vAlign w:val="bottom"/>
            <w:tcBorders>
              <w:bottom w:val="single" w:sz="8" w:color="2360A6"/>
              <w:right w:val="single" w:sz="8" w:color="D2DEEC"/>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251.2</w:t>
            </w:r>
          </w:p>
        </w:tc>
        <w:tc>
          <w:tcPr>
            <w:tcW w:w="120" w:type="dxa"/>
            <w:vAlign w:val="bottom"/>
            <w:tcBorders>
              <w:bottom w:val="single" w:sz="8" w:color="2360A6"/>
              <w:right w:val="single" w:sz="8" w:color="2360A6"/>
            </w:tcBorders>
            <w:shd w:val="clear" w:color="auto" w:fill="D2DEEC"/>
          </w:tcPr>
          <w:p>
            <w:pPr>
              <w:spacing w:after="0"/>
              <w:rPr>
                <w:sz w:val="17"/>
                <w:szCs w:val="17"/>
                <w:color w:val="auto"/>
              </w:rPr>
            </w:pPr>
          </w:p>
        </w:tc>
        <w:tc>
          <w:tcPr>
            <w:tcW w:w="1260" w:type="dxa"/>
            <w:vAlign w:val="bottom"/>
            <w:tcBorders>
              <w:bottom w:val="single" w:sz="8" w:color="2360A6"/>
              <w:right w:val="single" w:sz="8" w:color="2360A6"/>
            </w:tcBorders>
            <w:gridSpan w:val="2"/>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853.7</w:t>
            </w:r>
          </w:p>
        </w:tc>
        <w:tc>
          <w:tcPr>
            <w:tcW w:w="400" w:type="dxa"/>
            <w:vAlign w:val="bottom"/>
            <w:tcBorders>
              <w:bottom w:val="single" w:sz="8" w:color="2360A6"/>
            </w:tcBorders>
            <w:shd w:val="clear" w:color="auto" w:fill="D2DEEC"/>
          </w:tcPr>
          <w:p>
            <w:pPr>
              <w:spacing w:after="0"/>
              <w:rPr>
                <w:sz w:val="17"/>
                <w:szCs w:val="17"/>
                <w:color w:val="auto"/>
              </w:rPr>
            </w:pPr>
          </w:p>
        </w:tc>
        <w:tc>
          <w:tcPr>
            <w:tcW w:w="900" w:type="dxa"/>
            <w:vAlign w:val="bottom"/>
            <w:tcBorders>
              <w:bottom w:val="single" w:sz="8" w:color="2360A6"/>
              <w:right w:val="single" w:sz="8" w:color="2360A6"/>
            </w:tcBorders>
            <w:shd w:val="clear" w:color="auto" w:fill="D2DEEC"/>
          </w:tcPr>
          <w:p>
            <w:pPr>
              <w:jc w:val="right"/>
              <w:ind w:right="88"/>
              <w:spacing w:after="0"/>
              <w:rPr>
                <w:sz w:val="20"/>
                <w:szCs w:val="20"/>
                <w:color w:val="auto"/>
              </w:rPr>
            </w:pPr>
            <w:r>
              <w:rPr>
                <w:rFonts w:ascii="Arial" w:cs="Arial" w:eastAsia="Arial" w:hAnsi="Arial"/>
                <w:sz w:val="14"/>
                <w:szCs w:val="14"/>
                <w:b w:val="1"/>
                <w:bCs w:val="1"/>
                <w:color w:val="2360A6"/>
              </w:rPr>
              <w:t>399.0</w:t>
            </w:r>
          </w:p>
        </w:tc>
        <w:tc>
          <w:tcPr>
            <w:tcW w:w="940" w:type="dxa"/>
            <w:vAlign w:val="bottom"/>
            <w:tcBorders>
              <w:bottom w:val="single" w:sz="8" w:color="2360A6"/>
              <w:right w:val="single" w:sz="8" w:color="2360A6"/>
            </w:tcBorders>
            <w:gridSpan w:val="3"/>
            <w:shd w:val="clear" w:color="auto" w:fill="D2DEEC"/>
          </w:tcPr>
          <w:p>
            <w:pPr>
              <w:jc w:val="right"/>
              <w:ind w:right="140"/>
              <w:spacing w:after="0"/>
              <w:rPr>
                <w:sz w:val="20"/>
                <w:szCs w:val="20"/>
                <w:color w:val="auto"/>
              </w:rPr>
            </w:pPr>
            <w:r>
              <w:rPr>
                <w:rFonts w:ascii="Arial" w:cs="Arial" w:eastAsia="Arial" w:hAnsi="Arial"/>
                <w:sz w:val="14"/>
                <w:szCs w:val="14"/>
                <w:b w:val="1"/>
                <w:bCs w:val="1"/>
                <w:color w:val="2360A6"/>
              </w:rPr>
              <w:t>1,503.9</w:t>
            </w:r>
          </w:p>
        </w:tc>
        <w:tc>
          <w:tcPr>
            <w:tcW w:w="1560" w:type="dxa"/>
            <w:vAlign w:val="bottom"/>
            <w:tcBorders>
              <w:bottom w:val="single" w:sz="8" w:color="2360A6"/>
              <w:right w:val="single" w:sz="8" w:color="D2DEEC"/>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1,748.5</w:t>
            </w:r>
          </w:p>
        </w:tc>
        <w:tc>
          <w:tcPr>
            <w:tcW w:w="100" w:type="dxa"/>
            <w:vAlign w:val="bottom"/>
            <w:tcBorders>
              <w:bottom w:val="single" w:sz="8" w:color="2360A6"/>
              <w:right w:val="single" w:sz="8" w:color="2360A6"/>
            </w:tcBorders>
            <w:shd w:val="clear" w:color="auto" w:fill="D2DEEC"/>
          </w:tcPr>
          <w:p>
            <w:pPr>
              <w:spacing w:after="0"/>
              <w:rPr>
                <w:sz w:val="17"/>
                <w:szCs w:val="17"/>
                <w:color w:val="auto"/>
              </w:rPr>
            </w:pPr>
          </w:p>
        </w:tc>
        <w:tc>
          <w:tcPr>
            <w:tcW w:w="16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1,814.2</w:t>
            </w:r>
          </w:p>
        </w:tc>
        <w:tc>
          <w:tcPr>
            <w:tcW w:w="20" w:type="dxa"/>
            <w:vAlign w:val="bottom"/>
          </w:tcPr>
          <w:p>
            <w:pPr>
              <w:spacing w:after="0"/>
              <w:rPr>
                <w:sz w:val="17"/>
                <w:szCs w:val="17"/>
                <w:color w:val="auto"/>
              </w:rPr>
            </w:pPr>
          </w:p>
        </w:tc>
      </w:tr>
      <w:tr>
        <w:trPr>
          <w:trHeight w:val="179"/>
        </w:trPr>
        <w:tc>
          <w:tcPr>
            <w:tcW w:w="20" w:type="dxa"/>
            <w:vAlign w:val="bottom"/>
          </w:tcPr>
          <w:p>
            <w:pPr>
              <w:spacing w:after="0"/>
              <w:rPr>
                <w:sz w:val="15"/>
                <w:szCs w:val="15"/>
                <w:color w:val="auto"/>
              </w:rPr>
            </w:pPr>
          </w:p>
        </w:tc>
        <w:tc>
          <w:tcPr>
            <w:tcW w:w="2460" w:type="dxa"/>
            <w:vAlign w:val="bottom"/>
            <w:tcBorders>
              <w:left w:val="single" w:sz="8" w:color="2360A6"/>
              <w:right w:val="single" w:sz="8" w:color="2360A6"/>
            </w:tcBorders>
            <w:gridSpan w:val="2"/>
          </w:tcPr>
          <w:p>
            <w:pPr>
              <w:ind w:left="60"/>
              <w:spacing w:after="0"/>
              <w:rPr>
                <w:sz w:val="20"/>
                <w:szCs w:val="20"/>
                <w:color w:val="auto"/>
              </w:rPr>
            </w:pPr>
            <w:r>
              <w:rPr>
                <w:rFonts w:ascii="Arial" w:cs="Arial" w:eastAsia="Arial" w:hAnsi="Arial"/>
                <w:sz w:val="14"/>
                <w:szCs w:val="14"/>
                <w:i w:val="1"/>
                <w:iCs w:val="1"/>
                <w:color w:val="231F20"/>
              </w:rPr>
              <w:t>Of which commitments given relating</w:t>
            </w:r>
          </w:p>
        </w:tc>
        <w:tc>
          <w:tcPr>
            <w:tcW w:w="1160" w:type="dxa"/>
            <w:vAlign w:val="bottom"/>
            <w:tcBorders>
              <w:right w:val="single" w:sz="8" w:color="EDEDEE"/>
            </w:tcBorders>
            <w:shd w:val="clear" w:color="auto" w:fill="EDEDEE"/>
          </w:tcPr>
          <w:p>
            <w:pPr>
              <w:spacing w:after="0"/>
              <w:rPr>
                <w:sz w:val="15"/>
                <w:szCs w:val="15"/>
                <w:color w:val="auto"/>
              </w:rPr>
            </w:pPr>
          </w:p>
        </w:tc>
        <w:tc>
          <w:tcPr>
            <w:tcW w:w="120" w:type="dxa"/>
            <w:vAlign w:val="bottom"/>
            <w:tcBorders>
              <w:right w:val="single" w:sz="8" w:color="2360A6"/>
            </w:tcBorders>
            <w:shd w:val="clear" w:color="auto" w:fill="EDEDEE"/>
          </w:tcPr>
          <w:p>
            <w:pPr>
              <w:spacing w:after="0"/>
              <w:rPr>
                <w:sz w:val="15"/>
                <w:szCs w:val="15"/>
                <w:color w:val="auto"/>
              </w:rPr>
            </w:pPr>
          </w:p>
        </w:tc>
        <w:tc>
          <w:tcPr>
            <w:tcW w:w="960" w:type="dxa"/>
            <w:vAlign w:val="bottom"/>
            <w:tcBorders>
              <w:right w:val="single" w:sz="8" w:color="EDEDEE"/>
            </w:tcBorders>
            <w:shd w:val="clear" w:color="auto" w:fill="EDEDEE"/>
          </w:tcPr>
          <w:p>
            <w:pPr>
              <w:spacing w:after="0"/>
              <w:rPr>
                <w:sz w:val="15"/>
                <w:szCs w:val="15"/>
                <w:color w:val="auto"/>
              </w:rPr>
            </w:pPr>
          </w:p>
        </w:tc>
        <w:tc>
          <w:tcPr>
            <w:tcW w:w="300" w:type="dxa"/>
            <w:vAlign w:val="bottom"/>
            <w:tcBorders>
              <w:right w:val="single" w:sz="8" w:color="2360A6"/>
            </w:tcBorders>
            <w:shd w:val="clear" w:color="auto" w:fill="EDEDEE"/>
          </w:tcPr>
          <w:p>
            <w:pPr>
              <w:spacing w:after="0"/>
              <w:rPr>
                <w:sz w:val="15"/>
                <w:szCs w:val="15"/>
                <w:color w:val="auto"/>
              </w:rPr>
            </w:pPr>
          </w:p>
        </w:tc>
        <w:tc>
          <w:tcPr>
            <w:tcW w:w="400" w:type="dxa"/>
            <w:vAlign w:val="bottom"/>
            <w:shd w:val="clear" w:color="auto" w:fill="EDEDEE"/>
          </w:tcPr>
          <w:p>
            <w:pPr>
              <w:spacing w:after="0"/>
              <w:rPr>
                <w:sz w:val="15"/>
                <w:szCs w:val="15"/>
                <w:color w:val="auto"/>
              </w:rPr>
            </w:pPr>
          </w:p>
        </w:tc>
        <w:tc>
          <w:tcPr>
            <w:tcW w:w="900" w:type="dxa"/>
            <w:vAlign w:val="bottom"/>
            <w:tcBorders>
              <w:right w:val="single" w:sz="8" w:color="2360A6"/>
            </w:tcBorders>
            <w:shd w:val="clear" w:color="auto" w:fill="EDEDEE"/>
          </w:tcPr>
          <w:p>
            <w:pPr>
              <w:spacing w:after="0"/>
              <w:rPr>
                <w:sz w:val="15"/>
                <w:szCs w:val="15"/>
                <w:color w:val="auto"/>
              </w:rPr>
            </w:pPr>
          </w:p>
        </w:tc>
        <w:tc>
          <w:tcPr>
            <w:tcW w:w="600" w:type="dxa"/>
            <w:vAlign w:val="bottom"/>
            <w:shd w:val="clear" w:color="auto" w:fill="EDEDEE"/>
          </w:tcPr>
          <w:p>
            <w:pPr>
              <w:spacing w:after="0"/>
              <w:rPr>
                <w:sz w:val="15"/>
                <w:szCs w:val="15"/>
                <w:color w:val="auto"/>
              </w:rPr>
            </w:pPr>
          </w:p>
        </w:tc>
        <w:tc>
          <w:tcPr>
            <w:tcW w:w="120" w:type="dxa"/>
            <w:vAlign w:val="bottom"/>
            <w:tcBorders>
              <w:right w:val="single" w:sz="8" w:color="EDEDEE"/>
            </w:tcBorders>
            <w:shd w:val="clear" w:color="auto" w:fill="EDEDEE"/>
          </w:tcPr>
          <w:p>
            <w:pPr>
              <w:spacing w:after="0"/>
              <w:rPr>
                <w:sz w:val="15"/>
                <w:szCs w:val="15"/>
                <w:color w:val="auto"/>
              </w:rPr>
            </w:pPr>
          </w:p>
        </w:tc>
        <w:tc>
          <w:tcPr>
            <w:tcW w:w="220" w:type="dxa"/>
            <w:vAlign w:val="bottom"/>
            <w:tcBorders>
              <w:right w:val="single" w:sz="8" w:color="2360A6"/>
            </w:tcBorders>
            <w:shd w:val="clear" w:color="auto" w:fill="EDEDEE"/>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Borders>
              <w:right w:val="single" w:sz="8" w:color="2360A6"/>
            </w:tcBorders>
          </w:tcPr>
          <w:p>
            <w:pPr>
              <w:spacing w:after="0"/>
              <w:rPr>
                <w:sz w:val="15"/>
                <w:szCs w:val="15"/>
                <w:color w:val="auto"/>
              </w:rPr>
            </w:pPr>
          </w:p>
        </w:tc>
        <w:tc>
          <w:tcPr>
            <w:tcW w:w="1660" w:type="dxa"/>
            <w:vAlign w:val="bottom"/>
            <w:tcBorders>
              <w:right w:val="single" w:sz="8" w:color="2360A6"/>
            </w:tcBorders>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2460" w:type="dxa"/>
            <w:vAlign w:val="bottom"/>
            <w:tcBorders>
              <w:left w:val="single" w:sz="8" w:color="2360A6"/>
              <w:bottom w:val="single" w:sz="8" w:color="2360A6"/>
              <w:right w:val="single" w:sz="8" w:color="2360A6"/>
            </w:tcBorders>
            <w:gridSpan w:val="2"/>
          </w:tcPr>
          <w:p>
            <w:pPr>
              <w:ind w:left="60"/>
              <w:spacing w:after="0"/>
              <w:rPr>
                <w:sz w:val="20"/>
                <w:szCs w:val="20"/>
                <w:color w:val="auto"/>
              </w:rPr>
            </w:pPr>
            <w:r>
              <w:rPr>
                <w:rFonts w:ascii="Arial" w:cs="Arial" w:eastAsia="Arial" w:hAnsi="Arial"/>
                <w:sz w:val="14"/>
                <w:szCs w:val="14"/>
                <w:i w:val="1"/>
                <w:iCs w:val="1"/>
                <w:color w:val="231F20"/>
              </w:rPr>
              <w:t>to Joint Operations</w:t>
            </w:r>
          </w:p>
        </w:tc>
        <w:tc>
          <w:tcPr>
            <w:tcW w:w="1280" w:type="dxa"/>
            <w:vAlign w:val="bottom"/>
            <w:tcBorders>
              <w:bottom w:val="single" w:sz="8" w:color="2360A6"/>
              <w:right w:val="single" w:sz="8" w:color="2360A6"/>
            </w:tcBorders>
            <w:gridSpan w:val="2"/>
            <w:shd w:val="clear" w:color="auto" w:fill="EDEDEE"/>
          </w:tcPr>
          <w:p>
            <w:pPr>
              <w:jc w:val="right"/>
              <w:ind w:right="140"/>
              <w:spacing w:after="0"/>
              <w:rPr>
                <w:sz w:val="20"/>
                <w:szCs w:val="20"/>
                <w:color w:val="auto"/>
              </w:rPr>
            </w:pPr>
            <w:r>
              <w:rPr>
                <w:rFonts w:ascii="Arial" w:cs="Arial" w:eastAsia="Arial" w:hAnsi="Arial"/>
                <w:sz w:val="14"/>
                <w:szCs w:val="14"/>
                <w:i w:val="1"/>
                <w:iCs w:val="1"/>
                <w:color w:val="231F20"/>
              </w:rPr>
              <w:t>—</w:t>
            </w:r>
          </w:p>
        </w:tc>
        <w:tc>
          <w:tcPr>
            <w:tcW w:w="960" w:type="dxa"/>
            <w:vAlign w:val="bottom"/>
            <w:tcBorders>
              <w:bottom w:val="single" w:sz="8" w:color="2360A6"/>
              <w:right w:val="single" w:sz="8" w:color="EDEDEE"/>
            </w:tcBorders>
            <w:shd w:val="clear" w:color="auto" w:fill="EDEDEE"/>
          </w:tcPr>
          <w:p>
            <w:pPr>
              <w:spacing w:after="0"/>
              <w:rPr>
                <w:sz w:val="16"/>
                <w:szCs w:val="16"/>
                <w:color w:val="auto"/>
              </w:rPr>
            </w:pPr>
          </w:p>
        </w:tc>
        <w:tc>
          <w:tcPr>
            <w:tcW w:w="3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i w:val="1"/>
                <w:iCs w:val="1"/>
                <w:color w:val="231F20"/>
              </w:rPr>
              <w:t>—</w:t>
            </w:r>
          </w:p>
        </w:tc>
        <w:tc>
          <w:tcPr>
            <w:tcW w:w="400" w:type="dxa"/>
            <w:vAlign w:val="bottom"/>
            <w:tcBorders>
              <w:bottom w:val="single" w:sz="8" w:color="2360A6"/>
            </w:tcBorders>
            <w:shd w:val="clear" w:color="auto" w:fill="EDEDEE"/>
          </w:tcPr>
          <w:p>
            <w:pPr>
              <w:spacing w:after="0"/>
              <w:rPr>
                <w:sz w:val="16"/>
                <w:szCs w:val="16"/>
                <w:color w:val="auto"/>
              </w:rPr>
            </w:pPr>
          </w:p>
        </w:tc>
        <w:tc>
          <w:tcPr>
            <w:tcW w:w="900" w:type="dxa"/>
            <w:vAlign w:val="bottom"/>
            <w:tcBorders>
              <w:bottom w:val="single" w:sz="8" w:color="2360A6"/>
              <w:right w:val="single" w:sz="8" w:color="2360A6"/>
            </w:tcBorders>
            <w:shd w:val="clear" w:color="auto" w:fill="EDEDEE"/>
          </w:tcPr>
          <w:p>
            <w:pPr>
              <w:jc w:val="right"/>
              <w:ind w:right="88"/>
              <w:spacing w:after="0"/>
              <w:rPr>
                <w:sz w:val="20"/>
                <w:szCs w:val="20"/>
                <w:color w:val="auto"/>
              </w:rPr>
            </w:pPr>
            <w:r>
              <w:rPr>
                <w:rFonts w:ascii="Arial" w:cs="Arial" w:eastAsia="Arial" w:hAnsi="Arial"/>
                <w:sz w:val="14"/>
                <w:szCs w:val="14"/>
                <w:i w:val="1"/>
                <w:iCs w:val="1"/>
                <w:color w:val="231F20"/>
              </w:rPr>
              <w:t>—</w:t>
            </w:r>
          </w:p>
        </w:tc>
        <w:tc>
          <w:tcPr>
            <w:tcW w:w="600" w:type="dxa"/>
            <w:vAlign w:val="bottom"/>
            <w:tcBorders>
              <w:bottom w:val="single" w:sz="8" w:color="2360A6"/>
            </w:tcBorders>
            <w:shd w:val="clear" w:color="auto" w:fill="EDEDEE"/>
          </w:tcPr>
          <w:p>
            <w:pPr>
              <w:spacing w:after="0"/>
              <w:rPr>
                <w:sz w:val="16"/>
                <w:szCs w:val="16"/>
                <w:color w:val="auto"/>
              </w:rPr>
            </w:pPr>
          </w:p>
        </w:tc>
        <w:tc>
          <w:tcPr>
            <w:tcW w:w="340" w:type="dxa"/>
            <w:vAlign w:val="bottom"/>
            <w:tcBorders>
              <w:bottom w:val="single" w:sz="8" w:color="2360A6"/>
              <w:right w:val="single" w:sz="8" w:color="2360A6"/>
            </w:tcBorders>
            <w:gridSpan w:val="2"/>
            <w:shd w:val="clear" w:color="auto" w:fill="EDEDEE"/>
          </w:tcPr>
          <w:p>
            <w:pPr>
              <w:jc w:val="right"/>
              <w:ind w:right="140"/>
              <w:spacing w:after="0"/>
              <w:rPr>
                <w:sz w:val="20"/>
                <w:szCs w:val="20"/>
                <w:color w:val="auto"/>
              </w:rPr>
            </w:pPr>
            <w:r>
              <w:rPr>
                <w:rFonts w:ascii="Arial" w:cs="Arial" w:eastAsia="Arial" w:hAnsi="Arial"/>
                <w:sz w:val="14"/>
                <w:szCs w:val="14"/>
                <w:i w:val="1"/>
                <w:iCs w:val="1"/>
                <w:color w:val="231F20"/>
              </w:rPr>
              <w:t>—</w:t>
            </w:r>
          </w:p>
        </w:tc>
        <w:tc>
          <w:tcPr>
            <w:tcW w:w="166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4"/>
                <w:szCs w:val="14"/>
                <w:i w:val="1"/>
                <w:iCs w:val="1"/>
                <w:color w:val="231F20"/>
              </w:rPr>
              <w:t>—</w:t>
            </w:r>
          </w:p>
        </w:tc>
        <w:tc>
          <w:tcPr>
            <w:tcW w:w="16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i w:val="1"/>
                <w:iCs w:val="1"/>
                <w:color w:val="231F20"/>
              </w:rPr>
              <w:t>—</w:t>
            </w:r>
          </w:p>
        </w:tc>
        <w:tc>
          <w:tcPr>
            <w:tcW w:w="20" w:type="dxa"/>
            <w:vAlign w:val="bottom"/>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2340" w:type="dxa"/>
            <w:vAlign w:val="bottom"/>
            <w:tcBorders>
              <w:bottom w:val="single" w:sz="8" w:color="2360A6"/>
            </w:tcBorders>
          </w:tcPr>
          <w:p>
            <w:pPr>
              <w:spacing w:after="0"/>
              <w:rPr>
                <w:sz w:val="11"/>
                <w:szCs w:val="11"/>
                <w:color w:val="auto"/>
              </w:rPr>
            </w:pPr>
          </w:p>
        </w:tc>
        <w:tc>
          <w:tcPr>
            <w:tcW w:w="120" w:type="dxa"/>
            <w:vAlign w:val="bottom"/>
            <w:tcBorders>
              <w:bottom w:val="single" w:sz="8" w:color="2360A6"/>
            </w:tcBorders>
          </w:tcPr>
          <w:p>
            <w:pPr>
              <w:spacing w:after="0"/>
              <w:rPr>
                <w:sz w:val="11"/>
                <w:szCs w:val="11"/>
                <w:color w:val="auto"/>
              </w:rPr>
            </w:pPr>
          </w:p>
        </w:tc>
        <w:tc>
          <w:tcPr>
            <w:tcW w:w="1160" w:type="dxa"/>
            <w:vAlign w:val="bottom"/>
            <w:tcBorders>
              <w:bottom w:val="single" w:sz="8" w:color="2360A6"/>
            </w:tcBorders>
          </w:tcPr>
          <w:p>
            <w:pPr>
              <w:spacing w:after="0"/>
              <w:rPr>
                <w:sz w:val="11"/>
                <w:szCs w:val="11"/>
                <w:color w:val="auto"/>
              </w:rPr>
            </w:pPr>
          </w:p>
        </w:tc>
        <w:tc>
          <w:tcPr>
            <w:tcW w:w="120" w:type="dxa"/>
            <w:vAlign w:val="bottom"/>
            <w:tcBorders>
              <w:bottom w:val="single" w:sz="8" w:color="2360A6"/>
            </w:tcBorders>
          </w:tcPr>
          <w:p>
            <w:pPr>
              <w:spacing w:after="0"/>
              <w:rPr>
                <w:sz w:val="11"/>
                <w:szCs w:val="11"/>
                <w:color w:val="auto"/>
              </w:rPr>
            </w:pPr>
          </w:p>
        </w:tc>
        <w:tc>
          <w:tcPr>
            <w:tcW w:w="960" w:type="dxa"/>
            <w:vAlign w:val="bottom"/>
            <w:tcBorders>
              <w:bottom w:val="single" w:sz="8" w:color="2360A6"/>
            </w:tcBorders>
          </w:tcPr>
          <w:p>
            <w:pPr>
              <w:spacing w:after="0"/>
              <w:rPr>
                <w:sz w:val="11"/>
                <w:szCs w:val="11"/>
                <w:color w:val="auto"/>
              </w:rPr>
            </w:pPr>
          </w:p>
        </w:tc>
        <w:tc>
          <w:tcPr>
            <w:tcW w:w="300" w:type="dxa"/>
            <w:vAlign w:val="bottom"/>
            <w:tcBorders>
              <w:bottom w:val="single" w:sz="8" w:color="2360A6"/>
            </w:tcBorders>
          </w:tcPr>
          <w:p>
            <w:pPr>
              <w:spacing w:after="0"/>
              <w:rPr>
                <w:sz w:val="11"/>
                <w:szCs w:val="11"/>
                <w:color w:val="auto"/>
              </w:rPr>
            </w:pPr>
          </w:p>
        </w:tc>
        <w:tc>
          <w:tcPr>
            <w:tcW w:w="400" w:type="dxa"/>
            <w:vAlign w:val="bottom"/>
            <w:tcBorders>
              <w:bottom w:val="single" w:sz="8" w:color="2360A6"/>
            </w:tcBorders>
          </w:tcPr>
          <w:p>
            <w:pPr>
              <w:spacing w:after="0"/>
              <w:rPr>
                <w:sz w:val="11"/>
                <w:szCs w:val="11"/>
                <w:color w:val="auto"/>
              </w:rPr>
            </w:pPr>
          </w:p>
        </w:tc>
        <w:tc>
          <w:tcPr>
            <w:tcW w:w="900" w:type="dxa"/>
            <w:vAlign w:val="bottom"/>
            <w:tcBorders>
              <w:bottom w:val="single" w:sz="8" w:color="2360A6"/>
            </w:tcBorders>
          </w:tcPr>
          <w:p>
            <w:pPr>
              <w:spacing w:after="0"/>
              <w:rPr>
                <w:sz w:val="11"/>
                <w:szCs w:val="11"/>
                <w:color w:val="auto"/>
              </w:rPr>
            </w:pPr>
          </w:p>
        </w:tc>
        <w:tc>
          <w:tcPr>
            <w:tcW w:w="600" w:type="dxa"/>
            <w:vAlign w:val="bottom"/>
            <w:tcBorders>
              <w:bottom w:val="single" w:sz="8" w:color="2360A6"/>
            </w:tcBorders>
          </w:tcPr>
          <w:p>
            <w:pPr>
              <w:spacing w:after="0"/>
              <w:rPr>
                <w:sz w:val="11"/>
                <w:szCs w:val="11"/>
                <w:color w:val="auto"/>
              </w:rPr>
            </w:pPr>
          </w:p>
        </w:tc>
        <w:tc>
          <w:tcPr>
            <w:tcW w:w="120" w:type="dxa"/>
            <w:vAlign w:val="bottom"/>
            <w:tcBorders>
              <w:bottom w:val="single" w:sz="8" w:color="2360A6"/>
            </w:tcBorders>
          </w:tcPr>
          <w:p>
            <w:pPr>
              <w:spacing w:after="0"/>
              <w:rPr>
                <w:sz w:val="11"/>
                <w:szCs w:val="11"/>
                <w:color w:val="auto"/>
              </w:rPr>
            </w:pPr>
          </w:p>
        </w:tc>
        <w:tc>
          <w:tcPr>
            <w:tcW w:w="220" w:type="dxa"/>
            <w:vAlign w:val="bottom"/>
            <w:tcBorders>
              <w:bottom w:val="single" w:sz="8" w:color="2360A6"/>
            </w:tcBorders>
          </w:tcPr>
          <w:p>
            <w:pPr>
              <w:spacing w:after="0"/>
              <w:rPr>
                <w:sz w:val="11"/>
                <w:szCs w:val="11"/>
                <w:color w:val="auto"/>
              </w:rPr>
            </w:pPr>
          </w:p>
        </w:tc>
        <w:tc>
          <w:tcPr>
            <w:tcW w:w="1560" w:type="dxa"/>
            <w:vAlign w:val="bottom"/>
            <w:tcBorders>
              <w:bottom w:val="single" w:sz="8" w:color="2360A6"/>
            </w:tcBorders>
          </w:tcPr>
          <w:p>
            <w:pPr>
              <w:spacing w:after="0"/>
              <w:rPr>
                <w:sz w:val="11"/>
                <w:szCs w:val="11"/>
                <w:color w:val="auto"/>
              </w:rPr>
            </w:pPr>
          </w:p>
        </w:tc>
        <w:tc>
          <w:tcPr>
            <w:tcW w:w="100" w:type="dxa"/>
            <w:vAlign w:val="bottom"/>
            <w:tcBorders>
              <w:bottom w:val="single" w:sz="8" w:color="2360A6"/>
            </w:tcBorders>
          </w:tcPr>
          <w:p>
            <w:pPr>
              <w:spacing w:after="0"/>
              <w:rPr>
                <w:sz w:val="11"/>
                <w:szCs w:val="11"/>
                <w:color w:val="auto"/>
              </w:rPr>
            </w:pPr>
          </w:p>
        </w:tc>
        <w:tc>
          <w:tcPr>
            <w:tcW w:w="1660" w:type="dxa"/>
            <w:vAlign w:val="bottom"/>
            <w:tcBorders>
              <w:bottom w:val="single" w:sz="8" w:color="2360A6"/>
            </w:tcBorders>
          </w:tcPr>
          <w:p>
            <w:pPr>
              <w:spacing w:after="0"/>
              <w:rPr>
                <w:sz w:val="11"/>
                <w:szCs w:val="11"/>
                <w:color w:val="auto"/>
              </w:rPr>
            </w:pPr>
          </w:p>
        </w:tc>
        <w:tc>
          <w:tcPr>
            <w:tcW w:w="2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2340" w:type="dxa"/>
            <w:vAlign w:val="bottom"/>
            <w:tcBorders>
              <w:left w:val="single" w:sz="8" w:color="2360A6"/>
            </w:tcBorders>
          </w:tcPr>
          <w:p>
            <w:pPr>
              <w:spacing w:after="0"/>
              <w:rPr>
                <w:sz w:val="14"/>
                <w:szCs w:val="14"/>
                <w:color w:val="auto"/>
              </w:rPr>
            </w:pPr>
          </w:p>
        </w:tc>
        <w:tc>
          <w:tcPr>
            <w:tcW w:w="120" w:type="dxa"/>
            <w:vAlign w:val="bottom"/>
            <w:tcBorders>
              <w:right w:val="single" w:sz="8" w:color="2360A6"/>
            </w:tcBorders>
          </w:tcPr>
          <w:p>
            <w:pPr>
              <w:spacing w:after="0"/>
              <w:rPr>
                <w:sz w:val="14"/>
                <w:szCs w:val="14"/>
                <w:color w:val="auto"/>
              </w:rPr>
            </w:pPr>
          </w:p>
        </w:tc>
        <w:tc>
          <w:tcPr>
            <w:tcW w:w="1160" w:type="dxa"/>
            <w:vAlign w:val="bottom"/>
            <w:tcBorders>
              <w:right w:val="single" w:sz="8" w:color="2360A6"/>
            </w:tcBorders>
            <w:shd w:val="clear" w:color="auto" w:fill="2360A6"/>
          </w:tcPr>
          <w:p>
            <w:pPr>
              <w:spacing w:after="0"/>
              <w:rPr>
                <w:sz w:val="14"/>
                <w:szCs w:val="14"/>
                <w:color w:val="auto"/>
              </w:rPr>
            </w:pPr>
          </w:p>
        </w:tc>
        <w:tc>
          <w:tcPr>
            <w:tcW w:w="120" w:type="dxa"/>
            <w:vAlign w:val="bottom"/>
            <w:tcBorders>
              <w:right w:val="single" w:sz="8" w:color="2360A6"/>
            </w:tcBorders>
            <w:shd w:val="clear" w:color="auto" w:fill="2360A6"/>
          </w:tcPr>
          <w:p>
            <w:pPr>
              <w:spacing w:after="0"/>
              <w:rPr>
                <w:sz w:val="14"/>
                <w:szCs w:val="14"/>
                <w:color w:val="auto"/>
              </w:rPr>
            </w:pPr>
          </w:p>
        </w:tc>
        <w:tc>
          <w:tcPr>
            <w:tcW w:w="960" w:type="dxa"/>
            <w:vAlign w:val="bottom"/>
            <w:tcBorders>
              <w:right w:val="single" w:sz="8" w:color="2360A6"/>
            </w:tcBorders>
            <w:shd w:val="clear" w:color="auto" w:fill="2360A6"/>
          </w:tcPr>
          <w:p>
            <w:pPr>
              <w:spacing w:after="0"/>
              <w:rPr>
                <w:sz w:val="14"/>
                <w:szCs w:val="14"/>
                <w:color w:val="auto"/>
              </w:rPr>
            </w:pPr>
          </w:p>
        </w:tc>
        <w:tc>
          <w:tcPr>
            <w:tcW w:w="300" w:type="dxa"/>
            <w:vAlign w:val="bottom"/>
            <w:tcBorders>
              <w:right w:val="single" w:sz="8" w:color="2360A6"/>
            </w:tcBorders>
            <w:shd w:val="clear" w:color="auto" w:fill="2360A6"/>
          </w:tcPr>
          <w:p>
            <w:pPr>
              <w:spacing w:after="0"/>
              <w:rPr>
                <w:sz w:val="14"/>
                <w:szCs w:val="14"/>
                <w:color w:val="auto"/>
              </w:rPr>
            </w:pPr>
          </w:p>
        </w:tc>
        <w:tc>
          <w:tcPr>
            <w:tcW w:w="400" w:type="dxa"/>
            <w:vAlign w:val="bottom"/>
            <w:shd w:val="clear" w:color="auto" w:fill="2360A6"/>
          </w:tcPr>
          <w:p>
            <w:pPr>
              <w:spacing w:after="0"/>
              <w:rPr>
                <w:sz w:val="14"/>
                <w:szCs w:val="14"/>
                <w:color w:val="auto"/>
              </w:rPr>
            </w:pPr>
          </w:p>
        </w:tc>
        <w:tc>
          <w:tcPr>
            <w:tcW w:w="900" w:type="dxa"/>
            <w:vAlign w:val="bottom"/>
            <w:tcBorders>
              <w:right w:val="single" w:sz="8" w:color="2360A6"/>
            </w:tcBorders>
            <w:shd w:val="clear" w:color="auto" w:fill="2360A6"/>
          </w:tcPr>
          <w:p>
            <w:pPr>
              <w:spacing w:after="0"/>
              <w:rPr>
                <w:sz w:val="14"/>
                <w:szCs w:val="14"/>
                <w:color w:val="auto"/>
              </w:rPr>
            </w:pPr>
          </w:p>
        </w:tc>
        <w:tc>
          <w:tcPr>
            <w:tcW w:w="600" w:type="dxa"/>
            <w:vAlign w:val="bottom"/>
            <w:shd w:val="clear" w:color="auto" w:fill="2360A6"/>
          </w:tcPr>
          <w:p>
            <w:pPr>
              <w:spacing w:after="0"/>
              <w:rPr>
                <w:sz w:val="14"/>
                <w:szCs w:val="14"/>
                <w:color w:val="auto"/>
              </w:rPr>
            </w:pPr>
          </w:p>
        </w:tc>
        <w:tc>
          <w:tcPr>
            <w:tcW w:w="120" w:type="dxa"/>
            <w:vAlign w:val="bottom"/>
            <w:tcBorders>
              <w:right w:val="single" w:sz="8" w:color="2360A6"/>
            </w:tcBorders>
            <w:shd w:val="clear" w:color="auto" w:fill="2360A6"/>
          </w:tcPr>
          <w:p>
            <w:pPr>
              <w:spacing w:after="0"/>
              <w:rPr>
                <w:sz w:val="14"/>
                <w:szCs w:val="14"/>
                <w:color w:val="auto"/>
              </w:rPr>
            </w:pPr>
          </w:p>
        </w:tc>
        <w:tc>
          <w:tcPr>
            <w:tcW w:w="220" w:type="dxa"/>
            <w:vAlign w:val="bottom"/>
            <w:tcBorders>
              <w:right w:val="single" w:sz="8" w:color="2360A6"/>
            </w:tcBorders>
            <w:shd w:val="clear" w:color="auto" w:fill="2360A6"/>
          </w:tcPr>
          <w:p>
            <w:pPr>
              <w:spacing w:after="0"/>
              <w:rPr>
                <w:sz w:val="14"/>
                <w:szCs w:val="14"/>
                <w:color w:val="auto"/>
              </w:rPr>
            </w:pPr>
          </w:p>
        </w:tc>
        <w:tc>
          <w:tcPr>
            <w:tcW w:w="1660" w:type="dxa"/>
            <w:vAlign w:val="bottom"/>
            <w:tcBorders>
              <w:right w:val="single" w:sz="8" w:color="2360A6"/>
            </w:tcBorders>
            <w:gridSpan w:val="2"/>
          </w:tcPr>
          <w:p>
            <w:pPr>
              <w:jc w:val="right"/>
              <w:ind w:right="120"/>
              <w:spacing w:after="0"/>
              <w:rPr>
                <w:sz w:val="20"/>
                <w:szCs w:val="20"/>
                <w:color w:val="auto"/>
              </w:rPr>
            </w:pPr>
            <w:r>
              <w:rPr>
                <w:rFonts w:ascii="Arial" w:cs="Arial" w:eastAsia="Arial" w:hAnsi="Arial"/>
                <w:sz w:val="14"/>
                <w:szCs w:val="14"/>
                <w:b w:val="1"/>
                <w:bCs w:val="1"/>
                <w:color w:val="2360BA"/>
              </w:rPr>
              <w:t>As of</w:t>
            </w:r>
          </w:p>
        </w:tc>
        <w:tc>
          <w:tcPr>
            <w:tcW w:w="16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As of</w:t>
            </w:r>
          </w:p>
        </w:tc>
        <w:tc>
          <w:tcPr>
            <w:tcW w:w="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340" w:type="dxa"/>
            <w:vAlign w:val="bottom"/>
            <w:tcBorders>
              <w:left w:val="single" w:sz="8" w:color="2360A6"/>
            </w:tcBorders>
          </w:tcPr>
          <w:p>
            <w:pPr>
              <w:spacing w:after="0"/>
              <w:rPr>
                <w:sz w:val="14"/>
                <w:szCs w:val="14"/>
                <w:color w:val="auto"/>
              </w:rPr>
            </w:pPr>
          </w:p>
        </w:tc>
        <w:tc>
          <w:tcPr>
            <w:tcW w:w="120" w:type="dxa"/>
            <w:vAlign w:val="bottom"/>
            <w:tcBorders>
              <w:right w:val="single" w:sz="8" w:color="2360A6"/>
            </w:tcBorders>
          </w:tcPr>
          <w:p>
            <w:pPr>
              <w:spacing w:after="0"/>
              <w:rPr>
                <w:sz w:val="14"/>
                <w:szCs w:val="14"/>
                <w:color w:val="auto"/>
              </w:rPr>
            </w:pPr>
          </w:p>
        </w:tc>
        <w:tc>
          <w:tcPr>
            <w:tcW w:w="1160" w:type="dxa"/>
            <w:vAlign w:val="bottom"/>
            <w:tcBorders>
              <w:right w:val="single" w:sz="8" w:color="2360A6"/>
            </w:tcBorders>
            <w:shd w:val="clear" w:color="auto" w:fill="2360A6"/>
          </w:tcPr>
          <w:p>
            <w:pPr>
              <w:spacing w:after="0"/>
              <w:rPr>
                <w:sz w:val="14"/>
                <w:szCs w:val="14"/>
                <w:color w:val="auto"/>
              </w:rPr>
            </w:pPr>
          </w:p>
        </w:tc>
        <w:tc>
          <w:tcPr>
            <w:tcW w:w="120" w:type="dxa"/>
            <w:vAlign w:val="bottom"/>
            <w:tcBorders>
              <w:right w:val="single" w:sz="8" w:color="2360A6"/>
            </w:tcBorders>
            <w:shd w:val="clear" w:color="auto" w:fill="2360A6"/>
          </w:tcPr>
          <w:p>
            <w:pPr>
              <w:spacing w:after="0"/>
              <w:rPr>
                <w:sz w:val="14"/>
                <w:szCs w:val="14"/>
                <w:color w:val="auto"/>
              </w:rPr>
            </w:pPr>
          </w:p>
        </w:tc>
        <w:tc>
          <w:tcPr>
            <w:tcW w:w="960" w:type="dxa"/>
            <w:vAlign w:val="bottom"/>
            <w:tcBorders>
              <w:right w:val="single" w:sz="8" w:color="2360A6"/>
            </w:tcBorders>
            <w:shd w:val="clear" w:color="auto" w:fill="2360A6"/>
          </w:tcPr>
          <w:p>
            <w:pPr>
              <w:spacing w:after="0"/>
              <w:rPr>
                <w:sz w:val="14"/>
                <w:szCs w:val="14"/>
                <w:color w:val="auto"/>
              </w:rPr>
            </w:pPr>
          </w:p>
        </w:tc>
        <w:tc>
          <w:tcPr>
            <w:tcW w:w="700" w:type="dxa"/>
            <w:vAlign w:val="bottom"/>
            <w:gridSpan w:val="2"/>
            <w:shd w:val="clear" w:color="auto" w:fill="2360A6"/>
          </w:tcPr>
          <w:p>
            <w:pPr>
              <w:jc w:val="center"/>
              <w:ind w:right="340"/>
              <w:spacing w:after="0"/>
              <w:rPr>
                <w:sz w:val="20"/>
                <w:szCs w:val="20"/>
                <w:color w:val="auto"/>
              </w:rPr>
            </w:pPr>
            <w:r>
              <w:rPr>
                <w:rFonts w:ascii="Arial" w:cs="Arial" w:eastAsia="Arial" w:hAnsi="Arial"/>
                <w:sz w:val="14"/>
                <w:szCs w:val="14"/>
                <w:b w:val="1"/>
                <w:bCs w:val="1"/>
                <w:color w:val="FFFFFF"/>
              </w:rPr>
              <w:t>As of</w:t>
            </w:r>
          </w:p>
        </w:tc>
        <w:tc>
          <w:tcPr>
            <w:tcW w:w="900" w:type="dxa"/>
            <w:vAlign w:val="bottom"/>
            <w:tcBorders>
              <w:right w:val="single" w:sz="8" w:color="2360A6"/>
            </w:tcBorders>
            <w:shd w:val="clear" w:color="auto" w:fill="2360A6"/>
          </w:tcPr>
          <w:p>
            <w:pPr>
              <w:spacing w:after="0"/>
              <w:rPr>
                <w:sz w:val="14"/>
                <w:szCs w:val="14"/>
                <w:color w:val="auto"/>
              </w:rPr>
            </w:pPr>
          </w:p>
        </w:tc>
        <w:tc>
          <w:tcPr>
            <w:tcW w:w="600" w:type="dxa"/>
            <w:vAlign w:val="bottom"/>
            <w:shd w:val="clear" w:color="auto" w:fill="2360A6"/>
          </w:tcPr>
          <w:p>
            <w:pPr>
              <w:spacing w:after="0"/>
              <w:rPr>
                <w:sz w:val="14"/>
                <w:szCs w:val="14"/>
                <w:color w:val="auto"/>
              </w:rPr>
            </w:pPr>
          </w:p>
        </w:tc>
        <w:tc>
          <w:tcPr>
            <w:tcW w:w="120" w:type="dxa"/>
            <w:vAlign w:val="bottom"/>
            <w:tcBorders>
              <w:right w:val="single" w:sz="8" w:color="2360A6"/>
            </w:tcBorders>
            <w:shd w:val="clear" w:color="auto" w:fill="2360A6"/>
          </w:tcPr>
          <w:p>
            <w:pPr>
              <w:spacing w:after="0"/>
              <w:rPr>
                <w:sz w:val="14"/>
                <w:szCs w:val="14"/>
                <w:color w:val="auto"/>
              </w:rPr>
            </w:pPr>
          </w:p>
        </w:tc>
        <w:tc>
          <w:tcPr>
            <w:tcW w:w="220" w:type="dxa"/>
            <w:vAlign w:val="bottom"/>
            <w:tcBorders>
              <w:right w:val="single" w:sz="8" w:color="2360A6"/>
            </w:tcBorders>
            <w:shd w:val="clear" w:color="auto" w:fill="2360A6"/>
          </w:tcPr>
          <w:p>
            <w:pPr>
              <w:spacing w:after="0"/>
              <w:rPr>
                <w:sz w:val="14"/>
                <w:szCs w:val="14"/>
                <w:color w:val="auto"/>
              </w:rPr>
            </w:pPr>
          </w:p>
        </w:tc>
        <w:tc>
          <w:tcPr>
            <w:tcW w:w="1660" w:type="dxa"/>
            <w:vAlign w:val="bottom"/>
            <w:tcBorders>
              <w:right w:val="single" w:sz="8" w:color="2360A6"/>
            </w:tcBorders>
            <w:gridSpan w:val="2"/>
          </w:tcPr>
          <w:p>
            <w:pPr>
              <w:jc w:val="right"/>
              <w:ind w:right="120"/>
              <w:spacing w:after="0"/>
              <w:rPr>
                <w:sz w:val="20"/>
                <w:szCs w:val="20"/>
                <w:color w:val="auto"/>
              </w:rPr>
            </w:pPr>
            <w:r>
              <w:rPr>
                <w:rFonts w:ascii="Arial" w:cs="Arial" w:eastAsia="Arial" w:hAnsi="Arial"/>
                <w:sz w:val="14"/>
                <w:szCs w:val="14"/>
                <w:b w:val="1"/>
                <w:bCs w:val="1"/>
                <w:color w:val="2360BA"/>
              </w:rPr>
              <w:t>December 31,</w:t>
            </w:r>
          </w:p>
        </w:tc>
        <w:tc>
          <w:tcPr>
            <w:tcW w:w="16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December 31,</w:t>
            </w: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340" w:type="dxa"/>
            <w:vAlign w:val="bottom"/>
            <w:tcBorders>
              <w:left w:val="single" w:sz="8" w:color="2360A6"/>
            </w:tcBorders>
          </w:tcPr>
          <w:p>
            <w:pPr>
              <w:spacing w:after="0"/>
              <w:rPr>
                <w:sz w:val="17"/>
                <w:szCs w:val="17"/>
                <w:color w:val="auto"/>
              </w:rPr>
            </w:pPr>
          </w:p>
        </w:tc>
        <w:tc>
          <w:tcPr>
            <w:tcW w:w="120" w:type="dxa"/>
            <w:vAlign w:val="bottom"/>
            <w:tcBorders>
              <w:right w:val="single" w:sz="8" w:color="2360A6"/>
            </w:tcBorders>
          </w:tcPr>
          <w:p>
            <w:pPr>
              <w:spacing w:after="0"/>
              <w:rPr>
                <w:sz w:val="17"/>
                <w:szCs w:val="17"/>
                <w:color w:val="auto"/>
              </w:rPr>
            </w:pPr>
          </w:p>
        </w:tc>
        <w:tc>
          <w:tcPr>
            <w:tcW w:w="1160" w:type="dxa"/>
            <w:vAlign w:val="bottom"/>
            <w:tcBorders>
              <w:bottom w:val="single" w:sz="8" w:color="2360A6"/>
              <w:right w:val="single" w:sz="8" w:color="2360A6"/>
            </w:tcBorders>
            <w:shd w:val="clear" w:color="auto" w:fill="2360A6"/>
          </w:tcPr>
          <w:p>
            <w:pPr>
              <w:spacing w:after="0"/>
              <w:rPr>
                <w:sz w:val="17"/>
                <w:szCs w:val="17"/>
                <w:color w:val="auto"/>
              </w:rPr>
            </w:pPr>
          </w:p>
        </w:tc>
        <w:tc>
          <w:tcPr>
            <w:tcW w:w="120" w:type="dxa"/>
            <w:vAlign w:val="bottom"/>
            <w:tcBorders>
              <w:bottom w:val="single" w:sz="8" w:color="2360A6"/>
              <w:right w:val="single" w:sz="8" w:color="2360A6"/>
            </w:tcBorders>
            <w:shd w:val="clear" w:color="auto" w:fill="2360A6"/>
          </w:tcPr>
          <w:p>
            <w:pPr>
              <w:spacing w:after="0"/>
              <w:rPr>
                <w:sz w:val="17"/>
                <w:szCs w:val="17"/>
                <w:color w:val="auto"/>
              </w:rPr>
            </w:pPr>
          </w:p>
        </w:tc>
        <w:tc>
          <w:tcPr>
            <w:tcW w:w="2560" w:type="dxa"/>
            <w:vAlign w:val="bottom"/>
            <w:tcBorders>
              <w:bottom w:val="single" w:sz="8" w:color="2360A6"/>
              <w:right w:val="single" w:sz="8" w:color="2360A6"/>
            </w:tcBorders>
            <w:gridSpan w:val="4"/>
            <w:shd w:val="clear" w:color="auto" w:fill="2360A6"/>
          </w:tcPr>
          <w:p>
            <w:pPr>
              <w:jc w:val="center"/>
              <w:ind w:right="188"/>
              <w:spacing w:after="0"/>
              <w:rPr>
                <w:sz w:val="20"/>
                <w:szCs w:val="20"/>
                <w:color w:val="auto"/>
              </w:rPr>
            </w:pPr>
            <w:r>
              <w:rPr>
                <w:rFonts w:ascii="Arial" w:cs="Arial" w:eastAsia="Arial" w:hAnsi="Arial"/>
                <w:sz w:val="14"/>
                <w:szCs w:val="14"/>
                <w:b w:val="1"/>
                <w:bCs w:val="1"/>
                <w:color w:val="FFFFFF"/>
              </w:rPr>
              <w:t>December 31, 2016</w:t>
            </w:r>
          </w:p>
        </w:tc>
        <w:tc>
          <w:tcPr>
            <w:tcW w:w="600" w:type="dxa"/>
            <w:vAlign w:val="bottom"/>
            <w:tcBorders>
              <w:bottom w:val="single" w:sz="8" w:color="2360A6"/>
            </w:tcBorders>
            <w:shd w:val="clear" w:color="auto" w:fill="2360A6"/>
          </w:tcPr>
          <w:p>
            <w:pPr>
              <w:spacing w:after="0"/>
              <w:rPr>
                <w:sz w:val="17"/>
                <w:szCs w:val="17"/>
                <w:color w:val="auto"/>
              </w:rPr>
            </w:pPr>
          </w:p>
        </w:tc>
        <w:tc>
          <w:tcPr>
            <w:tcW w:w="120" w:type="dxa"/>
            <w:vAlign w:val="bottom"/>
            <w:tcBorders>
              <w:bottom w:val="single" w:sz="8" w:color="2360A6"/>
              <w:right w:val="single" w:sz="8" w:color="2360A6"/>
            </w:tcBorders>
            <w:shd w:val="clear" w:color="auto" w:fill="2360A6"/>
          </w:tcPr>
          <w:p>
            <w:pPr>
              <w:spacing w:after="0"/>
              <w:rPr>
                <w:sz w:val="17"/>
                <w:szCs w:val="17"/>
                <w:color w:val="auto"/>
              </w:rPr>
            </w:pPr>
          </w:p>
        </w:tc>
        <w:tc>
          <w:tcPr>
            <w:tcW w:w="220" w:type="dxa"/>
            <w:vAlign w:val="bottom"/>
            <w:tcBorders>
              <w:bottom w:val="single" w:sz="8" w:color="2360A6"/>
              <w:right w:val="single" w:sz="8" w:color="2360A6"/>
            </w:tcBorders>
            <w:shd w:val="clear" w:color="auto" w:fill="2360A6"/>
          </w:tcPr>
          <w:p>
            <w:pPr>
              <w:spacing w:after="0"/>
              <w:rPr>
                <w:sz w:val="17"/>
                <w:szCs w:val="17"/>
                <w:color w:val="auto"/>
              </w:rPr>
            </w:pPr>
          </w:p>
        </w:tc>
        <w:tc>
          <w:tcPr>
            <w:tcW w:w="1560" w:type="dxa"/>
            <w:vAlign w:val="bottom"/>
            <w:tcBorders>
              <w:bottom w:val="single" w:sz="8" w:color="2360A6"/>
            </w:tcBorders>
          </w:tcPr>
          <w:p>
            <w:pPr>
              <w:jc w:val="right"/>
              <w:spacing w:after="0"/>
              <w:rPr>
                <w:sz w:val="20"/>
                <w:szCs w:val="20"/>
                <w:color w:val="auto"/>
              </w:rPr>
            </w:pPr>
            <w:r>
              <w:rPr>
                <w:rFonts w:ascii="Arial" w:cs="Arial" w:eastAsia="Arial" w:hAnsi="Arial"/>
                <w:sz w:val="14"/>
                <w:szCs w:val="14"/>
                <w:b w:val="1"/>
                <w:bCs w:val="1"/>
                <w:color w:val="2360BA"/>
              </w:rPr>
              <w:t>2015</w:t>
            </w:r>
          </w:p>
        </w:tc>
        <w:tc>
          <w:tcPr>
            <w:tcW w:w="100" w:type="dxa"/>
            <w:vAlign w:val="bottom"/>
            <w:tcBorders>
              <w:bottom w:val="single" w:sz="8" w:color="2360A6"/>
              <w:right w:val="single" w:sz="8" w:color="2360A6"/>
            </w:tcBorders>
          </w:tcPr>
          <w:p>
            <w:pPr>
              <w:spacing w:after="0"/>
              <w:rPr>
                <w:sz w:val="17"/>
                <w:szCs w:val="17"/>
                <w:color w:val="auto"/>
              </w:rPr>
            </w:pPr>
          </w:p>
        </w:tc>
        <w:tc>
          <w:tcPr>
            <w:tcW w:w="16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2014</w:t>
            </w: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340" w:type="dxa"/>
            <w:vAlign w:val="bottom"/>
            <w:tcBorders>
              <w:left w:val="single" w:sz="8" w:color="2360A6"/>
            </w:tcBorders>
          </w:tcPr>
          <w:p>
            <w:pPr>
              <w:spacing w:after="0"/>
              <w:rPr>
                <w:sz w:val="18"/>
                <w:szCs w:val="18"/>
                <w:color w:val="auto"/>
              </w:rPr>
            </w:pPr>
          </w:p>
        </w:tc>
        <w:tc>
          <w:tcPr>
            <w:tcW w:w="120" w:type="dxa"/>
            <w:vAlign w:val="bottom"/>
            <w:tcBorders>
              <w:right w:val="single" w:sz="8" w:color="2360A6"/>
            </w:tcBorders>
          </w:tcPr>
          <w:p>
            <w:pPr>
              <w:spacing w:after="0"/>
              <w:rPr>
                <w:sz w:val="18"/>
                <w:szCs w:val="18"/>
                <w:color w:val="auto"/>
              </w:rPr>
            </w:pPr>
          </w:p>
        </w:tc>
        <w:tc>
          <w:tcPr>
            <w:tcW w:w="3840" w:type="dxa"/>
            <w:vAlign w:val="bottom"/>
            <w:tcBorders>
              <w:bottom w:val="single" w:sz="8" w:color="2360A6"/>
              <w:right w:val="single" w:sz="8" w:color="2360A6"/>
            </w:tcBorders>
            <w:gridSpan w:val="6"/>
            <w:shd w:val="clear" w:color="auto" w:fill="EDEDEE"/>
          </w:tcPr>
          <w:p>
            <w:pPr>
              <w:jc w:val="right"/>
              <w:ind w:right="388"/>
              <w:spacing w:after="0"/>
              <w:rPr>
                <w:sz w:val="20"/>
                <w:szCs w:val="20"/>
                <w:color w:val="auto"/>
              </w:rPr>
            </w:pPr>
            <w:r>
              <w:rPr>
                <w:rFonts w:ascii="Arial" w:cs="Arial" w:eastAsia="Arial" w:hAnsi="Arial"/>
                <w:sz w:val="14"/>
                <w:szCs w:val="14"/>
                <w:b w:val="1"/>
                <w:bCs w:val="1"/>
                <w:color w:val="2360A6"/>
              </w:rPr>
              <w:t>Amounts of Commitments by Maturity Date</w:t>
            </w:r>
          </w:p>
        </w:tc>
        <w:tc>
          <w:tcPr>
            <w:tcW w:w="600" w:type="dxa"/>
            <w:vAlign w:val="bottom"/>
            <w:tcBorders>
              <w:bottom w:val="single" w:sz="8" w:color="EDEDEE"/>
            </w:tcBorders>
            <w:shd w:val="clear" w:color="auto" w:fill="EDEDEE"/>
          </w:tcPr>
          <w:p>
            <w:pPr>
              <w:spacing w:after="0"/>
              <w:rPr>
                <w:sz w:val="18"/>
                <w:szCs w:val="18"/>
                <w:color w:val="auto"/>
              </w:rPr>
            </w:pPr>
          </w:p>
        </w:tc>
        <w:tc>
          <w:tcPr>
            <w:tcW w:w="120" w:type="dxa"/>
            <w:vAlign w:val="bottom"/>
            <w:tcBorders>
              <w:bottom w:val="single" w:sz="8" w:color="EDEDEE"/>
              <w:right w:val="single" w:sz="8" w:color="EDEDEE"/>
            </w:tcBorders>
            <w:shd w:val="clear" w:color="auto" w:fill="EDEDEE"/>
          </w:tcPr>
          <w:p>
            <w:pPr>
              <w:spacing w:after="0"/>
              <w:rPr>
                <w:sz w:val="18"/>
                <w:szCs w:val="18"/>
                <w:color w:val="auto"/>
              </w:rPr>
            </w:pPr>
          </w:p>
        </w:tc>
        <w:tc>
          <w:tcPr>
            <w:tcW w:w="220" w:type="dxa"/>
            <w:vAlign w:val="bottom"/>
            <w:tcBorders>
              <w:bottom w:val="single" w:sz="8" w:color="EDEDEE"/>
              <w:right w:val="single" w:sz="8" w:color="2360A6"/>
            </w:tcBorders>
            <w:shd w:val="clear" w:color="auto" w:fill="EDEDE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Borders>
              <w:right w:val="single" w:sz="8" w:color="2360A6"/>
            </w:tcBorders>
          </w:tcPr>
          <w:p>
            <w:pPr>
              <w:spacing w:after="0"/>
              <w:rPr>
                <w:sz w:val="18"/>
                <w:szCs w:val="18"/>
                <w:color w:val="auto"/>
              </w:rPr>
            </w:pPr>
          </w:p>
        </w:tc>
        <w:tc>
          <w:tcPr>
            <w:tcW w:w="1660" w:type="dxa"/>
            <w:vAlign w:val="bottom"/>
            <w:tcBorders>
              <w:right w:val="single" w:sz="8" w:color="2360A6"/>
            </w:tcBorders>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2340" w:type="dxa"/>
            <w:vAlign w:val="bottom"/>
            <w:tcBorders>
              <w:left w:val="single" w:sz="8" w:color="2360A6"/>
            </w:tcBorders>
          </w:tcPr>
          <w:p>
            <w:pPr>
              <w:spacing w:after="0"/>
              <w:rPr>
                <w:sz w:val="22"/>
                <w:szCs w:val="22"/>
                <w:color w:val="auto"/>
              </w:rPr>
            </w:pPr>
          </w:p>
        </w:tc>
        <w:tc>
          <w:tcPr>
            <w:tcW w:w="120" w:type="dxa"/>
            <w:vAlign w:val="bottom"/>
            <w:tcBorders>
              <w:right w:val="single" w:sz="8" w:color="2360A6"/>
            </w:tcBorders>
          </w:tcPr>
          <w:p>
            <w:pPr>
              <w:spacing w:after="0"/>
              <w:rPr>
                <w:sz w:val="22"/>
                <w:szCs w:val="22"/>
                <w:color w:val="auto"/>
              </w:rPr>
            </w:pPr>
          </w:p>
        </w:tc>
        <w:tc>
          <w:tcPr>
            <w:tcW w:w="1160" w:type="dxa"/>
            <w:vAlign w:val="bottom"/>
            <w:tcBorders>
              <w:right w:val="single" w:sz="8" w:color="EDEDEE"/>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Less than</w:t>
            </w:r>
          </w:p>
        </w:tc>
        <w:tc>
          <w:tcPr>
            <w:tcW w:w="120" w:type="dxa"/>
            <w:vAlign w:val="bottom"/>
            <w:tcBorders>
              <w:right w:val="single" w:sz="8" w:color="2360A6"/>
            </w:tcBorders>
            <w:shd w:val="clear" w:color="auto" w:fill="EDEDEE"/>
          </w:tcPr>
          <w:p>
            <w:pPr>
              <w:spacing w:after="0"/>
              <w:rPr>
                <w:sz w:val="22"/>
                <w:szCs w:val="22"/>
                <w:color w:val="auto"/>
              </w:rPr>
            </w:pPr>
          </w:p>
        </w:tc>
        <w:tc>
          <w:tcPr>
            <w:tcW w:w="1260" w:type="dxa"/>
            <w:vAlign w:val="bottom"/>
            <w:tcBorders>
              <w:right w:val="single" w:sz="8" w:color="2360A6"/>
            </w:tcBorders>
            <w:gridSpan w:val="2"/>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1 to</w:t>
            </w:r>
          </w:p>
        </w:tc>
        <w:tc>
          <w:tcPr>
            <w:tcW w:w="400" w:type="dxa"/>
            <w:vAlign w:val="bottom"/>
            <w:shd w:val="clear" w:color="auto" w:fill="EDEDEE"/>
          </w:tcPr>
          <w:p>
            <w:pPr>
              <w:spacing w:after="0"/>
              <w:rPr>
                <w:sz w:val="22"/>
                <w:szCs w:val="22"/>
                <w:color w:val="auto"/>
              </w:rPr>
            </w:pPr>
          </w:p>
        </w:tc>
        <w:tc>
          <w:tcPr>
            <w:tcW w:w="900" w:type="dxa"/>
            <w:vAlign w:val="bottom"/>
            <w:tcBorders>
              <w:right w:val="single" w:sz="8" w:color="2360A6"/>
            </w:tcBorders>
            <w:shd w:val="clear" w:color="auto" w:fill="EDEDEE"/>
          </w:tcPr>
          <w:p>
            <w:pPr>
              <w:jc w:val="right"/>
              <w:ind w:right="88"/>
              <w:spacing w:after="0"/>
              <w:rPr>
                <w:sz w:val="20"/>
                <w:szCs w:val="20"/>
                <w:color w:val="auto"/>
              </w:rPr>
            </w:pPr>
            <w:r>
              <w:rPr>
                <w:rFonts w:ascii="Arial" w:cs="Arial" w:eastAsia="Arial" w:hAnsi="Arial"/>
                <w:sz w:val="14"/>
                <w:szCs w:val="14"/>
                <w:b w:val="1"/>
                <w:bCs w:val="1"/>
                <w:color w:val="2360A6"/>
              </w:rPr>
              <w:t>More than</w:t>
            </w:r>
          </w:p>
        </w:tc>
        <w:tc>
          <w:tcPr>
            <w:tcW w:w="600" w:type="dxa"/>
            <w:vAlign w:val="bottom"/>
            <w:shd w:val="clear" w:color="auto" w:fill="EDEDEE"/>
          </w:tcPr>
          <w:p>
            <w:pPr>
              <w:spacing w:after="0"/>
              <w:rPr>
                <w:sz w:val="22"/>
                <w:szCs w:val="22"/>
                <w:color w:val="auto"/>
              </w:rPr>
            </w:pPr>
          </w:p>
        </w:tc>
        <w:tc>
          <w:tcPr>
            <w:tcW w:w="120" w:type="dxa"/>
            <w:vAlign w:val="bottom"/>
            <w:tcBorders>
              <w:right w:val="single" w:sz="8" w:color="EDEDEE"/>
            </w:tcBorders>
            <w:shd w:val="clear" w:color="auto" w:fill="EDEDEE"/>
          </w:tcPr>
          <w:p>
            <w:pPr>
              <w:spacing w:after="0"/>
              <w:rPr>
                <w:sz w:val="22"/>
                <w:szCs w:val="22"/>
                <w:color w:val="auto"/>
              </w:rPr>
            </w:pPr>
          </w:p>
        </w:tc>
        <w:tc>
          <w:tcPr>
            <w:tcW w:w="220" w:type="dxa"/>
            <w:vAlign w:val="bottom"/>
            <w:tcBorders>
              <w:right w:val="single" w:sz="8" w:color="2360A6"/>
            </w:tcBorders>
            <w:shd w:val="clear" w:color="auto" w:fill="EDEDEE"/>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Borders>
              <w:right w:val="single" w:sz="8" w:color="2360A6"/>
            </w:tcBorders>
          </w:tcPr>
          <w:p>
            <w:pPr>
              <w:spacing w:after="0"/>
              <w:rPr>
                <w:sz w:val="22"/>
                <w:szCs w:val="22"/>
                <w:color w:val="auto"/>
              </w:rPr>
            </w:pPr>
          </w:p>
        </w:tc>
        <w:tc>
          <w:tcPr>
            <w:tcW w:w="1660" w:type="dxa"/>
            <w:vAlign w:val="bottom"/>
            <w:tcBorders>
              <w:right w:val="single" w:sz="8" w:color="2360A6"/>
            </w:tcBorders>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20" w:type="dxa"/>
            <w:vAlign w:val="bottom"/>
          </w:tcPr>
          <w:p>
            <w:pPr>
              <w:spacing w:after="0"/>
              <w:rPr>
                <w:sz w:val="17"/>
                <w:szCs w:val="17"/>
                <w:color w:val="auto"/>
              </w:rPr>
            </w:pPr>
          </w:p>
        </w:tc>
        <w:tc>
          <w:tcPr>
            <w:tcW w:w="2460" w:type="dxa"/>
            <w:vAlign w:val="bottom"/>
            <w:tcBorders>
              <w:left w:val="single" w:sz="8" w:color="2360A6"/>
              <w:bottom w:val="single" w:sz="8" w:color="2360A6"/>
              <w:right w:val="single" w:sz="8" w:color="2360A6"/>
            </w:tcBorders>
            <w:gridSpan w:val="2"/>
          </w:tcPr>
          <w:p>
            <w:pPr>
              <w:ind w:left="60"/>
              <w:spacing w:after="0"/>
              <w:rPr>
                <w:sz w:val="20"/>
                <w:szCs w:val="20"/>
                <w:color w:val="auto"/>
              </w:rPr>
            </w:pPr>
            <w:r>
              <w:rPr>
                <w:rFonts w:ascii="Arial" w:cs="Arial" w:eastAsia="Arial" w:hAnsi="Arial"/>
                <w:sz w:val="14"/>
                <w:szCs w:val="14"/>
                <w:i w:val="1"/>
                <w:iCs w:val="1"/>
                <w:color w:val="231F20"/>
              </w:rPr>
              <w:t>In millions of Euro</w:t>
            </w:r>
          </w:p>
        </w:tc>
        <w:tc>
          <w:tcPr>
            <w:tcW w:w="1160" w:type="dxa"/>
            <w:vAlign w:val="bottom"/>
            <w:tcBorders>
              <w:bottom w:val="single" w:sz="8" w:color="2360A6"/>
              <w:right w:val="single" w:sz="8" w:color="EDEDEE"/>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1 year</w:t>
            </w:r>
          </w:p>
        </w:tc>
        <w:tc>
          <w:tcPr>
            <w:tcW w:w="120" w:type="dxa"/>
            <w:vAlign w:val="bottom"/>
            <w:tcBorders>
              <w:bottom w:val="single" w:sz="8" w:color="2360A6"/>
              <w:right w:val="single" w:sz="8" w:color="2360A6"/>
            </w:tcBorders>
            <w:shd w:val="clear" w:color="auto" w:fill="EDEDEE"/>
          </w:tcPr>
          <w:p>
            <w:pPr>
              <w:spacing w:after="0"/>
              <w:rPr>
                <w:sz w:val="17"/>
                <w:szCs w:val="17"/>
                <w:color w:val="auto"/>
              </w:rPr>
            </w:pPr>
          </w:p>
        </w:tc>
        <w:tc>
          <w:tcPr>
            <w:tcW w:w="1260" w:type="dxa"/>
            <w:vAlign w:val="bottom"/>
            <w:tcBorders>
              <w:bottom w:val="single" w:sz="8" w:color="2360A6"/>
              <w:right w:val="single" w:sz="8" w:color="2360A6"/>
            </w:tcBorders>
            <w:gridSpan w:val="2"/>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5 years</w:t>
            </w:r>
          </w:p>
        </w:tc>
        <w:tc>
          <w:tcPr>
            <w:tcW w:w="400" w:type="dxa"/>
            <w:vAlign w:val="bottom"/>
            <w:tcBorders>
              <w:bottom w:val="single" w:sz="8" w:color="2360A6"/>
            </w:tcBorders>
            <w:shd w:val="clear" w:color="auto" w:fill="EDEDEE"/>
          </w:tcPr>
          <w:p>
            <w:pPr>
              <w:spacing w:after="0"/>
              <w:rPr>
                <w:sz w:val="17"/>
                <w:szCs w:val="17"/>
                <w:color w:val="auto"/>
              </w:rPr>
            </w:pPr>
          </w:p>
        </w:tc>
        <w:tc>
          <w:tcPr>
            <w:tcW w:w="900" w:type="dxa"/>
            <w:vAlign w:val="bottom"/>
            <w:tcBorders>
              <w:bottom w:val="single" w:sz="8" w:color="2360A6"/>
              <w:right w:val="single" w:sz="8" w:color="2360A6"/>
            </w:tcBorders>
            <w:shd w:val="clear" w:color="auto" w:fill="EDEDEE"/>
          </w:tcPr>
          <w:p>
            <w:pPr>
              <w:jc w:val="right"/>
              <w:ind w:right="88"/>
              <w:spacing w:after="0"/>
              <w:rPr>
                <w:sz w:val="20"/>
                <w:szCs w:val="20"/>
                <w:color w:val="auto"/>
              </w:rPr>
            </w:pPr>
            <w:r>
              <w:rPr>
                <w:rFonts w:ascii="Arial" w:cs="Arial" w:eastAsia="Arial" w:hAnsi="Arial"/>
                <w:sz w:val="14"/>
                <w:szCs w:val="14"/>
                <w:b w:val="1"/>
                <w:bCs w:val="1"/>
                <w:color w:val="2360A6"/>
              </w:rPr>
              <w:t>5 years</w:t>
            </w:r>
          </w:p>
        </w:tc>
        <w:tc>
          <w:tcPr>
            <w:tcW w:w="940" w:type="dxa"/>
            <w:vAlign w:val="bottom"/>
            <w:tcBorders>
              <w:bottom w:val="single" w:sz="8" w:color="2360A6"/>
              <w:right w:val="single" w:sz="8" w:color="2360A6"/>
            </w:tcBorders>
            <w:gridSpan w:val="3"/>
            <w:shd w:val="clear" w:color="auto" w:fill="EDEDEE"/>
          </w:tcPr>
          <w:p>
            <w:pPr>
              <w:jc w:val="right"/>
              <w:ind w:right="140"/>
              <w:spacing w:after="0"/>
              <w:rPr>
                <w:sz w:val="20"/>
                <w:szCs w:val="20"/>
                <w:color w:val="auto"/>
              </w:rPr>
            </w:pPr>
            <w:r>
              <w:rPr>
                <w:rFonts w:ascii="Arial" w:cs="Arial" w:eastAsia="Arial" w:hAnsi="Arial"/>
                <w:sz w:val="14"/>
                <w:szCs w:val="14"/>
                <w:b w:val="1"/>
                <w:bCs w:val="1"/>
                <w:color w:val="2360A6"/>
              </w:rPr>
              <w:t>Total</w:t>
            </w:r>
          </w:p>
        </w:tc>
        <w:tc>
          <w:tcPr>
            <w:tcW w:w="1660" w:type="dxa"/>
            <w:vAlign w:val="bottom"/>
            <w:tcBorders>
              <w:bottom w:val="single" w:sz="8" w:color="2360A6"/>
              <w:right w:val="single" w:sz="8" w:color="2360A6"/>
            </w:tcBorders>
            <w:gridSpan w:val="2"/>
          </w:tcPr>
          <w:p>
            <w:pPr>
              <w:jc w:val="right"/>
              <w:ind w:right="120"/>
              <w:spacing w:after="0"/>
              <w:rPr>
                <w:sz w:val="20"/>
                <w:szCs w:val="20"/>
                <w:color w:val="auto"/>
              </w:rPr>
            </w:pPr>
            <w:r>
              <w:rPr>
                <w:rFonts w:ascii="Arial" w:cs="Arial" w:eastAsia="Arial" w:hAnsi="Arial"/>
                <w:sz w:val="14"/>
                <w:szCs w:val="14"/>
                <w:b w:val="1"/>
                <w:bCs w:val="1"/>
                <w:color w:val="2360A6"/>
              </w:rPr>
              <w:t>Total</w:t>
            </w:r>
          </w:p>
        </w:tc>
        <w:tc>
          <w:tcPr>
            <w:tcW w:w="16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Total</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2460" w:type="dxa"/>
            <w:vAlign w:val="bottom"/>
            <w:tcBorders>
              <w:left w:val="single" w:sz="8" w:color="2360A6"/>
              <w:right w:val="single" w:sz="8" w:color="2360A6"/>
            </w:tcBorders>
            <w:gridSpan w:val="2"/>
          </w:tcPr>
          <w:p>
            <w:pPr>
              <w:ind w:left="60"/>
              <w:spacing w:after="0"/>
              <w:rPr>
                <w:sz w:val="20"/>
                <w:szCs w:val="20"/>
                <w:color w:val="auto"/>
              </w:rPr>
            </w:pPr>
            <w:r>
              <w:rPr>
                <w:rFonts w:ascii="Arial" w:cs="Arial" w:eastAsia="Arial" w:hAnsi="Arial"/>
                <w:sz w:val="14"/>
                <w:szCs w:val="14"/>
                <w:color w:val="231F20"/>
              </w:rPr>
              <w:t>Commitments Given related to the</w:t>
            </w:r>
          </w:p>
        </w:tc>
        <w:tc>
          <w:tcPr>
            <w:tcW w:w="1160" w:type="dxa"/>
            <w:vAlign w:val="bottom"/>
            <w:tcBorders>
              <w:right w:val="single" w:sz="8" w:color="EDEDEE"/>
            </w:tcBorders>
            <w:shd w:val="clear" w:color="auto" w:fill="EDEDEE"/>
          </w:tcPr>
          <w:p>
            <w:pPr>
              <w:spacing w:after="0"/>
              <w:rPr>
                <w:sz w:val="16"/>
                <w:szCs w:val="16"/>
                <w:color w:val="auto"/>
              </w:rPr>
            </w:pPr>
          </w:p>
        </w:tc>
        <w:tc>
          <w:tcPr>
            <w:tcW w:w="120" w:type="dxa"/>
            <w:vAlign w:val="bottom"/>
            <w:tcBorders>
              <w:right w:val="single" w:sz="8" w:color="2360A6"/>
            </w:tcBorders>
            <w:shd w:val="clear" w:color="auto" w:fill="EDEDEE"/>
          </w:tcPr>
          <w:p>
            <w:pPr>
              <w:spacing w:after="0"/>
              <w:rPr>
                <w:sz w:val="16"/>
                <w:szCs w:val="16"/>
                <w:color w:val="auto"/>
              </w:rPr>
            </w:pPr>
          </w:p>
        </w:tc>
        <w:tc>
          <w:tcPr>
            <w:tcW w:w="960" w:type="dxa"/>
            <w:vAlign w:val="bottom"/>
            <w:tcBorders>
              <w:right w:val="single" w:sz="8" w:color="EDEDEE"/>
            </w:tcBorders>
            <w:shd w:val="clear" w:color="auto" w:fill="EDEDEE"/>
          </w:tcPr>
          <w:p>
            <w:pPr>
              <w:spacing w:after="0"/>
              <w:rPr>
                <w:sz w:val="16"/>
                <w:szCs w:val="16"/>
                <w:color w:val="auto"/>
              </w:rPr>
            </w:pPr>
          </w:p>
        </w:tc>
        <w:tc>
          <w:tcPr>
            <w:tcW w:w="300" w:type="dxa"/>
            <w:vAlign w:val="bottom"/>
            <w:tcBorders>
              <w:right w:val="single" w:sz="8" w:color="2360A6"/>
            </w:tcBorders>
            <w:shd w:val="clear" w:color="auto" w:fill="EDEDEE"/>
          </w:tcPr>
          <w:p>
            <w:pPr>
              <w:spacing w:after="0"/>
              <w:rPr>
                <w:sz w:val="16"/>
                <w:szCs w:val="16"/>
                <w:color w:val="auto"/>
              </w:rPr>
            </w:pPr>
          </w:p>
        </w:tc>
        <w:tc>
          <w:tcPr>
            <w:tcW w:w="400" w:type="dxa"/>
            <w:vAlign w:val="bottom"/>
            <w:shd w:val="clear" w:color="auto" w:fill="EDEDEE"/>
          </w:tcPr>
          <w:p>
            <w:pPr>
              <w:spacing w:after="0"/>
              <w:rPr>
                <w:sz w:val="16"/>
                <w:szCs w:val="16"/>
                <w:color w:val="auto"/>
              </w:rPr>
            </w:pPr>
          </w:p>
        </w:tc>
        <w:tc>
          <w:tcPr>
            <w:tcW w:w="900" w:type="dxa"/>
            <w:vAlign w:val="bottom"/>
            <w:tcBorders>
              <w:right w:val="single" w:sz="8" w:color="2360A6"/>
            </w:tcBorders>
            <w:shd w:val="clear" w:color="auto" w:fill="EDEDEE"/>
          </w:tcPr>
          <w:p>
            <w:pPr>
              <w:spacing w:after="0"/>
              <w:rPr>
                <w:sz w:val="16"/>
                <w:szCs w:val="16"/>
                <w:color w:val="auto"/>
              </w:rPr>
            </w:pPr>
          </w:p>
        </w:tc>
        <w:tc>
          <w:tcPr>
            <w:tcW w:w="600" w:type="dxa"/>
            <w:vAlign w:val="bottom"/>
            <w:shd w:val="clear" w:color="auto" w:fill="EDEDEE"/>
          </w:tcPr>
          <w:p>
            <w:pPr>
              <w:spacing w:after="0"/>
              <w:rPr>
                <w:sz w:val="16"/>
                <w:szCs w:val="16"/>
                <w:color w:val="auto"/>
              </w:rPr>
            </w:pPr>
          </w:p>
        </w:tc>
        <w:tc>
          <w:tcPr>
            <w:tcW w:w="120" w:type="dxa"/>
            <w:vAlign w:val="bottom"/>
            <w:tcBorders>
              <w:right w:val="single" w:sz="8" w:color="EDEDEE"/>
            </w:tcBorders>
            <w:shd w:val="clear" w:color="auto" w:fill="EDEDEE"/>
          </w:tcPr>
          <w:p>
            <w:pPr>
              <w:spacing w:after="0"/>
              <w:rPr>
                <w:sz w:val="16"/>
                <w:szCs w:val="16"/>
                <w:color w:val="auto"/>
              </w:rPr>
            </w:pPr>
          </w:p>
        </w:tc>
        <w:tc>
          <w:tcPr>
            <w:tcW w:w="220" w:type="dxa"/>
            <w:vAlign w:val="bottom"/>
            <w:tcBorders>
              <w:right w:val="single" w:sz="8" w:color="2360A6"/>
            </w:tcBorders>
            <w:shd w:val="clear" w:color="auto" w:fill="EDEDEE"/>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Borders>
              <w:right w:val="single" w:sz="8" w:color="2360A6"/>
            </w:tcBorders>
          </w:tcPr>
          <w:p>
            <w:pPr>
              <w:spacing w:after="0"/>
              <w:rPr>
                <w:sz w:val="16"/>
                <w:szCs w:val="16"/>
                <w:color w:val="auto"/>
              </w:rPr>
            </w:pPr>
          </w:p>
        </w:tc>
        <w:tc>
          <w:tcPr>
            <w:tcW w:w="1660" w:type="dxa"/>
            <w:vAlign w:val="bottom"/>
            <w:tcBorders>
              <w:right w:val="single" w:sz="8" w:color="2360A6"/>
            </w:tcBorders>
          </w:tcPr>
          <w:p>
            <w:pPr>
              <w:spacing w:after="0"/>
              <w:rPr>
                <w:sz w:val="16"/>
                <w:szCs w:val="16"/>
                <w:color w:val="auto"/>
              </w:rPr>
            </w:pPr>
          </w:p>
        </w:tc>
        <w:tc>
          <w:tcPr>
            <w:tcW w:w="20" w:type="dxa"/>
            <w:vAlign w:val="bottom"/>
          </w:tcPr>
          <w:p>
            <w:pPr>
              <w:spacing w:after="0"/>
              <w:rPr>
                <w:sz w:val="16"/>
                <w:szCs w:val="16"/>
                <w:color w:val="auto"/>
              </w:rPr>
            </w:pPr>
          </w:p>
        </w:tc>
      </w:tr>
      <w:tr>
        <w:trPr>
          <w:trHeight w:val="178"/>
        </w:trPr>
        <w:tc>
          <w:tcPr>
            <w:tcW w:w="20" w:type="dxa"/>
            <w:vAlign w:val="bottom"/>
          </w:tcPr>
          <w:p>
            <w:pPr>
              <w:spacing w:after="0"/>
              <w:rPr>
                <w:sz w:val="15"/>
                <w:szCs w:val="15"/>
                <w:color w:val="auto"/>
              </w:rPr>
            </w:pPr>
          </w:p>
        </w:tc>
        <w:tc>
          <w:tcPr>
            <w:tcW w:w="2460" w:type="dxa"/>
            <w:vAlign w:val="bottom"/>
            <w:tcBorders>
              <w:left w:val="single" w:sz="8" w:color="2360A6"/>
              <w:bottom w:val="single" w:sz="8" w:color="2360A6"/>
              <w:right w:val="single" w:sz="8" w:color="2360A6"/>
            </w:tcBorders>
            <w:gridSpan w:val="2"/>
          </w:tcPr>
          <w:p>
            <w:pPr>
              <w:ind w:left="60"/>
              <w:spacing w:after="0"/>
              <w:rPr>
                <w:sz w:val="20"/>
                <w:szCs w:val="20"/>
                <w:color w:val="auto"/>
              </w:rPr>
            </w:pPr>
            <w:r>
              <w:rPr>
                <w:rFonts w:ascii="Arial" w:cs="Arial" w:eastAsia="Arial" w:hAnsi="Arial"/>
                <w:sz w:val="14"/>
                <w:szCs w:val="14"/>
                <w:color w:val="231F20"/>
              </w:rPr>
              <w:t>Execution of Operating Contracts</w:t>
            </w:r>
          </w:p>
        </w:tc>
        <w:tc>
          <w:tcPr>
            <w:tcW w:w="1160" w:type="dxa"/>
            <w:vAlign w:val="bottom"/>
            <w:tcBorders>
              <w:bottom w:val="single" w:sz="8" w:color="2360A6"/>
              <w:right w:val="single" w:sz="8" w:color="EDEDEE"/>
            </w:tcBorders>
            <w:shd w:val="clear" w:color="auto" w:fill="EDEDEE"/>
          </w:tcPr>
          <w:p>
            <w:pPr>
              <w:jc w:val="right"/>
              <w:spacing w:after="0"/>
              <w:rPr>
                <w:sz w:val="20"/>
                <w:szCs w:val="20"/>
                <w:color w:val="auto"/>
              </w:rPr>
            </w:pPr>
            <w:r>
              <w:rPr>
                <w:rFonts w:ascii="Arial" w:cs="Arial" w:eastAsia="Arial" w:hAnsi="Arial"/>
                <w:sz w:val="14"/>
                <w:szCs w:val="14"/>
                <w:color w:val="231F20"/>
              </w:rPr>
              <w:t>1,936.7</w:t>
            </w:r>
          </w:p>
        </w:tc>
        <w:tc>
          <w:tcPr>
            <w:tcW w:w="120" w:type="dxa"/>
            <w:vAlign w:val="bottom"/>
            <w:tcBorders>
              <w:bottom w:val="single" w:sz="8" w:color="2360A6"/>
              <w:right w:val="single" w:sz="8" w:color="2360A6"/>
            </w:tcBorders>
            <w:shd w:val="clear" w:color="auto" w:fill="EDEDEE"/>
          </w:tcPr>
          <w:p>
            <w:pPr>
              <w:spacing w:after="0"/>
              <w:rPr>
                <w:sz w:val="15"/>
                <w:szCs w:val="15"/>
                <w:color w:val="auto"/>
              </w:rPr>
            </w:pPr>
          </w:p>
        </w:tc>
        <w:tc>
          <w:tcPr>
            <w:tcW w:w="1260" w:type="dxa"/>
            <w:vAlign w:val="bottom"/>
            <w:tcBorders>
              <w:bottom w:val="single" w:sz="8" w:color="2360A6"/>
              <w:right w:val="single" w:sz="8" w:color="2360A6"/>
            </w:tcBorders>
            <w:gridSpan w:val="2"/>
            <w:shd w:val="clear" w:color="auto" w:fill="EDEDEE"/>
          </w:tcPr>
          <w:p>
            <w:pPr>
              <w:jc w:val="right"/>
              <w:ind w:right="48"/>
              <w:spacing w:after="0"/>
              <w:rPr>
                <w:sz w:val="20"/>
                <w:szCs w:val="20"/>
                <w:color w:val="auto"/>
              </w:rPr>
            </w:pPr>
            <w:r>
              <w:rPr>
                <w:rFonts w:ascii="Arial" w:cs="Arial" w:eastAsia="Arial" w:hAnsi="Arial"/>
                <w:sz w:val="14"/>
                <w:szCs w:val="14"/>
                <w:color w:val="231F20"/>
              </w:rPr>
              <w:t>2,351.3</w:t>
            </w:r>
          </w:p>
        </w:tc>
        <w:tc>
          <w:tcPr>
            <w:tcW w:w="400" w:type="dxa"/>
            <w:vAlign w:val="bottom"/>
            <w:tcBorders>
              <w:bottom w:val="single" w:sz="8" w:color="2360A6"/>
            </w:tcBorders>
            <w:shd w:val="clear" w:color="auto" w:fill="EDEDEE"/>
          </w:tcPr>
          <w:p>
            <w:pPr>
              <w:spacing w:after="0"/>
              <w:rPr>
                <w:sz w:val="15"/>
                <w:szCs w:val="15"/>
                <w:color w:val="auto"/>
              </w:rPr>
            </w:pPr>
          </w:p>
        </w:tc>
        <w:tc>
          <w:tcPr>
            <w:tcW w:w="900" w:type="dxa"/>
            <w:vAlign w:val="bottom"/>
            <w:tcBorders>
              <w:bottom w:val="single" w:sz="8" w:color="2360A6"/>
              <w:right w:val="single" w:sz="8" w:color="2360A6"/>
            </w:tcBorders>
            <w:shd w:val="clear" w:color="auto" w:fill="EDEDEE"/>
          </w:tcPr>
          <w:p>
            <w:pPr>
              <w:jc w:val="right"/>
              <w:ind w:right="88"/>
              <w:spacing w:after="0"/>
              <w:rPr>
                <w:sz w:val="20"/>
                <w:szCs w:val="20"/>
                <w:color w:val="auto"/>
              </w:rPr>
            </w:pPr>
            <w:r>
              <w:rPr>
                <w:rFonts w:ascii="Arial" w:cs="Arial" w:eastAsia="Arial" w:hAnsi="Arial"/>
                <w:sz w:val="14"/>
                <w:szCs w:val="14"/>
                <w:color w:val="231F20"/>
              </w:rPr>
              <w:t>26.7</w:t>
            </w:r>
          </w:p>
        </w:tc>
        <w:tc>
          <w:tcPr>
            <w:tcW w:w="940" w:type="dxa"/>
            <w:vAlign w:val="bottom"/>
            <w:tcBorders>
              <w:bottom w:val="single" w:sz="8" w:color="2360A6"/>
              <w:right w:val="single" w:sz="8" w:color="2360A6"/>
            </w:tcBorders>
            <w:gridSpan w:val="3"/>
            <w:shd w:val="clear" w:color="auto" w:fill="EDEDEE"/>
          </w:tcPr>
          <w:p>
            <w:pPr>
              <w:jc w:val="right"/>
              <w:ind w:right="140"/>
              <w:spacing w:after="0"/>
              <w:rPr>
                <w:sz w:val="20"/>
                <w:szCs w:val="20"/>
                <w:color w:val="auto"/>
              </w:rPr>
            </w:pPr>
            <w:r>
              <w:rPr>
                <w:rFonts w:ascii="Arial" w:cs="Arial" w:eastAsia="Arial" w:hAnsi="Arial"/>
                <w:sz w:val="14"/>
                <w:szCs w:val="14"/>
                <w:color w:val="231F20"/>
              </w:rPr>
              <w:t>4,314.7</w:t>
            </w:r>
          </w:p>
        </w:tc>
        <w:tc>
          <w:tcPr>
            <w:tcW w:w="15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4,906.0</w:t>
            </w:r>
          </w:p>
        </w:tc>
        <w:tc>
          <w:tcPr>
            <w:tcW w:w="100" w:type="dxa"/>
            <w:vAlign w:val="bottom"/>
            <w:tcBorders>
              <w:bottom w:val="single" w:sz="8" w:color="2360A6"/>
              <w:right w:val="single" w:sz="8" w:color="2360A6"/>
            </w:tcBorders>
          </w:tcPr>
          <w:p>
            <w:pPr>
              <w:spacing w:after="0"/>
              <w:rPr>
                <w:sz w:val="15"/>
                <w:szCs w:val="15"/>
                <w:color w:val="auto"/>
              </w:rPr>
            </w:pPr>
          </w:p>
        </w:tc>
        <w:tc>
          <w:tcPr>
            <w:tcW w:w="16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4,652.3</w:t>
            </w:r>
          </w:p>
        </w:tc>
        <w:tc>
          <w:tcPr>
            <w:tcW w:w="20" w:type="dxa"/>
            <w:vAlign w:val="bottom"/>
          </w:tcPr>
          <w:p>
            <w:pPr>
              <w:spacing w:after="0"/>
              <w:rPr>
                <w:sz w:val="15"/>
                <w:szCs w:val="15"/>
                <w:color w:val="auto"/>
              </w:rPr>
            </w:pPr>
          </w:p>
        </w:tc>
      </w:tr>
      <w:tr>
        <w:trPr>
          <w:trHeight w:val="258"/>
        </w:trPr>
        <w:tc>
          <w:tcPr>
            <w:tcW w:w="20" w:type="dxa"/>
            <w:vAlign w:val="bottom"/>
          </w:tcPr>
          <w:p>
            <w:pPr>
              <w:spacing w:after="0"/>
              <w:rPr>
                <w:sz w:val="22"/>
                <w:szCs w:val="22"/>
                <w:color w:val="auto"/>
              </w:rPr>
            </w:pPr>
          </w:p>
        </w:tc>
        <w:tc>
          <w:tcPr>
            <w:tcW w:w="2460" w:type="dxa"/>
            <w:vAlign w:val="bottom"/>
            <w:tcBorders>
              <w:left w:val="single" w:sz="8" w:color="2360A6"/>
              <w:right w:val="single" w:sz="8" w:color="2360A6"/>
            </w:tcBorders>
            <w:gridSpan w:val="2"/>
          </w:tcPr>
          <w:p>
            <w:pPr>
              <w:ind w:left="60"/>
              <w:spacing w:after="0"/>
              <w:rPr>
                <w:sz w:val="20"/>
                <w:szCs w:val="20"/>
                <w:color w:val="auto"/>
              </w:rPr>
            </w:pPr>
            <w:r>
              <w:rPr>
                <w:rFonts w:ascii="Arial" w:cs="Arial" w:eastAsia="Arial" w:hAnsi="Arial"/>
                <w:sz w:val="14"/>
                <w:szCs w:val="14"/>
                <w:color w:val="231F20"/>
              </w:rPr>
              <w:t>Parent Company</w:t>
            </w:r>
          </w:p>
        </w:tc>
        <w:tc>
          <w:tcPr>
            <w:tcW w:w="1160" w:type="dxa"/>
            <w:vAlign w:val="bottom"/>
            <w:tcBorders>
              <w:right w:val="single" w:sz="8" w:color="EDEDEE"/>
            </w:tcBorders>
            <w:shd w:val="clear" w:color="auto" w:fill="EDEDEE"/>
          </w:tcPr>
          <w:p>
            <w:pPr>
              <w:spacing w:after="0"/>
              <w:rPr>
                <w:sz w:val="22"/>
                <w:szCs w:val="22"/>
                <w:color w:val="auto"/>
              </w:rPr>
            </w:pPr>
          </w:p>
        </w:tc>
        <w:tc>
          <w:tcPr>
            <w:tcW w:w="120" w:type="dxa"/>
            <w:vAlign w:val="bottom"/>
            <w:tcBorders>
              <w:right w:val="single" w:sz="8" w:color="2360A6"/>
            </w:tcBorders>
            <w:shd w:val="clear" w:color="auto" w:fill="EDEDEE"/>
          </w:tcPr>
          <w:p>
            <w:pPr>
              <w:spacing w:after="0"/>
              <w:rPr>
                <w:sz w:val="22"/>
                <w:szCs w:val="22"/>
                <w:color w:val="auto"/>
              </w:rPr>
            </w:pPr>
          </w:p>
        </w:tc>
        <w:tc>
          <w:tcPr>
            <w:tcW w:w="960" w:type="dxa"/>
            <w:vAlign w:val="bottom"/>
            <w:tcBorders>
              <w:right w:val="single" w:sz="8" w:color="EDEDEE"/>
            </w:tcBorders>
            <w:shd w:val="clear" w:color="auto" w:fill="EDEDEE"/>
          </w:tcPr>
          <w:p>
            <w:pPr>
              <w:spacing w:after="0"/>
              <w:rPr>
                <w:sz w:val="22"/>
                <w:szCs w:val="22"/>
                <w:color w:val="auto"/>
              </w:rPr>
            </w:pPr>
          </w:p>
        </w:tc>
        <w:tc>
          <w:tcPr>
            <w:tcW w:w="300" w:type="dxa"/>
            <w:vAlign w:val="bottom"/>
            <w:tcBorders>
              <w:right w:val="single" w:sz="8" w:color="2360A6"/>
            </w:tcBorders>
            <w:shd w:val="clear" w:color="auto" w:fill="EDEDEE"/>
          </w:tcPr>
          <w:p>
            <w:pPr>
              <w:spacing w:after="0"/>
              <w:rPr>
                <w:sz w:val="22"/>
                <w:szCs w:val="22"/>
                <w:color w:val="auto"/>
              </w:rPr>
            </w:pPr>
          </w:p>
        </w:tc>
        <w:tc>
          <w:tcPr>
            <w:tcW w:w="400" w:type="dxa"/>
            <w:vAlign w:val="bottom"/>
            <w:shd w:val="clear" w:color="auto" w:fill="EDEDEE"/>
          </w:tcPr>
          <w:p>
            <w:pPr>
              <w:spacing w:after="0"/>
              <w:rPr>
                <w:sz w:val="22"/>
                <w:szCs w:val="22"/>
                <w:color w:val="auto"/>
              </w:rPr>
            </w:pPr>
          </w:p>
        </w:tc>
        <w:tc>
          <w:tcPr>
            <w:tcW w:w="900" w:type="dxa"/>
            <w:vAlign w:val="bottom"/>
            <w:tcBorders>
              <w:right w:val="single" w:sz="8" w:color="2360A6"/>
            </w:tcBorders>
            <w:shd w:val="clear" w:color="auto" w:fill="EDEDEE"/>
          </w:tcPr>
          <w:p>
            <w:pPr>
              <w:spacing w:after="0"/>
              <w:rPr>
                <w:sz w:val="22"/>
                <w:szCs w:val="22"/>
                <w:color w:val="auto"/>
              </w:rPr>
            </w:pPr>
          </w:p>
        </w:tc>
        <w:tc>
          <w:tcPr>
            <w:tcW w:w="600" w:type="dxa"/>
            <w:vAlign w:val="bottom"/>
            <w:shd w:val="clear" w:color="auto" w:fill="EDEDEE"/>
          </w:tcPr>
          <w:p>
            <w:pPr>
              <w:spacing w:after="0"/>
              <w:rPr>
                <w:sz w:val="22"/>
                <w:szCs w:val="22"/>
                <w:color w:val="auto"/>
              </w:rPr>
            </w:pPr>
          </w:p>
        </w:tc>
        <w:tc>
          <w:tcPr>
            <w:tcW w:w="120" w:type="dxa"/>
            <w:vAlign w:val="bottom"/>
            <w:tcBorders>
              <w:right w:val="single" w:sz="8" w:color="EDEDEE"/>
            </w:tcBorders>
            <w:shd w:val="clear" w:color="auto" w:fill="EDEDEE"/>
          </w:tcPr>
          <w:p>
            <w:pPr>
              <w:spacing w:after="0"/>
              <w:rPr>
                <w:sz w:val="22"/>
                <w:szCs w:val="22"/>
                <w:color w:val="auto"/>
              </w:rPr>
            </w:pPr>
          </w:p>
        </w:tc>
        <w:tc>
          <w:tcPr>
            <w:tcW w:w="220" w:type="dxa"/>
            <w:vAlign w:val="bottom"/>
            <w:tcBorders>
              <w:right w:val="single" w:sz="8" w:color="2360A6"/>
            </w:tcBorders>
            <w:shd w:val="clear" w:color="auto" w:fill="EDEDEE"/>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Borders>
              <w:right w:val="single" w:sz="8" w:color="2360A6"/>
            </w:tcBorders>
          </w:tcPr>
          <w:p>
            <w:pPr>
              <w:spacing w:after="0"/>
              <w:rPr>
                <w:sz w:val="22"/>
                <w:szCs w:val="22"/>
                <w:color w:val="auto"/>
              </w:rPr>
            </w:pPr>
          </w:p>
        </w:tc>
        <w:tc>
          <w:tcPr>
            <w:tcW w:w="1660" w:type="dxa"/>
            <w:vAlign w:val="bottom"/>
            <w:tcBorders>
              <w:right w:val="single" w:sz="8" w:color="2360A6"/>
            </w:tcBorders>
          </w:tcPr>
          <w:p>
            <w:pPr>
              <w:spacing w:after="0"/>
              <w:rPr>
                <w:sz w:val="22"/>
                <w:szCs w:val="22"/>
                <w:color w:val="auto"/>
              </w:rPr>
            </w:pPr>
          </w:p>
        </w:tc>
        <w:tc>
          <w:tcPr>
            <w:tcW w:w="20" w:type="dxa"/>
            <w:vAlign w:val="bottom"/>
          </w:tcPr>
          <w:p>
            <w:pPr>
              <w:spacing w:after="0"/>
              <w:rPr>
                <w:sz w:val="22"/>
                <w:szCs w:val="22"/>
                <w:color w:val="auto"/>
              </w:rPr>
            </w:pPr>
          </w:p>
        </w:tc>
      </w:tr>
      <w:tr>
        <w:trPr>
          <w:trHeight w:val="182"/>
        </w:trPr>
        <w:tc>
          <w:tcPr>
            <w:tcW w:w="20" w:type="dxa"/>
            <w:vAlign w:val="bottom"/>
          </w:tcPr>
          <w:p>
            <w:pPr>
              <w:spacing w:after="0"/>
              <w:rPr>
                <w:sz w:val="15"/>
                <w:szCs w:val="15"/>
                <w:color w:val="auto"/>
              </w:rPr>
            </w:pPr>
          </w:p>
        </w:tc>
        <w:tc>
          <w:tcPr>
            <w:tcW w:w="2460" w:type="dxa"/>
            <w:vAlign w:val="bottom"/>
            <w:tcBorders>
              <w:left w:val="single" w:sz="8" w:color="2360A6"/>
              <w:bottom w:val="single" w:sz="8" w:color="2360A6"/>
              <w:right w:val="single" w:sz="8" w:color="2360A6"/>
            </w:tcBorders>
            <w:gridSpan w:val="2"/>
          </w:tcPr>
          <w:p>
            <w:pPr>
              <w:ind w:left="60"/>
              <w:spacing w:after="0"/>
              <w:rPr>
                <w:sz w:val="20"/>
                <w:szCs w:val="20"/>
                <w:color w:val="auto"/>
              </w:rPr>
            </w:pPr>
            <w:r>
              <w:rPr>
                <w:rFonts w:ascii="Arial" w:cs="Arial" w:eastAsia="Arial" w:hAnsi="Arial"/>
                <w:sz w:val="14"/>
                <w:szCs w:val="14"/>
                <w:color w:val="231F20"/>
              </w:rPr>
              <w:t>Guarantees</w:t>
            </w:r>
          </w:p>
        </w:tc>
        <w:tc>
          <w:tcPr>
            <w:tcW w:w="1160" w:type="dxa"/>
            <w:vAlign w:val="bottom"/>
            <w:tcBorders>
              <w:bottom w:val="single" w:sz="8" w:color="2360A6"/>
              <w:right w:val="single" w:sz="8" w:color="EDEDEE"/>
            </w:tcBorders>
            <w:shd w:val="clear" w:color="auto" w:fill="EDEDEE"/>
          </w:tcPr>
          <w:p>
            <w:pPr>
              <w:jc w:val="right"/>
              <w:spacing w:after="0"/>
              <w:rPr>
                <w:sz w:val="20"/>
                <w:szCs w:val="20"/>
                <w:color w:val="auto"/>
              </w:rPr>
            </w:pPr>
            <w:r>
              <w:rPr>
                <w:rFonts w:ascii="Arial" w:cs="Arial" w:eastAsia="Arial" w:hAnsi="Arial"/>
                <w:sz w:val="14"/>
                <w:szCs w:val="14"/>
                <w:color w:val="231F20"/>
              </w:rPr>
              <w:t>35,621.4</w:t>
            </w:r>
          </w:p>
        </w:tc>
        <w:tc>
          <w:tcPr>
            <w:tcW w:w="120" w:type="dxa"/>
            <w:vAlign w:val="bottom"/>
            <w:tcBorders>
              <w:bottom w:val="single" w:sz="8" w:color="2360A6"/>
              <w:right w:val="single" w:sz="8" w:color="2360A6"/>
            </w:tcBorders>
            <w:shd w:val="clear" w:color="auto" w:fill="EDEDEE"/>
          </w:tcPr>
          <w:p>
            <w:pPr>
              <w:spacing w:after="0"/>
              <w:rPr>
                <w:sz w:val="15"/>
                <w:szCs w:val="15"/>
                <w:color w:val="auto"/>
              </w:rPr>
            </w:pPr>
          </w:p>
        </w:tc>
        <w:tc>
          <w:tcPr>
            <w:tcW w:w="1260" w:type="dxa"/>
            <w:vAlign w:val="bottom"/>
            <w:tcBorders>
              <w:bottom w:val="single" w:sz="8" w:color="2360A6"/>
              <w:right w:val="single" w:sz="8" w:color="2360A6"/>
            </w:tcBorders>
            <w:gridSpan w:val="2"/>
            <w:shd w:val="clear" w:color="auto" w:fill="EDEDEE"/>
          </w:tcPr>
          <w:p>
            <w:pPr>
              <w:jc w:val="right"/>
              <w:ind w:right="48"/>
              <w:spacing w:after="0"/>
              <w:rPr>
                <w:sz w:val="20"/>
                <w:szCs w:val="20"/>
                <w:color w:val="auto"/>
              </w:rPr>
            </w:pPr>
            <w:r>
              <w:rPr>
                <w:rFonts w:ascii="Arial" w:cs="Arial" w:eastAsia="Arial" w:hAnsi="Arial"/>
                <w:sz w:val="14"/>
                <w:szCs w:val="14"/>
                <w:color w:val="231F20"/>
              </w:rPr>
              <w:t>38,607.9</w:t>
            </w:r>
          </w:p>
        </w:tc>
        <w:tc>
          <w:tcPr>
            <w:tcW w:w="400" w:type="dxa"/>
            <w:vAlign w:val="bottom"/>
            <w:tcBorders>
              <w:bottom w:val="single" w:sz="8" w:color="2360A6"/>
            </w:tcBorders>
            <w:shd w:val="clear" w:color="auto" w:fill="EDEDEE"/>
          </w:tcPr>
          <w:p>
            <w:pPr>
              <w:spacing w:after="0"/>
              <w:rPr>
                <w:sz w:val="15"/>
                <w:szCs w:val="15"/>
                <w:color w:val="auto"/>
              </w:rPr>
            </w:pPr>
          </w:p>
        </w:tc>
        <w:tc>
          <w:tcPr>
            <w:tcW w:w="900" w:type="dxa"/>
            <w:vAlign w:val="bottom"/>
            <w:tcBorders>
              <w:bottom w:val="single" w:sz="8" w:color="2360A6"/>
              <w:right w:val="single" w:sz="8" w:color="2360A6"/>
            </w:tcBorders>
            <w:shd w:val="clear" w:color="auto" w:fill="EDEDEE"/>
          </w:tcPr>
          <w:p>
            <w:pPr>
              <w:jc w:val="right"/>
              <w:ind w:right="88"/>
              <w:spacing w:after="0"/>
              <w:rPr>
                <w:sz w:val="20"/>
                <w:szCs w:val="20"/>
                <w:color w:val="auto"/>
              </w:rPr>
            </w:pPr>
            <w:r>
              <w:rPr>
                <w:rFonts w:ascii="Arial" w:cs="Arial" w:eastAsia="Arial" w:hAnsi="Arial"/>
                <w:sz w:val="14"/>
                <w:szCs w:val="14"/>
                <w:color w:val="231F20"/>
              </w:rPr>
              <w:t>2,243.9</w:t>
            </w:r>
          </w:p>
        </w:tc>
        <w:tc>
          <w:tcPr>
            <w:tcW w:w="940" w:type="dxa"/>
            <w:vAlign w:val="bottom"/>
            <w:tcBorders>
              <w:bottom w:val="single" w:sz="8" w:color="2360A6"/>
              <w:right w:val="single" w:sz="8" w:color="2360A6"/>
            </w:tcBorders>
            <w:gridSpan w:val="3"/>
            <w:shd w:val="clear" w:color="auto" w:fill="EDEDEE"/>
          </w:tcPr>
          <w:p>
            <w:pPr>
              <w:jc w:val="right"/>
              <w:ind w:right="140"/>
              <w:spacing w:after="0"/>
              <w:rPr>
                <w:sz w:val="20"/>
                <w:szCs w:val="20"/>
                <w:color w:val="auto"/>
              </w:rPr>
            </w:pPr>
            <w:r>
              <w:rPr>
                <w:rFonts w:ascii="Arial" w:cs="Arial" w:eastAsia="Arial" w:hAnsi="Arial"/>
                <w:sz w:val="14"/>
                <w:szCs w:val="14"/>
                <w:color w:val="231F20"/>
              </w:rPr>
              <w:t>76,473.2</w:t>
            </w:r>
          </w:p>
        </w:tc>
        <w:tc>
          <w:tcPr>
            <w:tcW w:w="1560" w:type="dxa"/>
            <w:vAlign w:val="bottom"/>
            <w:tcBorders>
              <w:bottom w:val="single" w:sz="8" w:color="2360A6"/>
            </w:tcBorders>
          </w:tcPr>
          <w:p>
            <w:pPr>
              <w:jc w:val="right"/>
              <w:spacing w:after="0"/>
              <w:rPr>
                <w:sz w:val="20"/>
                <w:szCs w:val="20"/>
                <w:color w:val="auto"/>
              </w:rPr>
            </w:pPr>
            <w:r>
              <w:rPr>
                <w:rFonts w:ascii="Arial" w:cs="Arial" w:eastAsia="Arial" w:hAnsi="Arial"/>
                <w:sz w:val="14"/>
                <w:szCs w:val="14"/>
                <w:color w:val="231F20"/>
              </w:rPr>
              <w:t>72,759.1</w:t>
            </w:r>
          </w:p>
        </w:tc>
        <w:tc>
          <w:tcPr>
            <w:tcW w:w="100" w:type="dxa"/>
            <w:vAlign w:val="bottom"/>
            <w:tcBorders>
              <w:bottom w:val="single" w:sz="8" w:color="2360A6"/>
              <w:right w:val="single" w:sz="8" w:color="2360A6"/>
            </w:tcBorders>
          </w:tcPr>
          <w:p>
            <w:pPr>
              <w:spacing w:after="0"/>
              <w:rPr>
                <w:sz w:val="15"/>
                <w:szCs w:val="15"/>
                <w:color w:val="auto"/>
              </w:rPr>
            </w:pPr>
          </w:p>
        </w:tc>
        <w:tc>
          <w:tcPr>
            <w:tcW w:w="16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69,974.7</w:t>
            </w: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460" w:type="dxa"/>
            <w:vAlign w:val="bottom"/>
            <w:tcBorders>
              <w:left w:val="single" w:sz="8" w:color="2360A6"/>
              <w:right w:val="single" w:sz="8" w:color="2360A6"/>
            </w:tcBorders>
            <w:gridSpan w:val="2"/>
            <w:shd w:val="clear" w:color="auto" w:fill="D2DEEC"/>
          </w:tcPr>
          <w:p>
            <w:pPr>
              <w:ind w:left="60"/>
              <w:spacing w:after="0"/>
              <w:rPr>
                <w:sz w:val="20"/>
                <w:szCs w:val="20"/>
                <w:color w:val="auto"/>
              </w:rPr>
            </w:pPr>
            <w:r>
              <w:rPr>
                <w:rFonts w:ascii="Arial" w:cs="Arial" w:eastAsia="Arial" w:hAnsi="Arial"/>
                <w:sz w:val="14"/>
                <w:szCs w:val="14"/>
                <w:b w:val="1"/>
                <w:bCs w:val="1"/>
                <w:color w:val="2360A6"/>
              </w:rPr>
              <w:t>TOTAL COMMITMENTS GIVEN</w:t>
            </w:r>
          </w:p>
        </w:tc>
        <w:tc>
          <w:tcPr>
            <w:tcW w:w="1160" w:type="dxa"/>
            <w:vAlign w:val="bottom"/>
            <w:tcBorders>
              <w:right w:val="single" w:sz="8" w:color="D2DEEC"/>
            </w:tcBorders>
            <w:shd w:val="clear" w:color="auto" w:fill="D2DEEC"/>
          </w:tcPr>
          <w:p>
            <w:pPr>
              <w:spacing w:after="0"/>
              <w:rPr>
                <w:sz w:val="15"/>
                <w:szCs w:val="15"/>
                <w:color w:val="auto"/>
              </w:rPr>
            </w:pPr>
          </w:p>
        </w:tc>
        <w:tc>
          <w:tcPr>
            <w:tcW w:w="120" w:type="dxa"/>
            <w:vAlign w:val="bottom"/>
            <w:tcBorders>
              <w:right w:val="single" w:sz="8" w:color="2360A6"/>
            </w:tcBorders>
            <w:shd w:val="clear" w:color="auto" w:fill="D2DEEC"/>
          </w:tcPr>
          <w:p>
            <w:pPr>
              <w:spacing w:after="0"/>
              <w:rPr>
                <w:sz w:val="15"/>
                <w:szCs w:val="15"/>
                <w:color w:val="auto"/>
              </w:rPr>
            </w:pPr>
          </w:p>
        </w:tc>
        <w:tc>
          <w:tcPr>
            <w:tcW w:w="960" w:type="dxa"/>
            <w:vAlign w:val="bottom"/>
            <w:tcBorders>
              <w:right w:val="single" w:sz="8" w:color="D2DEEC"/>
            </w:tcBorders>
            <w:shd w:val="clear" w:color="auto" w:fill="D2DEEC"/>
          </w:tcPr>
          <w:p>
            <w:pPr>
              <w:spacing w:after="0"/>
              <w:rPr>
                <w:sz w:val="15"/>
                <w:szCs w:val="15"/>
                <w:color w:val="auto"/>
              </w:rPr>
            </w:pPr>
          </w:p>
        </w:tc>
        <w:tc>
          <w:tcPr>
            <w:tcW w:w="300" w:type="dxa"/>
            <w:vAlign w:val="bottom"/>
            <w:tcBorders>
              <w:right w:val="single" w:sz="8" w:color="2360A6"/>
            </w:tcBorders>
            <w:shd w:val="clear" w:color="auto" w:fill="D2DEEC"/>
          </w:tcPr>
          <w:p>
            <w:pPr>
              <w:spacing w:after="0"/>
              <w:rPr>
                <w:sz w:val="15"/>
                <w:szCs w:val="15"/>
                <w:color w:val="auto"/>
              </w:rPr>
            </w:pPr>
          </w:p>
        </w:tc>
        <w:tc>
          <w:tcPr>
            <w:tcW w:w="400" w:type="dxa"/>
            <w:vAlign w:val="bottom"/>
            <w:shd w:val="clear" w:color="auto" w:fill="D2DEEC"/>
          </w:tcPr>
          <w:p>
            <w:pPr>
              <w:spacing w:after="0"/>
              <w:rPr>
                <w:sz w:val="15"/>
                <w:szCs w:val="15"/>
                <w:color w:val="auto"/>
              </w:rPr>
            </w:pPr>
          </w:p>
        </w:tc>
        <w:tc>
          <w:tcPr>
            <w:tcW w:w="900" w:type="dxa"/>
            <w:vAlign w:val="bottom"/>
            <w:tcBorders>
              <w:right w:val="single" w:sz="8" w:color="2360A6"/>
            </w:tcBorders>
            <w:shd w:val="clear" w:color="auto" w:fill="D2DEEC"/>
          </w:tcPr>
          <w:p>
            <w:pPr>
              <w:spacing w:after="0"/>
              <w:rPr>
                <w:sz w:val="15"/>
                <w:szCs w:val="15"/>
                <w:color w:val="auto"/>
              </w:rPr>
            </w:pPr>
          </w:p>
        </w:tc>
        <w:tc>
          <w:tcPr>
            <w:tcW w:w="600" w:type="dxa"/>
            <w:vAlign w:val="bottom"/>
            <w:shd w:val="clear" w:color="auto" w:fill="D2DEEC"/>
          </w:tcPr>
          <w:p>
            <w:pPr>
              <w:spacing w:after="0"/>
              <w:rPr>
                <w:sz w:val="15"/>
                <w:szCs w:val="15"/>
                <w:color w:val="auto"/>
              </w:rPr>
            </w:pPr>
          </w:p>
        </w:tc>
        <w:tc>
          <w:tcPr>
            <w:tcW w:w="120" w:type="dxa"/>
            <w:vAlign w:val="bottom"/>
            <w:tcBorders>
              <w:right w:val="single" w:sz="8" w:color="D2DEEC"/>
            </w:tcBorders>
            <w:shd w:val="clear" w:color="auto" w:fill="D2DEEC"/>
          </w:tcPr>
          <w:p>
            <w:pPr>
              <w:spacing w:after="0"/>
              <w:rPr>
                <w:sz w:val="15"/>
                <w:szCs w:val="15"/>
                <w:color w:val="auto"/>
              </w:rPr>
            </w:pPr>
          </w:p>
        </w:tc>
        <w:tc>
          <w:tcPr>
            <w:tcW w:w="220" w:type="dxa"/>
            <w:vAlign w:val="bottom"/>
            <w:tcBorders>
              <w:right w:val="single" w:sz="8" w:color="2360A6"/>
            </w:tcBorders>
            <w:shd w:val="clear" w:color="auto" w:fill="D2DEEC"/>
          </w:tcPr>
          <w:p>
            <w:pPr>
              <w:spacing w:after="0"/>
              <w:rPr>
                <w:sz w:val="15"/>
                <w:szCs w:val="15"/>
                <w:color w:val="auto"/>
              </w:rPr>
            </w:pPr>
          </w:p>
        </w:tc>
        <w:tc>
          <w:tcPr>
            <w:tcW w:w="1560" w:type="dxa"/>
            <w:vAlign w:val="bottom"/>
            <w:tcBorders>
              <w:right w:val="single" w:sz="8" w:color="D2DEEC"/>
            </w:tcBorders>
            <w:shd w:val="clear" w:color="auto" w:fill="D2DEEC"/>
          </w:tcPr>
          <w:p>
            <w:pPr>
              <w:spacing w:after="0"/>
              <w:rPr>
                <w:sz w:val="15"/>
                <w:szCs w:val="15"/>
                <w:color w:val="auto"/>
              </w:rPr>
            </w:pPr>
          </w:p>
        </w:tc>
        <w:tc>
          <w:tcPr>
            <w:tcW w:w="100" w:type="dxa"/>
            <w:vAlign w:val="bottom"/>
            <w:tcBorders>
              <w:right w:val="single" w:sz="8" w:color="2360A6"/>
            </w:tcBorders>
            <w:shd w:val="clear" w:color="auto" w:fill="D2DEEC"/>
          </w:tcPr>
          <w:p>
            <w:pPr>
              <w:spacing w:after="0"/>
              <w:rPr>
                <w:sz w:val="15"/>
                <w:szCs w:val="15"/>
                <w:color w:val="auto"/>
              </w:rPr>
            </w:pPr>
          </w:p>
        </w:tc>
        <w:tc>
          <w:tcPr>
            <w:tcW w:w="1660" w:type="dxa"/>
            <w:vAlign w:val="bottom"/>
            <w:tcBorders>
              <w:right w:val="single" w:sz="8" w:color="2360A6"/>
            </w:tcBorders>
            <w:shd w:val="clear" w:color="auto" w:fill="D2DEEC"/>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2460" w:type="dxa"/>
            <w:vAlign w:val="bottom"/>
            <w:tcBorders>
              <w:left w:val="single" w:sz="8" w:color="2360A6"/>
              <w:right w:val="single" w:sz="8" w:color="2360A6"/>
            </w:tcBorders>
            <w:gridSpan w:val="2"/>
            <w:shd w:val="clear" w:color="auto" w:fill="D2DEEC"/>
          </w:tcPr>
          <w:p>
            <w:pPr>
              <w:ind w:left="60"/>
              <w:spacing w:after="0"/>
              <w:rPr>
                <w:sz w:val="20"/>
                <w:szCs w:val="20"/>
                <w:color w:val="auto"/>
              </w:rPr>
            </w:pPr>
            <w:r>
              <w:rPr>
                <w:rFonts w:ascii="Arial" w:cs="Arial" w:eastAsia="Arial" w:hAnsi="Arial"/>
                <w:sz w:val="14"/>
                <w:szCs w:val="14"/>
                <w:b w:val="1"/>
                <w:bCs w:val="1"/>
                <w:color w:val="2360A6"/>
              </w:rPr>
              <w:t>RELATED TO OPERATING</w:t>
            </w:r>
          </w:p>
        </w:tc>
        <w:tc>
          <w:tcPr>
            <w:tcW w:w="1160" w:type="dxa"/>
            <w:vAlign w:val="bottom"/>
            <w:tcBorders>
              <w:right w:val="single" w:sz="8" w:color="D2DEEC"/>
            </w:tcBorders>
            <w:shd w:val="clear" w:color="auto" w:fill="D2DEEC"/>
          </w:tcPr>
          <w:p>
            <w:pPr>
              <w:spacing w:after="0"/>
              <w:rPr>
                <w:sz w:val="14"/>
                <w:szCs w:val="14"/>
                <w:color w:val="auto"/>
              </w:rPr>
            </w:pPr>
          </w:p>
        </w:tc>
        <w:tc>
          <w:tcPr>
            <w:tcW w:w="120" w:type="dxa"/>
            <w:vAlign w:val="bottom"/>
            <w:tcBorders>
              <w:right w:val="single" w:sz="8" w:color="2360A6"/>
            </w:tcBorders>
            <w:shd w:val="clear" w:color="auto" w:fill="D2DEEC"/>
          </w:tcPr>
          <w:p>
            <w:pPr>
              <w:spacing w:after="0"/>
              <w:rPr>
                <w:sz w:val="14"/>
                <w:szCs w:val="14"/>
                <w:color w:val="auto"/>
              </w:rPr>
            </w:pPr>
          </w:p>
        </w:tc>
        <w:tc>
          <w:tcPr>
            <w:tcW w:w="960" w:type="dxa"/>
            <w:vAlign w:val="bottom"/>
            <w:tcBorders>
              <w:right w:val="single" w:sz="8" w:color="D2DEEC"/>
            </w:tcBorders>
            <w:shd w:val="clear" w:color="auto" w:fill="D2DEEC"/>
          </w:tcPr>
          <w:p>
            <w:pPr>
              <w:spacing w:after="0"/>
              <w:rPr>
                <w:sz w:val="14"/>
                <w:szCs w:val="14"/>
                <w:color w:val="auto"/>
              </w:rPr>
            </w:pPr>
          </w:p>
        </w:tc>
        <w:tc>
          <w:tcPr>
            <w:tcW w:w="300" w:type="dxa"/>
            <w:vAlign w:val="bottom"/>
            <w:tcBorders>
              <w:right w:val="single" w:sz="8" w:color="2360A6"/>
            </w:tcBorders>
            <w:shd w:val="clear" w:color="auto" w:fill="D2DEEC"/>
          </w:tcPr>
          <w:p>
            <w:pPr>
              <w:spacing w:after="0"/>
              <w:rPr>
                <w:sz w:val="14"/>
                <w:szCs w:val="14"/>
                <w:color w:val="auto"/>
              </w:rPr>
            </w:pPr>
          </w:p>
        </w:tc>
        <w:tc>
          <w:tcPr>
            <w:tcW w:w="400" w:type="dxa"/>
            <w:vAlign w:val="bottom"/>
            <w:shd w:val="clear" w:color="auto" w:fill="D2DEEC"/>
          </w:tcPr>
          <w:p>
            <w:pPr>
              <w:spacing w:after="0"/>
              <w:rPr>
                <w:sz w:val="14"/>
                <w:szCs w:val="14"/>
                <w:color w:val="auto"/>
              </w:rPr>
            </w:pPr>
          </w:p>
        </w:tc>
        <w:tc>
          <w:tcPr>
            <w:tcW w:w="900" w:type="dxa"/>
            <w:vAlign w:val="bottom"/>
            <w:tcBorders>
              <w:right w:val="single" w:sz="8" w:color="2360A6"/>
            </w:tcBorders>
            <w:shd w:val="clear" w:color="auto" w:fill="D2DEEC"/>
          </w:tcPr>
          <w:p>
            <w:pPr>
              <w:spacing w:after="0"/>
              <w:rPr>
                <w:sz w:val="14"/>
                <w:szCs w:val="14"/>
                <w:color w:val="auto"/>
              </w:rPr>
            </w:pPr>
          </w:p>
        </w:tc>
        <w:tc>
          <w:tcPr>
            <w:tcW w:w="600" w:type="dxa"/>
            <w:vAlign w:val="bottom"/>
            <w:shd w:val="clear" w:color="auto" w:fill="D2DEEC"/>
          </w:tcPr>
          <w:p>
            <w:pPr>
              <w:spacing w:after="0"/>
              <w:rPr>
                <w:sz w:val="14"/>
                <w:szCs w:val="14"/>
                <w:color w:val="auto"/>
              </w:rPr>
            </w:pPr>
          </w:p>
        </w:tc>
        <w:tc>
          <w:tcPr>
            <w:tcW w:w="120" w:type="dxa"/>
            <w:vAlign w:val="bottom"/>
            <w:tcBorders>
              <w:right w:val="single" w:sz="8" w:color="D2DEEC"/>
            </w:tcBorders>
            <w:shd w:val="clear" w:color="auto" w:fill="D2DEEC"/>
          </w:tcPr>
          <w:p>
            <w:pPr>
              <w:spacing w:after="0"/>
              <w:rPr>
                <w:sz w:val="14"/>
                <w:szCs w:val="14"/>
                <w:color w:val="auto"/>
              </w:rPr>
            </w:pPr>
          </w:p>
        </w:tc>
        <w:tc>
          <w:tcPr>
            <w:tcW w:w="220" w:type="dxa"/>
            <w:vAlign w:val="bottom"/>
            <w:tcBorders>
              <w:right w:val="single" w:sz="8" w:color="2360A6"/>
            </w:tcBorders>
            <w:shd w:val="clear" w:color="auto" w:fill="D2DEEC"/>
          </w:tcPr>
          <w:p>
            <w:pPr>
              <w:spacing w:after="0"/>
              <w:rPr>
                <w:sz w:val="14"/>
                <w:szCs w:val="14"/>
                <w:color w:val="auto"/>
              </w:rPr>
            </w:pPr>
          </w:p>
        </w:tc>
        <w:tc>
          <w:tcPr>
            <w:tcW w:w="1560" w:type="dxa"/>
            <w:vAlign w:val="bottom"/>
            <w:tcBorders>
              <w:right w:val="single" w:sz="8" w:color="D2DEEC"/>
            </w:tcBorders>
            <w:shd w:val="clear" w:color="auto" w:fill="D2DEEC"/>
          </w:tcPr>
          <w:p>
            <w:pPr>
              <w:spacing w:after="0"/>
              <w:rPr>
                <w:sz w:val="14"/>
                <w:szCs w:val="14"/>
                <w:color w:val="auto"/>
              </w:rPr>
            </w:pPr>
          </w:p>
        </w:tc>
        <w:tc>
          <w:tcPr>
            <w:tcW w:w="100" w:type="dxa"/>
            <w:vAlign w:val="bottom"/>
            <w:tcBorders>
              <w:right w:val="single" w:sz="8" w:color="2360A6"/>
            </w:tcBorders>
            <w:shd w:val="clear" w:color="auto" w:fill="D2DEEC"/>
          </w:tcPr>
          <w:p>
            <w:pPr>
              <w:spacing w:after="0"/>
              <w:rPr>
                <w:sz w:val="14"/>
                <w:szCs w:val="14"/>
                <w:color w:val="auto"/>
              </w:rPr>
            </w:pPr>
          </w:p>
        </w:tc>
        <w:tc>
          <w:tcPr>
            <w:tcW w:w="1660" w:type="dxa"/>
            <w:vAlign w:val="bottom"/>
            <w:tcBorders>
              <w:right w:val="single" w:sz="8" w:color="2360A6"/>
            </w:tcBorders>
            <w:shd w:val="clear" w:color="auto" w:fill="D2DEEC"/>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460" w:type="dxa"/>
            <w:vAlign w:val="bottom"/>
            <w:tcBorders>
              <w:left w:val="single" w:sz="8" w:color="2360A6"/>
              <w:bottom w:val="single" w:sz="8" w:color="2360A6"/>
              <w:right w:val="single" w:sz="8" w:color="2360A6"/>
            </w:tcBorders>
            <w:gridSpan w:val="2"/>
            <w:shd w:val="clear" w:color="auto" w:fill="D2DEEC"/>
          </w:tcPr>
          <w:p>
            <w:pPr>
              <w:ind w:left="60"/>
              <w:spacing w:after="0"/>
              <w:rPr>
                <w:sz w:val="20"/>
                <w:szCs w:val="20"/>
                <w:color w:val="auto"/>
              </w:rPr>
            </w:pPr>
            <w:r>
              <w:rPr>
                <w:rFonts w:ascii="Arial" w:cs="Arial" w:eastAsia="Arial" w:hAnsi="Arial"/>
                <w:sz w:val="14"/>
                <w:szCs w:val="14"/>
                <w:b w:val="1"/>
                <w:bCs w:val="1"/>
                <w:color w:val="2360A6"/>
              </w:rPr>
              <w:t>ACTIVITIES</w:t>
            </w:r>
          </w:p>
        </w:tc>
        <w:tc>
          <w:tcPr>
            <w:tcW w:w="1160" w:type="dxa"/>
            <w:vAlign w:val="bottom"/>
            <w:tcBorders>
              <w:bottom w:val="single" w:sz="8" w:color="2360A6"/>
              <w:right w:val="single" w:sz="8" w:color="D2DEEC"/>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37,558.1</w:t>
            </w:r>
          </w:p>
        </w:tc>
        <w:tc>
          <w:tcPr>
            <w:tcW w:w="120" w:type="dxa"/>
            <w:vAlign w:val="bottom"/>
            <w:tcBorders>
              <w:bottom w:val="single" w:sz="8" w:color="2360A6"/>
              <w:right w:val="single" w:sz="8" w:color="2360A6"/>
            </w:tcBorders>
            <w:shd w:val="clear" w:color="auto" w:fill="D2DEEC"/>
          </w:tcPr>
          <w:p>
            <w:pPr>
              <w:spacing w:after="0"/>
              <w:rPr>
                <w:sz w:val="17"/>
                <w:szCs w:val="17"/>
                <w:color w:val="auto"/>
              </w:rPr>
            </w:pPr>
          </w:p>
        </w:tc>
        <w:tc>
          <w:tcPr>
            <w:tcW w:w="1260" w:type="dxa"/>
            <w:vAlign w:val="bottom"/>
            <w:tcBorders>
              <w:bottom w:val="single" w:sz="8" w:color="2360A6"/>
              <w:right w:val="single" w:sz="8" w:color="2360A6"/>
            </w:tcBorders>
            <w:gridSpan w:val="2"/>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40,959.2</w:t>
            </w:r>
          </w:p>
        </w:tc>
        <w:tc>
          <w:tcPr>
            <w:tcW w:w="400" w:type="dxa"/>
            <w:vAlign w:val="bottom"/>
            <w:tcBorders>
              <w:bottom w:val="single" w:sz="8" w:color="2360A6"/>
            </w:tcBorders>
            <w:shd w:val="clear" w:color="auto" w:fill="D2DEEC"/>
          </w:tcPr>
          <w:p>
            <w:pPr>
              <w:spacing w:after="0"/>
              <w:rPr>
                <w:sz w:val="17"/>
                <w:szCs w:val="17"/>
                <w:color w:val="auto"/>
              </w:rPr>
            </w:pPr>
          </w:p>
        </w:tc>
        <w:tc>
          <w:tcPr>
            <w:tcW w:w="900" w:type="dxa"/>
            <w:vAlign w:val="bottom"/>
            <w:tcBorders>
              <w:bottom w:val="single" w:sz="8" w:color="2360A6"/>
              <w:right w:val="single" w:sz="8" w:color="2360A6"/>
            </w:tcBorders>
            <w:shd w:val="clear" w:color="auto" w:fill="D2DEEC"/>
          </w:tcPr>
          <w:p>
            <w:pPr>
              <w:jc w:val="right"/>
              <w:ind w:right="88"/>
              <w:spacing w:after="0"/>
              <w:rPr>
                <w:sz w:val="20"/>
                <w:szCs w:val="20"/>
                <w:color w:val="auto"/>
              </w:rPr>
            </w:pPr>
            <w:r>
              <w:rPr>
                <w:rFonts w:ascii="Arial" w:cs="Arial" w:eastAsia="Arial" w:hAnsi="Arial"/>
                <w:sz w:val="14"/>
                <w:szCs w:val="14"/>
                <w:b w:val="1"/>
                <w:bCs w:val="1"/>
                <w:color w:val="2360A6"/>
              </w:rPr>
              <w:t>2,270.6</w:t>
            </w:r>
          </w:p>
        </w:tc>
        <w:tc>
          <w:tcPr>
            <w:tcW w:w="940" w:type="dxa"/>
            <w:vAlign w:val="bottom"/>
            <w:tcBorders>
              <w:bottom w:val="single" w:sz="8" w:color="2360A6"/>
              <w:right w:val="single" w:sz="8" w:color="2360A6"/>
            </w:tcBorders>
            <w:gridSpan w:val="3"/>
            <w:shd w:val="clear" w:color="auto" w:fill="D2DEEC"/>
          </w:tcPr>
          <w:p>
            <w:pPr>
              <w:jc w:val="right"/>
              <w:ind w:right="140"/>
              <w:spacing w:after="0"/>
              <w:rPr>
                <w:sz w:val="20"/>
                <w:szCs w:val="20"/>
                <w:color w:val="auto"/>
              </w:rPr>
            </w:pPr>
            <w:r>
              <w:rPr>
                <w:rFonts w:ascii="Arial" w:cs="Arial" w:eastAsia="Arial" w:hAnsi="Arial"/>
                <w:sz w:val="14"/>
                <w:szCs w:val="14"/>
                <w:b w:val="1"/>
                <w:bCs w:val="1"/>
                <w:color w:val="2360A6"/>
              </w:rPr>
              <w:t>80,787.9</w:t>
            </w:r>
          </w:p>
        </w:tc>
        <w:tc>
          <w:tcPr>
            <w:tcW w:w="1560" w:type="dxa"/>
            <w:vAlign w:val="bottom"/>
            <w:tcBorders>
              <w:bottom w:val="single" w:sz="8" w:color="2360A6"/>
              <w:right w:val="single" w:sz="8" w:color="D2DEEC"/>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77,665.1</w:t>
            </w:r>
          </w:p>
        </w:tc>
        <w:tc>
          <w:tcPr>
            <w:tcW w:w="100" w:type="dxa"/>
            <w:vAlign w:val="bottom"/>
            <w:tcBorders>
              <w:bottom w:val="single" w:sz="8" w:color="2360A6"/>
              <w:right w:val="single" w:sz="8" w:color="2360A6"/>
            </w:tcBorders>
            <w:shd w:val="clear" w:color="auto" w:fill="D2DEEC"/>
          </w:tcPr>
          <w:p>
            <w:pPr>
              <w:spacing w:after="0"/>
              <w:rPr>
                <w:sz w:val="17"/>
                <w:szCs w:val="17"/>
                <w:color w:val="auto"/>
              </w:rPr>
            </w:pPr>
          </w:p>
        </w:tc>
        <w:tc>
          <w:tcPr>
            <w:tcW w:w="16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74,627</w:t>
            </w:r>
          </w:p>
        </w:tc>
        <w:tc>
          <w:tcPr>
            <w:tcW w:w="20" w:type="dxa"/>
            <w:vAlign w:val="bottom"/>
          </w:tcPr>
          <w:p>
            <w:pPr>
              <w:spacing w:after="0"/>
              <w:rPr>
                <w:sz w:val="17"/>
                <w:szCs w:val="17"/>
                <w:color w:val="auto"/>
              </w:rPr>
            </w:pPr>
          </w:p>
        </w:tc>
      </w:tr>
      <w:tr>
        <w:trPr>
          <w:trHeight w:val="179"/>
        </w:trPr>
        <w:tc>
          <w:tcPr>
            <w:tcW w:w="20" w:type="dxa"/>
            <w:vAlign w:val="bottom"/>
          </w:tcPr>
          <w:p>
            <w:pPr>
              <w:spacing w:after="0"/>
              <w:rPr>
                <w:sz w:val="15"/>
                <w:szCs w:val="15"/>
                <w:color w:val="auto"/>
              </w:rPr>
            </w:pPr>
          </w:p>
        </w:tc>
        <w:tc>
          <w:tcPr>
            <w:tcW w:w="2460" w:type="dxa"/>
            <w:vAlign w:val="bottom"/>
            <w:tcBorders>
              <w:left w:val="single" w:sz="8" w:color="2360A6"/>
              <w:right w:val="single" w:sz="8" w:color="2360A6"/>
            </w:tcBorders>
            <w:gridSpan w:val="2"/>
          </w:tcPr>
          <w:p>
            <w:pPr>
              <w:ind w:left="60"/>
              <w:spacing w:after="0"/>
              <w:rPr>
                <w:sz w:val="20"/>
                <w:szCs w:val="20"/>
                <w:color w:val="auto"/>
              </w:rPr>
            </w:pPr>
            <w:r>
              <w:rPr>
                <w:rFonts w:ascii="Arial" w:cs="Arial" w:eastAsia="Arial" w:hAnsi="Arial"/>
                <w:sz w:val="14"/>
                <w:szCs w:val="14"/>
                <w:i w:val="1"/>
                <w:iCs w:val="1"/>
                <w:color w:val="231F20"/>
              </w:rPr>
              <w:t>Of which commitments given relating</w:t>
            </w:r>
          </w:p>
        </w:tc>
        <w:tc>
          <w:tcPr>
            <w:tcW w:w="1160" w:type="dxa"/>
            <w:vAlign w:val="bottom"/>
            <w:tcBorders>
              <w:right w:val="single" w:sz="8" w:color="EDEDEE"/>
            </w:tcBorders>
            <w:shd w:val="clear" w:color="auto" w:fill="EDEDEE"/>
          </w:tcPr>
          <w:p>
            <w:pPr>
              <w:spacing w:after="0"/>
              <w:rPr>
                <w:sz w:val="15"/>
                <w:szCs w:val="15"/>
                <w:color w:val="auto"/>
              </w:rPr>
            </w:pPr>
          </w:p>
        </w:tc>
        <w:tc>
          <w:tcPr>
            <w:tcW w:w="120" w:type="dxa"/>
            <w:vAlign w:val="bottom"/>
            <w:tcBorders>
              <w:right w:val="single" w:sz="8" w:color="2360A6"/>
            </w:tcBorders>
            <w:shd w:val="clear" w:color="auto" w:fill="EDEDEE"/>
          </w:tcPr>
          <w:p>
            <w:pPr>
              <w:spacing w:after="0"/>
              <w:rPr>
                <w:sz w:val="15"/>
                <w:szCs w:val="15"/>
                <w:color w:val="auto"/>
              </w:rPr>
            </w:pPr>
          </w:p>
        </w:tc>
        <w:tc>
          <w:tcPr>
            <w:tcW w:w="960" w:type="dxa"/>
            <w:vAlign w:val="bottom"/>
            <w:tcBorders>
              <w:right w:val="single" w:sz="8" w:color="EDEDEE"/>
            </w:tcBorders>
            <w:shd w:val="clear" w:color="auto" w:fill="EDEDEE"/>
          </w:tcPr>
          <w:p>
            <w:pPr>
              <w:spacing w:after="0"/>
              <w:rPr>
                <w:sz w:val="15"/>
                <w:szCs w:val="15"/>
                <w:color w:val="auto"/>
              </w:rPr>
            </w:pPr>
          </w:p>
        </w:tc>
        <w:tc>
          <w:tcPr>
            <w:tcW w:w="300" w:type="dxa"/>
            <w:vAlign w:val="bottom"/>
            <w:tcBorders>
              <w:right w:val="single" w:sz="8" w:color="2360A6"/>
            </w:tcBorders>
            <w:shd w:val="clear" w:color="auto" w:fill="EDEDEE"/>
          </w:tcPr>
          <w:p>
            <w:pPr>
              <w:spacing w:after="0"/>
              <w:rPr>
                <w:sz w:val="15"/>
                <w:szCs w:val="15"/>
                <w:color w:val="auto"/>
              </w:rPr>
            </w:pPr>
          </w:p>
        </w:tc>
        <w:tc>
          <w:tcPr>
            <w:tcW w:w="400" w:type="dxa"/>
            <w:vAlign w:val="bottom"/>
            <w:shd w:val="clear" w:color="auto" w:fill="EDEDEE"/>
          </w:tcPr>
          <w:p>
            <w:pPr>
              <w:spacing w:after="0"/>
              <w:rPr>
                <w:sz w:val="15"/>
                <w:szCs w:val="15"/>
                <w:color w:val="auto"/>
              </w:rPr>
            </w:pPr>
          </w:p>
        </w:tc>
        <w:tc>
          <w:tcPr>
            <w:tcW w:w="900" w:type="dxa"/>
            <w:vAlign w:val="bottom"/>
            <w:tcBorders>
              <w:right w:val="single" w:sz="8" w:color="2360A6"/>
            </w:tcBorders>
            <w:shd w:val="clear" w:color="auto" w:fill="EDEDEE"/>
          </w:tcPr>
          <w:p>
            <w:pPr>
              <w:spacing w:after="0"/>
              <w:rPr>
                <w:sz w:val="15"/>
                <w:szCs w:val="15"/>
                <w:color w:val="auto"/>
              </w:rPr>
            </w:pPr>
          </w:p>
        </w:tc>
        <w:tc>
          <w:tcPr>
            <w:tcW w:w="600" w:type="dxa"/>
            <w:vAlign w:val="bottom"/>
            <w:shd w:val="clear" w:color="auto" w:fill="EDEDEE"/>
          </w:tcPr>
          <w:p>
            <w:pPr>
              <w:spacing w:after="0"/>
              <w:rPr>
                <w:sz w:val="15"/>
                <w:szCs w:val="15"/>
                <w:color w:val="auto"/>
              </w:rPr>
            </w:pPr>
          </w:p>
        </w:tc>
        <w:tc>
          <w:tcPr>
            <w:tcW w:w="120" w:type="dxa"/>
            <w:vAlign w:val="bottom"/>
            <w:tcBorders>
              <w:right w:val="single" w:sz="8" w:color="EDEDEE"/>
            </w:tcBorders>
            <w:shd w:val="clear" w:color="auto" w:fill="EDEDEE"/>
          </w:tcPr>
          <w:p>
            <w:pPr>
              <w:spacing w:after="0"/>
              <w:rPr>
                <w:sz w:val="15"/>
                <w:szCs w:val="15"/>
                <w:color w:val="auto"/>
              </w:rPr>
            </w:pPr>
          </w:p>
        </w:tc>
        <w:tc>
          <w:tcPr>
            <w:tcW w:w="220" w:type="dxa"/>
            <w:vAlign w:val="bottom"/>
            <w:tcBorders>
              <w:right w:val="single" w:sz="8" w:color="2360A6"/>
            </w:tcBorders>
            <w:shd w:val="clear" w:color="auto" w:fill="EDEDEE"/>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Borders>
              <w:right w:val="single" w:sz="8" w:color="2360A6"/>
            </w:tcBorders>
          </w:tcPr>
          <w:p>
            <w:pPr>
              <w:spacing w:after="0"/>
              <w:rPr>
                <w:sz w:val="15"/>
                <w:szCs w:val="15"/>
                <w:color w:val="auto"/>
              </w:rPr>
            </w:pPr>
          </w:p>
        </w:tc>
        <w:tc>
          <w:tcPr>
            <w:tcW w:w="1660" w:type="dxa"/>
            <w:vAlign w:val="bottom"/>
            <w:tcBorders>
              <w:right w:val="single" w:sz="8" w:color="2360A6"/>
            </w:tcBorders>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2460" w:type="dxa"/>
            <w:vAlign w:val="bottom"/>
            <w:tcBorders>
              <w:left w:val="single" w:sz="8" w:color="2360A6"/>
              <w:bottom w:val="single" w:sz="8" w:color="2360A6"/>
              <w:right w:val="single" w:sz="8" w:color="2360A6"/>
            </w:tcBorders>
            <w:gridSpan w:val="2"/>
          </w:tcPr>
          <w:p>
            <w:pPr>
              <w:ind w:left="60"/>
              <w:spacing w:after="0"/>
              <w:rPr>
                <w:sz w:val="20"/>
                <w:szCs w:val="20"/>
                <w:color w:val="auto"/>
              </w:rPr>
            </w:pPr>
            <w:r>
              <w:rPr>
                <w:rFonts w:ascii="Arial" w:cs="Arial" w:eastAsia="Arial" w:hAnsi="Arial"/>
                <w:sz w:val="14"/>
                <w:szCs w:val="14"/>
                <w:i w:val="1"/>
                <w:iCs w:val="1"/>
                <w:color w:val="231F20"/>
              </w:rPr>
              <w:t>to Joint Operations</w:t>
            </w:r>
          </w:p>
        </w:tc>
        <w:tc>
          <w:tcPr>
            <w:tcW w:w="1160" w:type="dxa"/>
            <w:vAlign w:val="bottom"/>
            <w:tcBorders>
              <w:bottom w:val="single" w:sz="8" w:color="2360A6"/>
              <w:right w:val="single" w:sz="8" w:color="EDEDEE"/>
            </w:tcBorders>
            <w:shd w:val="clear" w:color="auto" w:fill="EDEDEE"/>
          </w:tcPr>
          <w:p>
            <w:pPr>
              <w:jc w:val="right"/>
              <w:spacing w:after="0"/>
              <w:rPr>
                <w:sz w:val="20"/>
                <w:szCs w:val="20"/>
                <w:color w:val="auto"/>
              </w:rPr>
            </w:pPr>
            <w:r>
              <w:rPr>
                <w:rFonts w:ascii="Arial" w:cs="Arial" w:eastAsia="Arial" w:hAnsi="Arial"/>
                <w:sz w:val="14"/>
                <w:szCs w:val="14"/>
                <w:i w:val="1"/>
                <w:iCs w:val="1"/>
                <w:color w:val="231F20"/>
              </w:rPr>
              <w:t>1,076.6</w:t>
            </w:r>
          </w:p>
        </w:tc>
        <w:tc>
          <w:tcPr>
            <w:tcW w:w="120" w:type="dxa"/>
            <w:vAlign w:val="bottom"/>
            <w:tcBorders>
              <w:bottom w:val="single" w:sz="8" w:color="2360A6"/>
              <w:right w:val="single" w:sz="8" w:color="2360A6"/>
            </w:tcBorders>
            <w:shd w:val="clear" w:color="auto" w:fill="EDEDEE"/>
          </w:tcPr>
          <w:p>
            <w:pPr>
              <w:spacing w:after="0"/>
              <w:rPr>
                <w:sz w:val="16"/>
                <w:szCs w:val="16"/>
                <w:color w:val="auto"/>
              </w:rPr>
            </w:pPr>
          </w:p>
        </w:tc>
        <w:tc>
          <w:tcPr>
            <w:tcW w:w="1260" w:type="dxa"/>
            <w:vAlign w:val="bottom"/>
            <w:tcBorders>
              <w:bottom w:val="single" w:sz="8" w:color="2360A6"/>
              <w:right w:val="single" w:sz="8" w:color="2360A6"/>
            </w:tcBorders>
            <w:gridSpan w:val="2"/>
            <w:shd w:val="clear" w:color="auto" w:fill="EDEDEE"/>
          </w:tcPr>
          <w:p>
            <w:pPr>
              <w:jc w:val="right"/>
              <w:ind w:right="48"/>
              <w:spacing w:after="0"/>
              <w:rPr>
                <w:sz w:val="20"/>
                <w:szCs w:val="20"/>
                <w:color w:val="auto"/>
              </w:rPr>
            </w:pPr>
            <w:r>
              <w:rPr>
                <w:rFonts w:ascii="Arial" w:cs="Arial" w:eastAsia="Arial" w:hAnsi="Arial"/>
                <w:sz w:val="14"/>
                <w:szCs w:val="14"/>
                <w:i w:val="1"/>
                <w:iCs w:val="1"/>
                <w:color w:val="231F20"/>
              </w:rPr>
              <w:t>1.8</w:t>
            </w:r>
          </w:p>
        </w:tc>
        <w:tc>
          <w:tcPr>
            <w:tcW w:w="400" w:type="dxa"/>
            <w:vAlign w:val="bottom"/>
            <w:tcBorders>
              <w:bottom w:val="single" w:sz="8" w:color="2360A6"/>
            </w:tcBorders>
            <w:shd w:val="clear" w:color="auto" w:fill="EDEDEE"/>
          </w:tcPr>
          <w:p>
            <w:pPr>
              <w:spacing w:after="0"/>
              <w:rPr>
                <w:sz w:val="16"/>
                <w:szCs w:val="16"/>
                <w:color w:val="auto"/>
              </w:rPr>
            </w:pPr>
          </w:p>
        </w:tc>
        <w:tc>
          <w:tcPr>
            <w:tcW w:w="900" w:type="dxa"/>
            <w:vAlign w:val="bottom"/>
            <w:tcBorders>
              <w:bottom w:val="single" w:sz="8" w:color="2360A6"/>
              <w:right w:val="single" w:sz="8" w:color="2360A6"/>
            </w:tcBorders>
            <w:shd w:val="clear" w:color="auto" w:fill="EDEDEE"/>
          </w:tcPr>
          <w:p>
            <w:pPr>
              <w:jc w:val="right"/>
              <w:ind w:right="88"/>
              <w:spacing w:after="0"/>
              <w:rPr>
                <w:sz w:val="20"/>
                <w:szCs w:val="20"/>
                <w:color w:val="auto"/>
              </w:rPr>
            </w:pPr>
            <w:r>
              <w:rPr>
                <w:rFonts w:ascii="Arial" w:cs="Arial" w:eastAsia="Arial" w:hAnsi="Arial"/>
                <w:sz w:val="14"/>
                <w:szCs w:val="14"/>
                <w:i w:val="1"/>
                <w:iCs w:val="1"/>
                <w:color w:val="231F20"/>
              </w:rPr>
              <w:t>—</w:t>
            </w:r>
          </w:p>
        </w:tc>
        <w:tc>
          <w:tcPr>
            <w:tcW w:w="940" w:type="dxa"/>
            <w:vAlign w:val="bottom"/>
            <w:tcBorders>
              <w:bottom w:val="single" w:sz="8" w:color="2360A6"/>
              <w:right w:val="single" w:sz="8" w:color="2360A6"/>
            </w:tcBorders>
            <w:gridSpan w:val="3"/>
            <w:shd w:val="clear" w:color="auto" w:fill="EDEDEE"/>
          </w:tcPr>
          <w:p>
            <w:pPr>
              <w:jc w:val="right"/>
              <w:ind w:right="140"/>
              <w:spacing w:after="0"/>
              <w:rPr>
                <w:sz w:val="20"/>
                <w:szCs w:val="20"/>
                <w:color w:val="auto"/>
              </w:rPr>
            </w:pPr>
            <w:r>
              <w:rPr>
                <w:rFonts w:ascii="Arial" w:cs="Arial" w:eastAsia="Arial" w:hAnsi="Arial"/>
                <w:sz w:val="14"/>
                <w:szCs w:val="14"/>
                <w:i w:val="1"/>
                <w:iCs w:val="1"/>
                <w:color w:val="231F20"/>
              </w:rPr>
              <w:t>1,078.4</w:t>
            </w:r>
          </w:p>
        </w:tc>
        <w:tc>
          <w:tcPr>
            <w:tcW w:w="1560" w:type="dxa"/>
            <w:vAlign w:val="bottom"/>
            <w:tcBorders>
              <w:bottom w:val="single" w:sz="8" w:color="2360A6"/>
            </w:tcBorders>
          </w:tcPr>
          <w:p>
            <w:pPr>
              <w:jc w:val="right"/>
              <w:spacing w:after="0"/>
              <w:rPr>
                <w:sz w:val="20"/>
                <w:szCs w:val="20"/>
                <w:color w:val="auto"/>
              </w:rPr>
            </w:pPr>
            <w:r>
              <w:rPr>
                <w:rFonts w:ascii="Arial" w:cs="Arial" w:eastAsia="Arial" w:hAnsi="Arial"/>
                <w:sz w:val="14"/>
                <w:szCs w:val="14"/>
                <w:i w:val="1"/>
                <w:iCs w:val="1"/>
                <w:color w:val="231F20"/>
              </w:rPr>
              <w:t>18,745.8</w:t>
            </w:r>
          </w:p>
        </w:tc>
        <w:tc>
          <w:tcPr>
            <w:tcW w:w="100" w:type="dxa"/>
            <w:vAlign w:val="bottom"/>
            <w:tcBorders>
              <w:bottom w:val="single" w:sz="8" w:color="2360A6"/>
              <w:right w:val="single" w:sz="8" w:color="2360A6"/>
            </w:tcBorders>
          </w:tcPr>
          <w:p>
            <w:pPr>
              <w:spacing w:after="0"/>
              <w:rPr>
                <w:sz w:val="16"/>
                <w:szCs w:val="16"/>
                <w:color w:val="auto"/>
              </w:rPr>
            </w:pPr>
          </w:p>
        </w:tc>
        <w:tc>
          <w:tcPr>
            <w:tcW w:w="16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i w:val="1"/>
                <w:iCs w:val="1"/>
                <w:color w:val="231F20"/>
              </w:rPr>
              <w:t>21,477.7</w:t>
            </w:r>
          </w:p>
        </w:tc>
        <w:tc>
          <w:tcPr>
            <w:tcW w:w="20" w:type="dxa"/>
            <w:vAlign w:val="bottom"/>
          </w:tcPr>
          <w:p>
            <w:pPr>
              <w:spacing w:after="0"/>
              <w:rPr>
                <w:sz w:val="16"/>
                <w:szCs w:val="16"/>
                <w:color w:val="auto"/>
              </w:rPr>
            </w:pPr>
          </w:p>
        </w:tc>
      </w:tr>
      <w:tr>
        <w:trPr>
          <w:trHeight w:val="135"/>
        </w:trPr>
        <w:tc>
          <w:tcPr>
            <w:tcW w:w="20" w:type="dxa"/>
            <w:vAlign w:val="bottom"/>
            <w:tcBorders>
              <w:bottom w:val="single" w:sz="8" w:color="2360A6"/>
            </w:tcBorders>
          </w:tcPr>
          <w:p>
            <w:pPr>
              <w:spacing w:after="0"/>
              <w:rPr>
                <w:sz w:val="11"/>
                <w:szCs w:val="11"/>
                <w:color w:val="auto"/>
              </w:rPr>
            </w:pPr>
          </w:p>
        </w:tc>
        <w:tc>
          <w:tcPr>
            <w:tcW w:w="2340" w:type="dxa"/>
            <w:vAlign w:val="bottom"/>
            <w:tcBorders>
              <w:bottom w:val="single" w:sz="8" w:color="2360A6"/>
            </w:tcBorders>
          </w:tcPr>
          <w:p>
            <w:pPr>
              <w:spacing w:after="0"/>
              <w:rPr>
                <w:sz w:val="11"/>
                <w:szCs w:val="11"/>
                <w:color w:val="auto"/>
              </w:rPr>
            </w:pPr>
          </w:p>
        </w:tc>
        <w:tc>
          <w:tcPr>
            <w:tcW w:w="120" w:type="dxa"/>
            <w:vAlign w:val="bottom"/>
            <w:tcBorders>
              <w:bottom w:val="single" w:sz="8" w:color="2360A6"/>
            </w:tcBorders>
          </w:tcPr>
          <w:p>
            <w:pPr>
              <w:spacing w:after="0"/>
              <w:rPr>
                <w:sz w:val="11"/>
                <w:szCs w:val="11"/>
                <w:color w:val="auto"/>
              </w:rPr>
            </w:pPr>
          </w:p>
        </w:tc>
        <w:tc>
          <w:tcPr>
            <w:tcW w:w="1160" w:type="dxa"/>
            <w:vAlign w:val="bottom"/>
            <w:tcBorders>
              <w:bottom w:val="single" w:sz="8" w:color="2360A6"/>
            </w:tcBorders>
          </w:tcPr>
          <w:p>
            <w:pPr>
              <w:spacing w:after="0"/>
              <w:rPr>
                <w:sz w:val="11"/>
                <w:szCs w:val="11"/>
                <w:color w:val="auto"/>
              </w:rPr>
            </w:pPr>
          </w:p>
        </w:tc>
        <w:tc>
          <w:tcPr>
            <w:tcW w:w="120" w:type="dxa"/>
            <w:vAlign w:val="bottom"/>
            <w:tcBorders>
              <w:bottom w:val="single" w:sz="8" w:color="2360A6"/>
            </w:tcBorders>
          </w:tcPr>
          <w:p>
            <w:pPr>
              <w:spacing w:after="0"/>
              <w:rPr>
                <w:sz w:val="11"/>
                <w:szCs w:val="11"/>
                <w:color w:val="auto"/>
              </w:rPr>
            </w:pPr>
          </w:p>
        </w:tc>
        <w:tc>
          <w:tcPr>
            <w:tcW w:w="960" w:type="dxa"/>
            <w:vAlign w:val="bottom"/>
            <w:tcBorders>
              <w:bottom w:val="single" w:sz="8" w:color="2360A6"/>
            </w:tcBorders>
          </w:tcPr>
          <w:p>
            <w:pPr>
              <w:spacing w:after="0"/>
              <w:rPr>
                <w:sz w:val="11"/>
                <w:szCs w:val="11"/>
                <w:color w:val="auto"/>
              </w:rPr>
            </w:pPr>
          </w:p>
        </w:tc>
        <w:tc>
          <w:tcPr>
            <w:tcW w:w="300" w:type="dxa"/>
            <w:vAlign w:val="bottom"/>
            <w:tcBorders>
              <w:bottom w:val="single" w:sz="8" w:color="2360A6"/>
            </w:tcBorders>
          </w:tcPr>
          <w:p>
            <w:pPr>
              <w:spacing w:after="0"/>
              <w:rPr>
                <w:sz w:val="11"/>
                <w:szCs w:val="11"/>
                <w:color w:val="auto"/>
              </w:rPr>
            </w:pPr>
          </w:p>
        </w:tc>
        <w:tc>
          <w:tcPr>
            <w:tcW w:w="400" w:type="dxa"/>
            <w:vAlign w:val="bottom"/>
            <w:tcBorders>
              <w:bottom w:val="single" w:sz="8" w:color="2360A6"/>
            </w:tcBorders>
          </w:tcPr>
          <w:p>
            <w:pPr>
              <w:spacing w:after="0"/>
              <w:rPr>
                <w:sz w:val="11"/>
                <w:szCs w:val="11"/>
                <w:color w:val="auto"/>
              </w:rPr>
            </w:pPr>
          </w:p>
        </w:tc>
        <w:tc>
          <w:tcPr>
            <w:tcW w:w="900" w:type="dxa"/>
            <w:vAlign w:val="bottom"/>
            <w:tcBorders>
              <w:bottom w:val="single" w:sz="8" w:color="2360A6"/>
            </w:tcBorders>
          </w:tcPr>
          <w:p>
            <w:pPr>
              <w:spacing w:after="0"/>
              <w:rPr>
                <w:sz w:val="11"/>
                <w:szCs w:val="11"/>
                <w:color w:val="auto"/>
              </w:rPr>
            </w:pPr>
          </w:p>
        </w:tc>
        <w:tc>
          <w:tcPr>
            <w:tcW w:w="600" w:type="dxa"/>
            <w:vAlign w:val="bottom"/>
            <w:tcBorders>
              <w:bottom w:val="single" w:sz="8" w:color="2360A6"/>
            </w:tcBorders>
          </w:tcPr>
          <w:p>
            <w:pPr>
              <w:spacing w:after="0"/>
              <w:rPr>
                <w:sz w:val="11"/>
                <w:szCs w:val="11"/>
                <w:color w:val="auto"/>
              </w:rPr>
            </w:pPr>
          </w:p>
        </w:tc>
        <w:tc>
          <w:tcPr>
            <w:tcW w:w="120" w:type="dxa"/>
            <w:vAlign w:val="bottom"/>
            <w:tcBorders>
              <w:bottom w:val="single" w:sz="8" w:color="2360A6"/>
            </w:tcBorders>
          </w:tcPr>
          <w:p>
            <w:pPr>
              <w:spacing w:after="0"/>
              <w:rPr>
                <w:sz w:val="11"/>
                <w:szCs w:val="11"/>
                <w:color w:val="auto"/>
              </w:rPr>
            </w:pPr>
          </w:p>
        </w:tc>
        <w:tc>
          <w:tcPr>
            <w:tcW w:w="220" w:type="dxa"/>
            <w:vAlign w:val="bottom"/>
            <w:tcBorders>
              <w:bottom w:val="single" w:sz="8" w:color="2360A6"/>
            </w:tcBorders>
          </w:tcPr>
          <w:p>
            <w:pPr>
              <w:spacing w:after="0"/>
              <w:rPr>
                <w:sz w:val="11"/>
                <w:szCs w:val="11"/>
                <w:color w:val="auto"/>
              </w:rPr>
            </w:pPr>
          </w:p>
        </w:tc>
        <w:tc>
          <w:tcPr>
            <w:tcW w:w="1560" w:type="dxa"/>
            <w:vAlign w:val="bottom"/>
            <w:tcBorders>
              <w:bottom w:val="single" w:sz="8" w:color="2360A6"/>
            </w:tcBorders>
          </w:tcPr>
          <w:p>
            <w:pPr>
              <w:spacing w:after="0"/>
              <w:rPr>
                <w:sz w:val="11"/>
                <w:szCs w:val="11"/>
                <w:color w:val="auto"/>
              </w:rPr>
            </w:pPr>
          </w:p>
        </w:tc>
        <w:tc>
          <w:tcPr>
            <w:tcW w:w="100" w:type="dxa"/>
            <w:vAlign w:val="bottom"/>
            <w:tcBorders>
              <w:bottom w:val="single" w:sz="8" w:color="2360A6"/>
            </w:tcBorders>
          </w:tcPr>
          <w:p>
            <w:pPr>
              <w:spacing w:after="0"/>
              <w:rPr>
                <w:sz w:val="11"/>
                <w:szCs w:val="11"/>
                <w:color w:val="auto"/>
              </w:rPr>
            </w:pPr>
          </w:p>
        </w:tc>
        <w:tc>
          <w:tcPr>
            <w:tcW w:w="1660" w:type="dxa"/>
            <w:vAlign w:val="bottom"/>
            <w:tcBorders>
              <w:bottom w:val="single" w:sz="8" w:color="2360A6"/>
            </w:tcBorders>
          </w:tcPr>
          <w:p>
            <w:pPr>
              <w:spacing w:after="0"/>
              <w:rPr>
                <w:sz w:val="11"/>
                <w:szCs w:val="11"/>
                <w:color w:val="auto"/>
              </w:rPr>
            </w:pPr>
          </w:p>
        </w:tc>
        <w:tc>
          <w:tcPr>
            <w:tcW w:w="20" w:type="dxa"/>
            <w:vAlign w:val="bottom"/>
            <w:tcBorders>
              <w:bottom w:val="single" w:sz="8" w:color="2360A6"/>
            </w:tcBorders>
          </w:tcPr>
          <w:p>
            <w:pPr>
              <w:spacing w:after="0"/>
              <w:rPr>
                <w:sz w:val="11"/>
                <w:szCs w:val="11"/>
                <w:color w:val="auto"/>
              </w:rPr>
            </w:pPr>
          </w:p>
        </w:tc>
      </w:tr>
      <w:tr>
        <w:trPr>
          <w:trHeight w:val="169"/>
        </w:trPr>
        <w:tc>
          <w:tcPr>
            <w:tcW w:w="20" w:type="dxa"/>
            <w:vAlign w:val="bottom"/>
            <w:shd w:val="clear" w:color="auto" w:fill="2360A6"/>
          </w:tcPr>
          <w:p>
            <w:pPr>
              <w:spacing w:after="0"/>
              <w:rPr>
                <w:sz w:val="14"/>
                <w:szCs w:val="14"/>
                <w:color w:val="auto"/>
              </w:rPr>
            </w:pPr>
          </w:p>
        </w:tc>
        <w:tc>
          <w:tcPr>
            <w:tcW w:w="2340" w:type="dxa"/>
            <w:vAlign w:val="bottom"/>
            <w:tcBorders>
              <w:right w:val="single" w:sz="8" w:color="2360A6"/>
            </w:tcBorders>
          </w:tcPr>
          <w:p>
            <w:pPr>
              <w:spacing w:after="0"/>
              <w:rPr>
                <w:sz w:val="14"/>
                <w:szCs w:val="14"/>
                <w:color w:val="auto"/>
              </w:rPr>
            </w:pPr>
          </w:p>
        </w:tc>
        <w:tc>
          <w:tcPr>
            <w:tcW w:w="120" w:type="dxa"/>
            <w:vAlign w:val="bottom"/>
            <w:tcBorders>
              <w:right w:val="single" w:sz="8" w:color="2360A6"/>
            </w:tcBorders>
            <w:shd w:val="clear" w:color="auto" w:fill="2360A6"/>
          </w:tcPr>
          <w:p>
            <w:pPr>
              <w:spacing w:after="0"/>
              <w:rPr>
                <w:sz w:val="14"/>
                <w:szCs w:val="14"/>
                <w:color w:val="auto"/>
              </w:rPr>
            </w:pPr>
          </w:p>
        </w:tc>
        <w:tc>
          <w:tcPr>
            <w:tcW w:w="1160" w:type="dxa"/>
            <w:vAlign w:val="bottom"/>
            <w:tcBorders>
              <w:right w:val="single" w:sz="8" w:color="2360A6"/>
            </w:tcBorders>
            <w:shd w:val="clear" w:color="auto" w:fill="2360A6"/>
          </w:tcPr>
          <w:p>
            <w:pPr>
              <w:spacing w:after="0"/>
              <w:rPr>
                <w:sz w:val="14"/>
                <w:szCs w:val="14"/>
                <w:color w:val="auto"/>
              </w:rPr>
            </w:pPr>
          </w:p>
        </w:tc>
        <w:tc>
          <w:tcPr>
            <w:tcW w:w="120" w:type="dxa"/>
            <w:vAlign w:val="bottom"/>
            <w:tcBorders>
              <w:right w:val="single" w:sz="8" w:color="2360A6"/>
            </w:tcBorders>
            <w:shd w:val="clear" w:color="auto" w:fill="2360A6"/>
          </w:tcPr>
          <w:p>
            <w:pPr>
              <w:spacing w:after="0"/>
              <w:rPr>
                <w:sz w:val="14"/>
                <w:szCs w:val="14"/>
                <w:color w:val="auto"/>
              </w:rPr>
            </w:pPr>
          </w:p>
        </w:tc>
        <w:tc>
          <w:tcPr>
            <w:tcW w:w="960" w:type="dxa"/>
            <w:vAlign w:val="bottom"/>
            <w:tcBorders>
              <w:right w:val="single" w:sz="8" w:color="2360A6"/>
            </w:tcBorders>
            <w:shd w:val="clear" w:color="auto" w:fill="2360A6"/>
          </w:tcPr>
          <w:p>
            <w:pPr>
              <w:spacing w:after="0"/>
              <w:rPr>
                <w:sz w:val="14"/>
                <w:szCs w:val="14"/>
                <w:color w:val="auto"/>
              </w:rPr>
            </w:pPr>
          </w:p>
        </w:tc>
        <w:tc>
          <w:tcPr>
            <w:tcW w:w="300" w:type="dxa"/>
            <w:vAlign w:val="bottom"/>
            <w:tcBorders>
              <w:right w:val="single" w:sz="8" w:color="2360A6"/>
            </w:tcBorders>
            <w:shd w:val="clear" w:color="auto" w:fill="2360A6"/>
          </w:tcPr>
          <w:p>
            <w:pPr>
              <w:spacing w:after="0"/>
              <w:rPr>
                <w:sz w:val="14"/>
                <w:szCs w:val="14"/>
                <w:color w:val="auto"/>
              </w:rPr>
            </w:pPr>
          </w:p>
        </w:tc>
        <w:tc>
          <w:tcPr>
            <w:tcW w:w="400" w:type="dxa"/>
            <w:vAlign w:val="bottom"/>
            <w:shd w:val="clear" w:color="auto" w:fill="2360A6"/>
          </w:tcPr>
          <w:p>
            <w:pPr>
              <w:spacing w:after="0"/>
              <w:rPr>
                <w:sz w:val="14"/>
                <w:szCs w:val="14"/>
                <w:color w:val="auto"/>
              </w:rPr>
            </w:pPr>
          </w:p>
        </w:tc>
        <w:tc>
          <w:tcPr>
            <w:tcW w:w="900" w:type="dxa"/>
            <w:vAlign w:val="bottom"/>
            <w:tcBorders>
              <w:right w:val="single" w:sz="8" w:color="2360A6"/>
            </w:tcBorders>
            <w:shd w:val="clear" w:color="auto" w:fill="2360A6"/>
          </w:tcPr>
          <w:p>
            <w:pPr>
              <w:spacing w:after="0"/>
              <w:rPr>
                <w:sz w:val="14"/>
                <w:szCs w:val="14"/>
                <w:color w:val="auto"/>
              </w:rPr>
            </w:pPr>
          </w:p>
        </w:tc>
        <w:tc>
          <w:tcPr>
            <w:tcW w:w="600" w:type="dxa"/>
            <w:vAlign w:val="bottom"/>
            <w:shd w:val="clear" w:color="auto" w:fill="2360A6"/>
          </w:tcPr>
          <w:p>
            <w:pPr>
              <w:spacing w:after="0"/>
              <w:rPr>
                <w:sz w:val="14"/>
                <w:szCs w:val="14"/>
                <w:color w:val="auto"/>
              </w:rPr>
            </w:pPr>
          </w:p>
        </w:tc>
        <w:tc>
          <w:tcPr>
            <w:tcW w:w="120" w:type="dxa"/>
            <w:vAlign w:val="bottom"/>
            <w:tcBorders>
              <w:right w:val="single" w:sz="8" w:color="2360A6"/>
            </w:tcBorders>
            <w:shd w:val="clear" w:color="auto" w:fill="2360A6"/>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BA"/>
              </w:rPr>
              <w:t>As of</w:t>
            </w:r>
          </w:p>
        </w:tc>
        <w:tc>
          <w:tcPr>
            <w:tcW w:w="100" w:type="dxa"/>
            <w:vAlign w:val="bottom"/>
          </w:tcPr>
          <w:p>
            <w:pPr>
              <w:spacing w:after="0"/>
              <w:rPr>
                <w:sz w:val="14"/>
                <w:szCs w:val="14"/>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2360A6"/>
              </w:rPr>
              <w:t>As of</w:t>
            </w:r>
          </w:p>
        </w:tc>
        <w:tc>
          <w:tcPr>
            <w:tcW w:w="20" w:type="dxa"/>
            <w:vAlign w:val="bottom"/>
            <w:shd w:val="clear" w:color="auto" w:fill="2360A6"/>
          </w:tcPr>
          <w:p>
            <w:pPr>
              <w:spacing w:after="0"/>
              <w:rPr>
                <w:sz w:val="14"/>
                <w:szCs w:val="14"/>
                <w:color w:val="auto"/>
              </w:rPr>
            </w:pPr>
          </w:p>
        </w:tc>
      </w:tr>
      <w:tr>
        <w:trPr>
          <w:trHeight w:val="162"/>
        </w:trPr>
        <w:tc>
          <w:tcPr>
            <w:tcW w:w="20" w:type="dxa"/>
            <w:vAlign w:val="bottom"/>
            <w:shd w:val="clear" w:color="auto" w:fill="2360A6"/>
          </w:tcPr>
          <w:p>
            <w:pPr>
              <w:spacing w:after="0"/>
              <w:rPr>
                <w:sz w:val="14"/>
                <w:szCs w:val="14"/>
                <w:color w:val="auto"/>
              </w:rPr>
            </w:pPr>
          </w:p>
        </w:tc>
        <w:tc>
          <w:tcPr>
            <w:tcW w:w="2340" w:type="dxa"/>
            <w:vAlign w:val="bottom"/>
            <w:tcBorders>
              <w:right w:val="single" w:sz="8" w:color="2360A6"/>
            </w:tcBorders>
          </w:tcPr>
          <w:p>
            <w:pPr>
              <w:spacing w:after="0"/>
              <w:rPr>
                <w:sz w:val="14"/>
                <w:szCs w:val="14"/>
                <w:color w:val="auto"/>
              </w:rPr>
            </w:pPr>
          </w:p>
        </w:tc>
        <w:tc>
          <w:tcPr>
            <w:tcW w:w="120" w:type="dxa"/>
            <w:vAlign w:val="bottom"/>
            <w:tcBorders>
              <w:right w:val="single" w:sz="8" w:color="2360A6"/>
            </w:tcBorders>
            <w:shd w:val="clear" w:color="auto" w:fill="2360A6"/>
          </w:tcPr>
          <w:p>
            <w:pPr>
              <w:spacing w:after="0"/>
              <w:rPr>
                <w:sz w:val="14"/>
                <w:szCs w:val="14"/>
                <w:color w:val="auto"/>
              </w:rPr>
            </w:pPr>
          </w:p>
        </w:tc>
        <w:tc>
          <w:tcPr>
            <w:tcW w:w="1160" w:type="dxa"/>
            <w:vAlign w:val="bottom"/>
            <w:tcBorders>
              <w:right w:val="single" w:sz="8" w:color="2360A6"/>
            </w:tcBorders>
            <w:shd w:val="clear" w:color="auto" w:fill="2360A6"/>
          </w:tcPr>
          <w:p>
            <w:pPr>
              <w:spacing w:after="0"/>
              <w:rPr>
                <w:sz w:val="14"/>
                <w:szCs w:val="14"/>
                <w:color w:val="auto"/>
              </w:rPr>
            </w:pPr>
          </w:p>
        </w:tc>
        <w:tc>
          <w:tcPr>
            <w:tcW w:w="120" w:type="dxa"/>
            <w:vAlign w:val="bottom"/>
            <w:tcBorders>
              <w:right w:val="single" w:sz="8" w:color="2360A6"/>
            </w:tcBorders>
            <w:shd w:val="clear" w:color="auto" w:fill="2360A6"/>
          </w:tcPr>
          <w:p>
            <w:pPr>
              <w:spacing w:after="0"/>
              <w:rPr>
                <w:sz w:val="14"/>
                <w:szCs w:val="14"/>
                <w:color w:val="auto"/>
              </w:rPr>
            </w:pPr>
          </w:p>
        </w:tc>
        <w:tc>
          <w:tcPr>
            <w:tcW w:w="1660" w:type="dxa"/>
            <w:vAlign w:val="bottom"/>
            <w:gridSpan w:val="3"/>
            <w:shd w:val="clear" w:color="auto" w:fill="2360A6"/>
          </w:tcPr>
          <w:p>
            <w:pPr>
              <w:jc w:val="right"/>
              <w:ind w:right="500"/>
              <w:spacing w:after="0"/>
              <w:rPr>
                <w:sz w:val="20"/>
                <w:szCs w:val="20"/>
                <w:color w:val="auto"/>
              </w:rPr>
            </w:pPr>
            <w:r>
              <w:rPr>
                <w:rFonts w:ascii="Arial" w:cs="Arial" w:eastAsia="Arial" w:hAnsi="Arial"/>
                <w:sz w:val="14"/>
                <w:szCs w:val="14"/>
                <w:b w:val="1"/>
                <w:bCs w:val="1"/>
                <w:color w:val="FFFFFF"/>
              </w:rPr>
              <w:t>As of</w:t>
            </w:r>
          </w:p>
        </w:tc>
        <w:tc>
          <w:tcPr>
            <w:tcW w:w="900" w:type="dxa"/>
            <w:vAlign w:val="bottom"/>
            <w:tcBorders>
              <w:right w:val="single" w:sz="8" w:color="2360A6"/>
            </w:tcBorders>
            <w:shd w:val="clear" w:color="auto" w:fill="2360A6"/>
          </w:tcPr>
          <w:p>
            <w:pPr>
              <w:spacing w:after="0"/>
              <w:rPr>
                <w:sz w:val="14"/>
                <w:szCs w:val="14"/>
                <w:color w:val="auto"/>
              </w:rPr>
            </w:pPr>
          </w:p>
        </w:tc>
        <w:tc>
          <w:tcPr>
            <w:tcW w:w="600" w:type="dxa"/>
            <w:vAlign w:val="bottom"/>
            <w:shd w:val="clear" w:color="auto" w:fill="2360A6"/>
          </w:tcPr>
          <w:p>
            <w:pPr>
              <w:spacing w:after="0"/>
              <w:rPr>
                <w:sz w:val="14"/>
                <w:szCs w:val="14"/>
                <w:color w:val="auto"/>
              </w:rPr>
            </w:pPr>
          </w:p>
        </w:tc>
        <w:tc>
          <w:tcPr>
            <w:tcW w:w="120" w:type="dxa"/>
            <w:vAlign w:val="bottom"/>
            <w:tcBorders>
              <w:right w:val="single" w:sz="8" w:color="2360A6"/>
            </w:tcBorders>
            <w:shd w:val="clear" w:color="auto" w:fill="2360A6"/>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BA"/>
              </w:rPr>
              <w:t>December 31,</w:t>
            </w:r>
          </w:p>
        </w:tc>
        <w:tc>
          <w:tcPr>
            <w:tcW w:w="100" w:type="dxa"/>
            <w:vAlign w:val="bottom"/>
          </w:tcPr>
          <w:p>
            <w:pPr>
              <w:spacing w:after="0"/>
              <w:rPr>
                <w:sz w:val="14"/>
                <w:szCs w:val="14"/>
                <w:color w:val="auto"/>
              </w:rPr>
            </w:pPr>
          </w:p>
        </w:tc>
        <w:tc>
          <w:tcPr>
            <w:tcW w:w="1660" w:type="dxa"/>
            <w:vAlign w:val="bottom"/>
          </w:tcPr>
          <w:p>
            <w:pPr>
              <w:jc w:val="right"/>
              <w:ind w:right="28"/>
              <w:spacing w:after="0"/>
              <w:rPr>
                <w:sz w:val="20"/>
                <w:szCs w:val="20"/>
                <w:color w:val="auto"/>
              </w:rPr>
            </w:pPr>
            <w:r>
              <w:rPr>
                <w:rFonts w:ascii="Arial" w:cs="Arial" w:eastAsia="Arial" w:hAnsi="Arial"/>
                <w:sz w:val="14"/>
                <w:szCs w:val="14"/>
                <w:b w:val="1"/>
                <w:bCs w:val="1"/>
                <w:color w:val="2360A6"/>
              </w:rPr>
              <w:t>December 31,</w:t>
            </w:r>
          </w:p>
        </w:tc>
        <w:tc>
          <w:tcPr>
            <w:tcW w:w="20" w:type="dxa"/>
            <w:vAlign w:val="bottom"/>
            <w:shd w:val="clear" w:color="auto" w:fill="2360A6"/>
          </w:tcPr>
          <w:p>
            <w:pPr>
              <w:spacing w:after="0"/>
              <w:rPr>
                <w:sz w:val="14"/>
                <w:szCs w:val="14"/>
                <w:color w:val="auto"/>
              </w:rPr>
            </w:pPr>
          </w:p>
        </w:tc>
      </w:tr>
      <w:tr>
        <w:trPr>
          <w:trHeight w:val="196"/>
        </w:trPr>
        <w:tc>
          <w:tcPr>
            <w:tcW w:w="20" w:type="dxa"/>
            <w:vAlign w:val="bottom"/>
            <w:tcBorders>
              <w:bottom w:val="single" w:sz="8" w:color="2360A6"/>
            </w:tcBorders>
            <w:shd w:val="clear" w:color="auto" w:fill="2360A6"/>
          </w:tcPr>
          <w:p>
            <w:pPr>
              <w:spacing w:after="0"/>
              <w:rPr>
                <w:sz w:val="17"/>
                <w:szCs w:val="17"/>
                <w:color w:val="auto"/>
              </w:rPr>
            </w:pPr>
          </w:p>
        </w:tc>
        <w:tc>
          <w:tcPr>
            <w:tcW w:w="2340" w:type="dxa"/>
            <w:vAlign w:val="bottom"/>
            <w:tcBorders>
              <w:right w:val="single" w:sz="8" w:color="2360A6"/>
            </w:tcBorders>
          </w:tcPr>
          <w:p>
            <w:pPr>
              <w:spacing w:after="0"/>
              <w:rPr>
                <w:sz w:val="17"/>
                <w:szCs w:val="17"/>
                <w:color w:val="auto"/>
              </w:rPr>
            </w:pPr>
          </w:p>
        </w:tc>
        <w:tc>
          <w:tcPr>
            <w:tcW w:w="120" w:type="dxa"/>
            <w:vAlign w:val="bottom"/>
            <w:tcBorders>
              <w:bottom w:val="single" w:sz="8" w:color="2360A6"/>
              <w:right w:val="single" w:sz="8" w:color="2360A6"/>
            </w:tcBorders>
            <w:shd w:val="clear" w:color="auto" w:fill="2360A6"/>
          </w:tcPr>
          <w:p>
            <w:pPr>
              <w:spacing w:after="0"/>
              <w:rPr>
                <w:sz w:val="17"/>
                <w:szCs w:val="17"/>
                <w:color w:val="auto"/>
              </w:rPr>
            </w:pPr>
          </w:p>
        </w:tc>
        <w:tc>
          <w:tcPr>
            <w:tcW w:w="1160" w:type="dxa"/>
            <w:vAlign w:val="bottom"/>
            <w:tcBorders>
              <w:bottom w:val="single" w:sz="8" w:color="2360A6"/>
              <w:right w:val="single" w:sz="8" w:color="2360A6"/>
            </w:tcBorders>
            <w:shd w:val="clear" w:color="auto" w:fill="2360A6"/>
          </w:tcPr>
          <w:p>
            <w:pPr>
              <w:spacing w:after="0"/>
              <w:rPr>
                <w:sz w:val="17"/>
                <w:szCs w:val="17"/>
                <w:color w:val="auto"/>
              </w:rPr>
            </w:pPr>
          </w:p>
        </w:tc>
        <w:tc>
          <w:tcPr>
            <w:tcW w:w="120" w:type="dxa"/>
            <w:vAlign w:val="bottom"/>
            <w:tcBorders>
              <w:bottom w:val="single" w:sz="8" w:color="2360A6"/>
              <w:right w:val="single" w:sz="8" w:color="2360A6"/>
            </w:tcBorders>
            <w:shd w:val="clear" w:color="auto" w:fill="2360A6"/>
          </w:tcPr>
          <w:p>
            <w:pPr>
              <w:spacing w:after="0"/>
              <w:rPr>
                <w:sz w:val="17"/>
                <w:szCs w:val="17"/>
                <w:color w:val="auto"/>
              </w:rPr>
            </w:pPr>
          </w:p>
        </w:tc>
        <w:tc>
          <w:tcPr>
            <w:tcW w:w="1660" w:type="dxa"/>
            <w:vAlign w:val="bottom"/>
            <w:tcBorders>
              <w:bottom w:val="single" w:sz="8" w:color="2360A6"/>
            </w:tcBorders>
            <w:gridSpan w:val="3"/>
            <w:shd w:val="clear" w:color="auto" w:fill="2360A6"/>
          </w:tcPr>
          <w:p>
            <w:pPr>
              <w:ind w:left="320"/>
              <w:spacing w:after="0"/>
              <w:rPr>
                <w:sz w:val="20"/>
                <w:szCs w:val="20"/>
                <w:color w:val="auto"/>
              </w:rPr>
            </w:pPr>
            <w:r>
              <w:rPr>
                <w:rFonts w:ascii="Arial" w:cs="Arial" w:eastAsia="Arial" w:hAnsi="Arial"/>
                <w:sz w:val="14"/>
                <w:szCs w:val="14"/>
                <w:b w:val="1"/>
                <w:bCs w:val="1"/>
                <w:color w:val="FFFFFF"/>
              </w:rPr>
              <w:t>December 31, 2016</w:t>
            </w:r>
          </w:p>
        </w:tc>
        <w:tc>
          <w:tcPr>
            <w:tcW w:w="900" w:type="dxa"/>
            <w:vAlign w:val="bottom"/>
            <w:tcBorders>
              <w:bottom w:val="single" w:sz="8" w:color="2360A6"/>
              <w:right w:val="single" w:sz="8" w:color="2360A6"/>
            </w:tcBorders>
            <w:shd w:val="clear" w:color="auto" w:fill="2360A6"/>
          </w:tcPr>
          <w:p>
            <w:pPr>
              <w:spacing w:after="0"/>
              <w:rPr>
                <w:sz w:val="17"/>
                <w:szCs w:val="17"/>
                <w:color w:val="auto"/>
              </w:rPr>
            </w:pPr>
          </w:p>
        </w:tc>
        <w:tc>
          <w:tcPr>
            <w:tcW w:w="600" w:type="dxa"/>
            <w:vAlign w:val="bottom"/>
            <w:tcBorders>
              <w:bottom w:val="single" w:sz="8" w:color="2360A6"/>
            </w:tcBorders>
            <w:shd w:val="clear" w:color="auto" w:fill="2360A6"/>
          </w:tcPr>
          <w:p>
            <w:pPr>
              <w:spacing w:after="0"/>
              <w:rPr>
                <w:sz w:val="17"/>
                <w:szCs w:val="17"/>
                <w:color w:val="auto"/>
              </w:rPr>
            </w:pPr>
          </w:p>
        </w:tc>
        <w:tc>
          <w:tcPr>
            <w:tcW w:w="120" w:type="dxa"/>
            <w:vAlign w:val="bottom"/>
            <w:tcBorders>
              <w:bottom w:val="single" w:sz="8" w:color="2360A6"/>
              <w:right w:val="single" w:sz="8" w:color="2360A6"/>
            </w:tcBorders>
            <w:shd w:val="clear" w:color="auto" w:fill="2360A6"/>
          </w:tcPr>
          <w:p>
            <w:pPr>
              <w:spacing w:after="0"/>
              <w:rPr>
                <w:sz w:val="17"/>
                <w:szCs w:val="17"/>
                <w:color w:val="auto"/>
              </w:rPr>
            </w:pPr>
          </w:p>
        </w:tc>
        <w:tc>
          <w:tcPr>
            <w:tcW w:w="220" w:type="dxa"/>
            <w:vAlign w:val="bottom"/>
            <w:tcBorders>
              <w:bottom w:val="single" w:sz="8" w:color="2360A6"/>
            </w:tcBorders>
          </w:tcPr>
          <w:p>
            <w:pPr>
              <w:spacing w:after="0"/>
              <w:rPr>
                <w:sz w:val="17"/>
                <w:szCs w:val="17"/>
                <w:color w:val="auto"/>
              </w:rPr>
            </w:pPr>
          </w:p>
        </w:tc>
        <w:tc>
          <w:tcPr>
            <w:tcW w:w="15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BA"/>
              </w:rPr>
              <w:t>2015</w:t>
            </w:r>
          </w:p>
        </w:tc>
        <w:tc>
          <w:tcPr>
            <w:tcW w:w="100" w:type="dxa"/>
            <w:vAlign w:val="bottom"/>
            <w:tcBorders>
              <w:bottom w:val="single" w:sz="8" w:color="2360A6"/>
            </w:tcBorders>
          </w:tcPr>
          <w:p>
            <w:pPr>
              <w:spacing w:after="0"/>
              <w:rPr>
                <w:sz w:val="17"/>
                <w:szCs w:val="17"/>
                <w:color w:val="auto"/>
              </w:rPr>
            </w:pPr>
          </w:p>
        </w:tc>
        <w:tc>
          <w:tcPr>
            <w:tcW w:w="1660" w:type="dxa"/>
            <w:vAlign w:val="bottom"/>
            <w:tcBorders>
              <w:bottom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2014</w:t>
            </w:r>
          </w:p>
        </w:tc>
        <w:tc>
          <w:tcPr>
            <w:tcW w:w="20" w:type="dxa"/>
            <w:vAlign w:val="bottom"/>
            <w:tcBorders>
              <w:bottom w:val="single" w:sz="8" w:color="2360A6"/>
            </w:tcBorders>
            <w:shd w:val="clear" w:color="auto" w:fill="2360A6"/>
          </w:tcPr>
          <w:p>
            <w:pPr>
              <w:spacing w:after="0"/>
              <w:rPr>
                <w:sz w:val="17"/>
                <w:szCs w:val="17"/>
                <w:color w:val="auto"/>
              </w:rPr>
            </w:pPr>
          </w:p>
        </w:tc>
      </w:tr>
      <w:tr>
        <w:trPr>
          <w:trHeight w:val="210"/>
        </w:trPr>
        <w:tc>
          <w:tcPr>
            <w:tcW w:w="20" w:type="dxa"/>
            <w:vAlign w:val="bottom"/>
            <w:tcBorders>
              <w:bottom w:val="single" w:sz="8" w:color="2360A6"/>
            </w:tcBorders>
            <w:shd w:val="clear" w:color="auto" w:fill="2360A6"/>
          </w:tcPr>
          <w:p>
            <w:pPr>
              <w:spacing w:after="0"/>
              <w:rPr>
                <w:sz w:val="18"/>
                <w:szCs w:val="18"/>
                <w:color w:val="auto"/>
              </w:rPr>
            </w:pPr>
          </w:p>
        </w:tc>
        <w:tc>
          <w:tcPr>
            <w:tcW w:w="2340" w:type="dxa"/>
            <w:vAlign w:val="bottom"/>
            <w:tcBorders>
              <w:right w:val="single" w:sz="8" w:color="2360A6"/>
            </w:tcBorders>
          </w:tcPr>
          <w:p>
            <w:pPr>
              <w:spacing w:after="0"/>
              <w:rPr>
                <w:sz w:val="18"/>
                <w:szCs w:val="18"/>
                <w:color w:val="auto"/>
              </w:rPr>
            </w:pPr>
          </w:p>
        </w:tc>
        <w:tc>
          <w:tcPr>
            <w:tcW w:w="3060" w:type="dxa"/>
            <w:vAlign w:val="bottom"/>
            <w:tcBorders>
              <w:bottom w:val="single" w:sz="8" w:color="2360A6"/>
            </w:tcBorders>
            <w:gridSpan w:val="6"/>
            <w:shd w:val="clear" w:color="auto" w:fill="EDEDEE"/>
          </w:tcPr>
          <w:p>
            <w:pPr>
              <w:ind w:left="20"/>
              <w:spacing w:after="0"/>
              <w:rPr>
                <w:sz w:val="20"/>
                <w:szCs w:val="20"/>
                <w:color w:val="auto"/>
              </w:rPr>
            </w:pPr>
            <w:r>
              <w:rPr>
                <w:rFonts w:ascii="Arial" w:cs="Arial" w:eastAsia="Arial" w:hAnsi="Arial"/>
                <w:sz w:val="14"/>
                <w:szCs w:val="14"/>
                <w:b w:val="1"/>
                <w:bCs w:val="1"/>
                <w:color w:val="2360A6"/>
              </w:rPr>
              <w:t>Amounts of Commitments by Maturity Date</w:t>
            </w:r>
          </w:p>
        </w:tc>
        <w:tc>
          <w:tcPr>
            <w:tcW w:w="900" w:type="dxa"/>
            <w:vAlign w:val="bottom"/>
            <w:tcBorders>
              <w:bottom w:val="single" w:sz="8" w:color="2360A6"/>
              <w:right w:val="single" w:sz="8" w:color="2360A6"/>
            </w:tcBorders>
            <w:shd w:val="clear" w:color="auto" w:fill="EDEDEE"/>
          </w:tcPr>
          <w:p>
            <w:pPr>
              <w:spacing w:after="0"/>
              <w:rPr>
                <w:sz w:val="18"/>
                <w:szCs w:val="18"/>
                <w:color w:val="auto"/>
              </w:rPr>
            </w:pPr>
          </w:p>
        </w:tc>
        <w:tc>
          <w:tcPr>
            <w:tcW w:w="600" w:type="dxa"/>
            <w:vAlign w:val="bottom"/>
            <w:tcBorders>
              <w:bottom w:val="single" w:sz="8" w:color="EDEDEE"/>
            </w:tcBorders>
            <w:shd w:val="clear" w:color="auto" w:fill="EDEDEE"/>
          </w:tcPr>
          <w:p>
            <w:pPr>
              <w:spacing w:after="0"/>
              <w:rPr>
                <w:sz w:val="18"/>
                <w:szCs w:val="18"/>
                <w:color w:val="auto"/>
              </w:rPr>
            </w:pPr>
          </w:p>
        </w:tc>
        <w:tc>
          <w:tcPr>
            <w:tcW w:w="120" w:type="dxa"/>
            <w:vAlign w:val="bottom"/>
            <w:tcBorders>
              <w:bottom w:val="single" w:sz="8" w:color="EDEDEE"/>
              <w:right w:val="single" w:sz="8" w:color="2360A6"/>
            </w:tcBorders>
            <w:shd w:val="clear" w:color="auto" w:fill="EDEDEE"/>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Borders>
              <w:right w:val="single" w:sz="8" w:color="2360A6"/>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Borders>
              <w:bottom w:val="single" w:sz="8" w:color="2360A6"/>
            </w:tcBorders>
            <w:shd w:val="clear" w:color="auto" w:fill="2360A6"/>
          </w:tcPr>
          <w:p>
            <w:pPr>
              <w:spacing w:after="0"/>
              <w:rPr>
                <w:sz w:val="18"/>
                <w:szCs w:val="18"/>
                <w:color w:val="auto"/>
              </w:rPr>
            </w:pPr>
          </w:p>
        </w:tc>
      </w:tr>
      <w:tr>
        <w:trPr>
          <w:trHeight w:val="243"/>
        </w:trPr>
        <w:tc>
          <w:tcPr>
            <w:tcW w:w="20" w:type="dxa"/>
            <w:vAlign w:val="bottom"/>
            <w:shd w:val="clear" w:color="auto" w:fill="2360A6"/>
          </w:tcPr>
          <w:p>
            <w:pPr>
              <w:spacing w:after="0"/>
              <w:rPr>
                <w:sz w:val="21"/>
                <w:szCs w:val="21"/>
                <w:color w:val="auto"/>
              </w:rPr>
            </w:pPr>
          </w:p>
        </w:tc>
        <w:tc>
          <w:tcPr>
            <w:tcW w:w="2340" w:type="dxa"/>
            <w:vAlign w:val="bottom"/>
            <w:tcBorders>
              <w:right w:val="single" w:sz="8" w:color="2360A6"/>
            </w:tcBorders>
          </w:tcPr>
          <w:p>
            <w:pPr>
              <w:spacing w:after="0"/>
              <w:rPr>
                <w:sz w:val="21"/>
                <w:szCs w:val="21"/>
                <w:color w:val="auto"/>
              </w:rPr>
            </w:pPr>
          </w:p>
        </w:tc>
        <w:tc>
          <w:tcPr>
            <w:tcW w:w="120" w:type="dxa"/>
            <w:vAlign w:val="bottom"/>
            <w:tcBorders>
              <w:right w:val="single" w:sz="8" w:color="EDEDEE"/>
            </w:tcBorders>
            <w:shd w:val="clear" w:color="auto" w:fill="EDEDEE"/>
          </w:tcPr>
          <w:p>
            <w:pPr>
              <w:spacing w:after="0"/>
              <w:rPr>
                <w:sz w:val="21"/>
                <w:szCs w:val="21"/>
                <w:color w:val="auto"/>
              </w:rPr>
            </w:pPr>
          </w:p>
        </w:tc>
        <w:tc>
          <w:tcPr>
            <w:tcW w:w="1160" w:type="dxa"/>
            <w:vAlign w:val="bottom"/>
            <w:tcBorders>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Less than</w:t>
            </w:r>
          </w:p>
        </w:tc>
        <w:tc>
          <w:tcPr>
            <w:tcW w:w="120" w:type="dxa"/>
            <w:vAlign w:val="bottom"/>
            <w:tcBorders>
              <w:right w:val="single" w:sz="8" w:color="EDEDEE"/>
            </w:tcBorders>
            <w:shd w:val="clear" w:color="auto" w:fill="EDEDEE"/>
          </w:tcPr>
          <w:p>
            <w:pPr>
              <w:spacing w:after="0"/>
              <w:rPr>
                <w:sz w:val="21"/>
                <w:szCs w:val="21"/>
                <w:color w:val="auto"/>
              </w:rPr>
            </w:pPr>
          </w:p>
        </w:tc>
        <w:tc>
          <w:tcPr>
            <w:tcW w:w="960" w:type="dxa"/>
            <w:vAlign w:val="bottom"/>
            <w:tcBorders>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1 to</w:t>
            </w:r>
          </w:p>
        </w:tc>
        <w:tc>
          <w:tcPr>
            <w:tcW w:w="300" w:type="dxa"/>
            <w:vAlign w:val="bottom"/>
            <w:tcBorders>
              <w:right w:val="single" w:sz="8" w:color="EDEDEE"/>
            </w:tcBorders>
            <w:shd w:val="clear" w:color="auto" w:fill="EDEDEE"/>
          </w:tcPr>
          <w:p>
            <w:pPr>
              <w:spacing w:after="0"/>
              <w:rPr>
                <w:sz w:val="21"/>
                <w:szCs w:val="21"/>
                <w:color w:val="auto"/>
              </w:rPr>
            </w:pPr>
          </w:p>
        </w:tc>
        <w:tc>
          <w:tcPr>
            <w:tcW w:w="400" w:type="dxa"/>
            <w:vAlign w:val="bottom"/>
            <w:shd w:val="clear" w:color="auto" w:fill="EDEDEE"/>
          </w:tcPr>
          <w:p>
            <w:pPr>
              <w:spacing w:after="0"/>
              <w:rPr>
                <w:sz w:val="21"/>
                <w:szCs w:val="21"/>
                <w:color w:val="auto"/>
              </w:rPr>
            </w:pPr>
          </w:p>
        </w:tc>
        <w:tc>
          <w:tcPr>
            <w:tcW w:w="900" w:type="dxa"/>
            <w:vAlign w:val="bottom"/>
            <w:tcBorders>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More than</w:t>
            </w:r>
          </w:p>
        </w:tc>
        <w:tc>
          <w:tcPr>
            <w:tcW w:w="600" w:type="dxa"/>
            <w:vAlign w:val="bottom"/>
            <w:shd w:val="clear" w:color="auto" w:fill="EDEDEE"/>
          </w:tcPr>
          <w:p>
            <w:pPr>
              <w:spacing w:after="0"/>
              <w:rPr>
                <w:sz w:val="21"/>
                <w:szCs w:val="21"/>
                <w:color w:val="auto"/>
              </w:rPr>
            </w:pPr>
          </w:p>
        </w:tc>
        <w:tc>
          <w:tcPr>
            <w:tcW w:w="120" w:type="dxa"/>
            <w:vAlign w:val="bottom"/>
            <w:tcBorders>
              <w:right w:val="single" w:sz="8" w:color="2360A6"/>
            </w:tcBorders>
            <w:shd w:val="clear" w:color="auto" w:fill="EDEDEE"/>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Borders>
              <w:right w:val="single" w:sz="8" w:color="2360A6"/>
            </w:tcBorders>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0" w:type="dxa"/>
            <w:vAlign w:val="bottom"/>
            <w:shd w:val="clear" w:color="auto" w:fill="2360A6"/>
          </w:tcPr>
          <w:p>
            <w:pPr>
              <w:spacing w:after="0"/>
              <w:rPr>
                <w:sz w:val="21"/>
                <w:szCs w:val="21"/>
                <w:color w:val="auto"/>
              </w:rPr>
            </w:pPr>
          </w:p>
        </w:tc>
      </w:tr>
      <w:tr>
        <w:trPr>
          <w:trHeight w:val="196"/>
        </w:trPr>
        <w:tc>
          <w:tcPr>
            <w:tcW w:w="20" w:type="dxa"/>
            <w:vAlign w:val="bottom"/>
            <w:tcBorders>
              <w:bottom w:val="single" w:sz="8" w:color="2360A6"/>
            </w:tcBorders>
            <w:shd w:val="clear" w:color="auto" w:fill="2360A6"/>
          </w:tcPr>
          <w:p>
            <w:pPr>
              <w:spacing w:after="0"/>
              <w:rPr>
                <w:sz w:val="17"/>
                <w:szCs w:val="17"/>
                <w:color w:val="auto"/>
              </w:rPr>
            </w:pPr>
          </w:p>
        </w:tc>
        <w:tc>
          <w:tcPr>
            <w:tcW w:w="234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120" w:type="dxa"/>
            <w:vAlign w:val="bottom"/>
            <w:tcBorders>
              <w:bottom w:val="single" w:sz="8" w:color="2360A6"/>
              <w:right w:val="single" w:sz="8" w:color="EDEDEE"/>
            </w:tcBorders>
            <w:shd w:val="clear" w:color="auto" w:fill="EDEDEE"/>
          </w:tcPr>
          <w:p>
            <w:pPr>
              <w:spacing w:after="0"/>
              <w:rPr>
                <w:sz w:val="17"/>
                <w:szCs w:val="17"/>
                <w:color w:val="auto"/>
              </w:rPr>
            </w:pP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1 year</w:t>
            </w:r>
          </w:p>
        </w:tc>
        <w:tc>
          <w:tcPr>
            <w:tcW w:w="120" w:type="dxa"/>
            <w:vAlign w:val="bottom"/>
            <w:tcBorders>
              <w:bottom w:val="single" w:sz="8" w:color="2360A6"/>
              <w:right w:val="single" w:sz="8" w:color="EDEDEE"/>
            </w:tcBorders>
            <w:shd w:val="clear" w:color="auto" w:fill="EDEDEE"/>
          </w:tcPr>
          <w:p>
            <w:pPr>
              <w:spacing w:after="0"/>
              <w:rPr>
                <w:sz w:val="17"/>
                <w:szCs w:val="17"/>
                <w:color w:val="auto"/>
              </w:rPr>
            </w:pPr>
          </w:p>
        </w:tc>
        <w:tc>
          <w:tcPr>
            <w:tcW w:w="96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5 years</w:t>
            </w:r>
          </w:p>
        </w:tc>
        <w:tc>
          <w:tcPr>
            <w:tcW w:w="700" w:type="dxa"/>
            <w:vAlign w:val="bottom"/>
            <w:tcBorders>
              <w:bottom w:val="single" w:sz="8" w:color="2360A6"/>
            </w:tcBorders>
            <w:gridSpan w:val="2"/>
            <w:shd w:val="clear" w:color="auto" w:fill="EDEDEE"/>
          </w:tcPr>
          <w:p>
            <w:pPr>
              <w:spacing w:after="0"/>
              <w:rPr>
                <w:sz w:val="17"/>
                <w:szCs w:val="17"/>
                <w:color w:val="auto"/>
              </w:rPr>
            </w:pPr>
          </w:p>
        </w:tc>
        <w:tc>
          <w:tcPr>
            <w:tcW w:w="9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5 years</w:t>
            </w:r>
          </w:p>
        </w:tc>
        <w:tc>
          <w:tcPr>
            <w:tcW w:w="60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Total</w:t>
            </w:r>
          </w:p>
        </w:tc>
        <w:tc>
          <w:tcPr>
            <w:tcW w:w="120" w:type="dxa"/>
            <w:vAlign w:val="bottom"/>
            <w:tcBorders>
              <w:bottom w:val="single" w:sz="8" w:color="2360A6"/>
              <w:right w:val="single" w:sz="8" w:color="2360A6"/>
            </w:tcBorders>
            <w:shd w:val="clear" w:color="auto" w:fill="EDEDEE"/>
          </w:tcPr>
          <w:p>
            <w:pPr>
              <w:spacing w:after="0"/>
              <w:rPr>
                <w:sz w:val="17"/>
                <w:szCs w:val="17"/>
                <w:color w:val="auto"/>
              </w:rPr>
            </w:pPr>
          </w:p>
        </w:tc>
        <w:tc>
          <w:tcPr>
            <w:tcW w:w="220" w:type="dxa"/>
            <w:vAlign w:val="bottom"/>
            <w:tcBorders>
              <w:bottom w:val="single" w:sz="8" w:color="2360A6"/>
            </w:tcBorders>
          </w:tcPr>
          <w:p>
            <w:pPr>
              <w:spacing w:after="0"/>
              <w:rPr>
                <w:sz w:val="17"/>
                <w:szCs w:val="17"/>
                <w:color w:val="auto"/>
              </w:rPr>
            </w:pPr>
          </w:p>
        </w:tc>
        <w:tc>
          <w:tcPr>
            <w:tcW w:w="15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Total</w:t>
            </w:r>
          </w:p>
        </w:tc>
        <w:tc>
          <w:tcPr>
            <w:tcW w:w="100" w:type="dxa"/>
            <w:vAlign w:val="bottom"/>
            <w:tcBorders>
              <w:bottom w:val="single" w:sz="8" w:color="2360A6"/>
            </w:tcBorders>
          </w:tcPr>
          <w:p>
            <w:pPr>
              <w:spacing w:after="0"/>
              <w:rPr>
                <w:sz w:val="17"/>
                <w:szCs w:val="17"/>
                <w:color w:val="auto"/>
              </w:rPr>
            </w:pPr>
          </w:p>
        </w:tc>
        <w:tc>
          <w:tcPr>
            <w:tcW w:w="1660" w:type="dxa"/>
            <w:vAlign w:val="bottom"/>
            <w:tcBorders>
              <w:bottom w:val="single" w:sz="8" w:color="2360A6"/>
            </w:tcBorders>
          </w:tcPr>
          <w:p>
            <w:pPr>
              <w:jc w:val="right"/>
              <w:ind w:right="28"/>
              <w:spacing w:after="0"/>
              <w:rPr>
                <w:sz w:val="20"/>
                <w:szCs w:val="20"/>
                <w:color w:val="auto"/>
              </w:rPr>
            </w:pPr>
            <w:r>
              <w:rPr>
                <w:rFonts w:ascii="Arial" w:cs="Arial" w:eastAsia="Arial" w:hAnsi="Arial"/>
                <w:sz w:val="14"/>
                <w:szCs w:val="14"/>
                <w:b w:val="1"/>
                <w:bCs w:val="1"/>
                <w:color w:val="2360A6"/>
              </w:rPr>
              <w:t>Total</w:t>
            </w:r>
          </w:p>
        </w:tc>
        <w:tc>
          <w:tcPr>
            <w:tcW w:w="20" w:type="dxa"/>
            <w:vAlign w:val="bottom"/>
            <w:tcBorders>
              <w:bottom w:val="single" w:sz="8" w:color="2360A6"/>
            </w:tcBorders>
            <w:shd w:val="clear" w:color="auto" w:fill="2360A6"/>
          </w:tcPr>
          <w:p>
            <w:pPr>
              <w:spacing w:after="0"/>
              <w:rPr>
                <w:sz w:val="17"/>
                <w:szCs w:val="17"/>
                <w:color w:val="auto"/>
              </w:rPr>
            </w:pPr>
          </w:p>
        </w:tc>
      </w:tr>
      <w:tr>
        <w:trPr>
          <w:trHeight w:val="193"/>
        </w:trPr>
        <w:tc>
          <w:tcPr>
            <w:tcW w:w="20" w:type="dxa"/>
            <w:vAlign w:val="bottom"/>
            <w:shd w:val="clear" w:color="auto" w:fill="2360A6"/>
          </w:tcPr>
          <w:p>
            <w:pPr>
              <w:spacing w:after="0"/>
              <w:rPr>
                <w:sz w:val="16"/>
                <w:szCs w:val="16"/>
                <w:color w:val="auto"/>
              </w:rPr>
            </w:pPr>
          </w:p>
        </w:tc>
        <w:tc>
          <w:tcPr>
            <w:tcW w:w="2340" w:type="dxa"/>
            <w:vAlign w:val="bottom"/>
            <w:tcBorders>
              <w:right w:val="single" w:sz="8" w:color="2360A6"/>
            </w:tcBorders>
          </w:tcPr>
          <w:p>
            <w:pPr>
              <w:ind w:left="20"/>
              <w:spacing w:after="0"/>
              <w:rPr>
                <w:sz w:val="20"/>
                <w:szCs w:val="20"/>
                <w:color w:val="auto"/>
              </w:rPr>
            </w:pPr>
            <w:r>
              <w:rPr>
                <w:rFonts w:ascii="Arial" w:cs="Arial" w:eastAsia="Arial" w:hAnsi="Arial"/>
                <w:sz w:val="14"/>
                <w:szCs w:val="14"/>
                <w:color w:val="231F20"/>
              </w:rPr>
              <w:t>Other Commitments Received</w:t>
            </w:r>
          </w:p>
        </w:tc>
        <w:tc>
          <w:tcPr>
            <w:tcW w:w="120" w:type="dxa"/>
            <w:vAlign w:val="bottom"/>
            <w:tcBorders>
              <w:right w:val="single" w:sz="8" w:color="EDEDEE"/>
            </w:tcBorders>
            <w:shd w:val="clear" w:color="auto" w:fill="EDEDEE"/>
          </w:tcPr>
          <w:p>
            <w:pPr>
              <w:spacing w:after="0"/>
              <w:rPr>
                <w:sz w:val="16"/>
                <w:szCs w:val="16"/>
                <w:color w:val="auto"/>
              </w:rPr>
            </w:pPr>
          </w:p>
        </w:tc>
        <w:tc>
          <w:tcPr>
            <w:tcW w:w="1160" w:type="dxa"/>
            <w:vAlign w:val="bottom"/>
            <w:tcBorders>
              <w:right w:val="single" w:sz="8" w:color="2360A6"/>
            </w:tcBorders>
            <w:shd w:val="clear" w:color="auto" w:fill="EDEDEE"/>
          </w:tcPr>
          <w:p>
            <w:pPr>
              <w:spacing w:after="0"/>
              <w:rPr>
                <w:sz w:val="16"/>
                <w:szCs w:val="16"/>
                <w:color w:val="auto"/>
              </w:rPr>
            </w:pPr>
          </w:p>
        </w:tc>
        <w:tc>
          <w:tcPr>
            <w:tcW w:w="120" w:type="dxa"/>
            <w:vAlign w:val="bottom"/>
            <w:tcBorders>
              <w:right w:val="single" w:sz="8" w:color="EDEDEE"/>
            </w:tcBorders>
            <w:shd w:val="clear" w:color="auto" w:fill="EDEDEE"/>
          </w:tcPr>
          <w:p>
            <w:pPr>
              <w:spacing w:after="0"/>
              <w:rPr>
                <w:sz w:val="16"/>
                <w:szCs w:val="16"/>
                <w:color w:val="auto"/>
              </w:rPr>
            </w:pPr>
          </w:p>
        </w:tc>
        <w:tc>
          <w:tcPr>
            <w:tcW w:w="960" w:type="dxa"/>
            <w:vAlign w:val="bottom"/>
            <w:tcBorders>
              <w:right w:val="single" w:sz="8" w:color="2360A6"/>
            </w:tcBorders>
            <w:shd w:val="clear" w:color="auto" w:fill="EDEDEE"/>
          </w:tcPr>
          <w:p>
            <w:pPr>
              <w:spacing w:after="0"/>
              <w:rPr>
                <w:sz w:val="16"/>
                <w:szCs w:val="16"/>
                <w:color w:val="auto"/>
              </w:rPr>
            </w:pPr>
          </w:p>
        </w:tc>
        <w:tc>
          <w:tcPr>
            <w:tcW w:w="300" w:type="dxa"/>
            <w:vAlign w:val="bottom"/>
            <w:tcBorders>
              <w:right w:val="single" w:sz="8" w:color="EDEDEE"/>
            </w:tcBorders>
            <w:shd w:val="clear" w:color="auto" w:fill="EDEDEE"/>
          </w:tcPr>
          <w:p>
            <w:pPr>
              <w:spacing w:after="0"/>
              <w:rPr>
                <w:sz w:val="16"/>
                <w:szCs w:val="16"/>
                <w:color w:val="auto"/>
              </w:rPr>
            </w:pPr>
          </w:p>
        </w:tc>
        <w:tc>
          <w:tcPr>
            <w:tcW w:w="400" w:type="dxa"/>
            <w:vAlign w:val="bottom"/>
            <w:shd w:val="clear" w:color="auto" w:fill="EDEDEE"/>
          </w:tcPr>
          <w:p>
            <w:pPr>
              <w:spacing w:after="0"/>
              <w:rPr>
                <w:sz w:val="16"/>
                <w:szCs w:val="16"/>
                <w:color w:val="auto"/>
              </w:rPr>
            </w:pPr>
          </w:p>
        </w:tc>
        <w:tc>
          <w:tcPr>
            <w:tcW w:w="900" w:type="dxa"/>
            <w:vAlign w:val="bottom"/>
            <w:tcBorders>
              <w:right w:val="single" w:sz="8" w:color="2360A6"/>
            </w:tcBorders>
            <w:shd w:val="clear" w:color="auto" w:fill="EDEDEE"/>
          </w:tcPr>
          <w:p>
            <w:pPr>
              <w:spacing w:after="0"/>
              <w:rPr>
                <w:sz w:val="16"/>
                <w:szCs w:val="16"/>
                <w:color w:val="auto"/>
              </w:rPr>
            </w:pPr>
          </w:p>
        </w:tc>
        <w:tc>
          <w:tcPr>
            <w:tcW w:w="600" w:type="dxa"/>
            <w:vAlign w:val="bottom"/>
            <w:shd w:val="clear" w:color="auto" w:fill="EDEDEE"/>
          </w:tcPr>
          <w:p>
            <w:pPr>
              <w:spacing w:after="0"/>
              <w:rPr>
                <w:sz w:val="16"/>
                <w:szCs w:val="16"/>
                <w:color w:val="auto"/>
              </w:rPr>
            </w:pPr>
          </w:p>
        </w:tc>
        <w:tc>
          <w:tcPr>
            <w:tcW w:w="120" w:type="dxa"/>
            <w:vAlign w:val="bottom"/>
            <w:tcBorders>
              <w:right w:val="single" w:sz="8" w:color="2360A6"/>
            </w:tcBorders>
            <w:shd w:val="clear" w:color="auto" w:fill="EDEDEE"/>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Borders>
              <w:right w:val="single" w:sz="8" w:color="2360A6"/>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shd w:val="clear" w:color="auto" w:fill="2360A6"/>
          </w:tcPr>
          <w:p>
            <w:pPr>
              <w:spacing w:after="0"/>
              <w:rPr>
                <w:sz w:val="16"/>
                <w:szCs w:val="16"/>
                <w:color w:val="auto"/>
              </w:rPr>
            </w:pPr>
          </w:p>
        </w:tc>
      </w:tr>
      <w:tr>
        <w:trPr>
          <w:trHeight w:val="178"/>
        </w:trPr>
        <w:tc>
          <w:tcPr>
            <w:tcW w:w="20" w:type="dxa"/>
            <w:vAlign w:val="bottom"/>
            <w:tcBorders>
              <w:bottom w:val="single" w:sz="8" w:color="2360A6"/>
            </w:tcBorders>
            <w:shd w:val="clear" w:color="auto" w:fill="2360A6"/>
          </w:tcPr>
          <w:p>
            <w:pPr>
              <w:spacing w:after="0"/>
              <w:rPr>
                <w:sz w:val="15"/>
                <w:szCs w:val="15"/>
                <w:color w:val="auto"/>
              </w:rPr>
            </w:pPr>
          </w:p>
        </w:tc>
        <w:tc>
          <w:tcPr>
            <w:tcW w:w="234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related to Operating Activities</w:t>
            </w:r>
          </w:p>
        </w:tc>
        <w:tc>
          <w:tcPr>
            <w:tcW w:w="120" w:type="dxa"/>
            <w:vAlign w:val="bottom"/>
            <w:tcBorders>
              <w:bottom w:val="single" w:sz="8" w:color="2360A6"/>
              <w:right w:val="single" w:sz="8" w:color="EDEDEE"/>
            </w:tcBorders>
            <w:shd w:val="clear" w:color="auto" w:fill="EDEDEE"/>
          </w:tcPr>
          <w:p>
            <w:pPr>
              <w:spacing w:after="0"/>
              <w:rPr>
                <w:sz w:val="15"/>
                <w:szCs w:val="15"/>
                <w:color w:val="auto"/>
              </w:rPr>
            </w:pP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430.6</w:t>
            </w:r>
          </w:p>
        </w:tc>
        <w:tc>
          <w:tcPr>
            <w:tcW w:w="120" w:type="dxa"/>
            <w:vAlign w:val="bottom"/>
            <w:tcBorders>
              <w:bottom w:val="single" w:sz="8" w:color="2360A6"/>
              <w:right w:val="single" w:sz="8" w:color="EDEDEE"/>
            </w:tcBorders>
            <w:shd w:val="clear" w:color="auto" w:fill="EDEDEE"/>
          </w:tcPr>
          <w:p>
            <w:pPr>
              <w:spacing w:after="0"/>
              <w:rPr>
                <w:sz w:val="15"/>
                <w:szCs w:val="15"/>
                <w:color w:val="auto"/>
              </w:rPr>
            </w:pPr>
          </w:p>
        </w:tc>
        <w:tc>
          <w:tcPr>
            <w:tcW w:w="96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472.9</w:t>
            </w:r>
          </w:p>
        </w:tc>
        <w:tc>
          <w:tcPr>
            <w:tcW w:w="300" w:type="dxa"/>
            <w:vAlign w:val="bottom"/>
            <w:tcBorders>
              <w:bottom w:val="single" w:sz="8" w:color="2360A6"/>
              <w:right w:val="single" w:sz="8" w:color="EDEDEE"/>
            </w:tcBorders>
            <w:shd w:val="clear" w:color="auto" w:fill="EDEDEE"/>
          </w:tcPr>
          <w:p>
            <w:pPr>
              <w:spacing w:after="0"/>
              <w:rPr>
                <w:sz w:val="15"/>
                <w:szCs w:val="15"/>
                <w:color w:val="auto"/>
              </w:rPr>
            </w:pPr>
          </w:p>
        </w:tc>
        <w:tc>
          <w:tcPr>
            <w:tcW w:w="400" w:type="dxa"/>
            <w:vAlign w:val="bottom"/>
            <w:tcBorders>
              <w:bottom w:val="single" w:sz="8" w:color="2360A6"/>
            </w:tcBorders>
            <w:shd w:val="clear" w:color="auto" w:fill="EDEDEE"/>
          </w:tcPr>
          <w:p>
            <w:pPr>
              <w:spacing w:after="0"/>
              <w:rPr>
                <w:sz w:val="15"/>
                <w:szCs w:val="15"/>
                <w:color w:val="auto"/>
              </w:rPr>
            </w:pPr>
          </w:p>
        </w:tc>
        <w:tc>
          <w:tcPr>
            <w:tcW w:w="9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11.8</w:t>
            </w:r>
          </w:p>
        </w:tc>
        <w:tc>
          <w:tcPr>
            <w:tcW w:w="60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915.3</w:t>
            </w:r>
          </w:p>
        </w:tc>
        <w:tc>
          <w:tcPr>
            <w:tcW w:w="120" w:type="dxa"/>
            <w:vAlign w:val="bottom"/>
            <w:tcBorders>
              <w:bottom w:val="single" w:sz="8" w:color="2360A6"/>
              <w:right w:val="single" w:sz="8" w:color="2360A6"/>
            </w:tcBorders>
            <w:shd w:val="clear" w:color="auto" w:fill="EDEDEE"/>
          </w:tcPr>
          <w:p>
            <w:pPr>
              <w:spacing w:after="0"/>
              <w:rPr>
                <w:sz w:val="15"/>
                <w:szCs w:val="15"/>
                <w:color w:val="auto"/>
              </w:rPr>
            </w:pPr>
          </w:p>
        </w:tc>
        <w:tc>
          <w:tcPr>
            <w:tcW w:w="220" w:type="dxa"/>
            <w:vAlign w:val="bottom"/>
            <w:tcBorders>
              <w:bottom w:val="single" w:sz="8" w:color="2360A6"/>
            </w:tcBorders>
          </w:tcPr>
          <w:p>
            <w:pPr>
              <w:spacing w:after="0"/>
              <w:rPr>
                <w:sz w:val="15"/>
                <w:szCs w:val="15"/>
                <w:color w:val="auto"/>
              </w:rPr>
            </w:pPr>
          </w:p>
        </w:tc>
        <w:tc>
          <w:tcPr>
            <w:tcW w:w="15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730.4</w:t>
            </w:r>
          </w:p>
        </w:tc>
        <w:tc>
          <w:tcPr>
            <w:tcW w:w="100" w:type="dxa"/>
            <w:vAlign w:val="bottom"/>
            <w:tcBorders>
              <w:bottom w:val="single" w:sz="8" w:color="2360A6"/>
            </w:tcBorders>
          </w:tcPr>
          <w:p>
            <w:pPr>
              <w:spacing w:after="0"/>
              <w:rPr>
                <w:sz w:val="15"/>
                <w:szCs w:val="15"/>
                <w:color w:val="auto"/>
              </w:rPr>
            </w:pPr>
          </w:p>
        </w:tc>
        <w:tc>
          <w:tcPr>
            <w:tcW w:w="1660" w:type="dxa"/>
            <w:vAlign w:val="bottom"/>
            <w:tcBorders>
              <w:bottom w:val="single" w:sz="8" w:color="2360A6"/>
            </w:tcBorders>
          </w:tcPr>
          <w:p>
            <w:pPr>
              <w:jc w:val="right"/>
              <w:ind w:right="28"/>
              <w:spacing w:after="0"/>
              <w:rPr>
                <w:sz w:val="20"/>
                <w:szCs w:val="20"/>
                <w:color w:val="auto"/>
              </w:rPr>
            </w:pPr>
            <w:r>
              <w:rPr>
                <w:rFonts w:ascii="Arial" w:cs="Arial" w:eastAsia="Arial" w:hAnsi="Arial"/>
                <w:sz w:val="14"/>
                <w:szCs w:val="14"/>
                <w:color w:val="231F20"/>
              </w:rPr>
              <w:t>831.6</w:t>
            </w:r>
          </w:p>
        </w:tc>
        <w:tc>
          <w:tcPr>
            <w:tcW w:w="20" w:type="dxa"/>
            <w:vAlign w:val="bottom"/>
            <w:tcBorders>
              <w:bottom w:val="single" w:sz="8" w:color="2360A6"/>
            </w:tcBorders>
            <w:shd w:val="clear" w:color="auto" w:fill="2360A6"/>
          </w:tcPr>
          <w:p>
            <w:pPr>
              <w:spacing w:after="0"/>
              <w:rPr>
                <w:sz w:val="15"/>
                <w:szCs w:val="15"/>
                <w:color w:val="auto"/>
              </w:rPr>
            </w:pPr>
          </w:p>
        </w:tc>
      </w:tr>
      <w:tr>
        <w:trPr>
          <w:trHeight w:val="175"/>
        </w:trPr>
        <w:tc>
          <w:tcPr>
            <w:tcW w:w="20" w:type="dxa"/>
            <w:vAlign w:val="bottom"/>
            <w:shd w:val="clear" w:color="auto" w:fill="2360A6"/>
          </w:tcPr>
          <w:p>
            <w:pPr>
              <w:spacing w:after="0"/>
              <w:rPr>
                <w:sz w:val="15"/>
                <w:szCs w:val="15"/>
                <w:color w:val="auto"/>
              </w:rPr>
            </w:pPr>
          </w:p>
        </w:tc>
        <w:tc>
          <w:tcPr>
            <w:tcW w:w="2340" w:type="dxa"/>
            <w:vAlign w:val="bottom"/>
            <w:tcBorders>
              <w:left w:val="single" w:sz="8" w:color="D2DEEC"/>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COMMITMENTS</w:t>
            </w:r>
          </w:p>
        </w:tc>
        <w:tc>
          <w:tcPr>
            <w:tcW w:w="120" w:type="dxa"/>
            <w:vAlign w:val="bottom"/>
            <w:tcBorders>
              <w:right w:val="single" w:sz="8" w:color="D2DEEC"/>
            </w:tcBorders>
            <w:shd w:val="clear" w:color="auto" w:fill="D2DEEC"/>
          </w:tcPr>
          <w:p>
            <w:pPr>
              <w:spacing w:after="0"/>
              <w:rPr>
                <w:sz w:val="15"/>
                <w:szCs w:val="15"/>
                <w:color w:val="auto"/>
              </w:rPr>
            </w:pPr>
          </w:p>
        </w:tc>
        <w:tc>
          <w:tcPr>
            <w:tcW w:w="1160" w:type="dxa"/>
            <w:vAlign w:val="bottom"/>
            <w:tcBorders>
              <w:right w:val="single" w:sz="8" w:color="2360A6"/>
            </w:tcBorders>
            <w:shd w:val="clear" w:color="auto" w:fill="D2DEEC"/>
          </w:tcPr>
          <w:p>
            <w:pPr>
              <w:spacing w:after="0"/>
              <w:rPr>
                <w:sz w:val="15"/>
                <w:szCs w:val="15"/>
                <w:color w:val="auto"/>
              </w:rPr>
            </w:pPr>
          </w:p>
        </w:tc>
        <w:tc>
          <w:tcPr>
            <w:tcW w:w="120" w:type="dxa"/>
            <w:vAlign w:val="bottom"/>
            <w:tcBorders>
              <w:right w:val="single" w:sz="8" w:color="D2DEEC"/>
            </w:tcBorders>
            <w:shd w:val="clear" w:color="auto" w:fill="D2DEEC"/>
          </w:tcPr>
          <w:p>
            <w:pPr>
              <w:spacing w:after="0"/>
              <w:rPr>
                <w:sz w:val="15"/>
                <w:szCs w:val="15"/>
                <w:color w:val="auto"/>
              </w:rPr>
            </w:pPr>
          </w:p>
        </w:tc>
        <w:tc>
          <w:tcPr>
            <w:tcW w:w="960" w:type="dxa"/>
            <w:vAlign w:val="bottom"/>
            <w:tcBorders>
              <w:right w:val="single" w:sz="8" w:color="2360A6"/>
            </w:tcBorders>
            <w:shd w:val="clear" w:color="auto" w:fill="D2DEEC"/>
          </w:tcPr>
          <w:p>
            <w:pPr>
              <w:spacing w:after="0"/>
              <w:rPr>
                <w:sz w:val="15"/>
                <w:szCs w:val="15"/>
                <w:color w:val="auto"/>
              </w:rPr>
            </w:pPr>
          </w:p>
        </w:tc>
        <w:tc>
          <w:tcPr>
            <w:tcW w:w="300" w:type="dxa"/>
            <w:vAlign w:val="bottom"/>
            <w:tcBorders>
              <w:right w:val="single" w:sz="8" w:color="D2DEEC"/>
            </w:tcBorders>
            <w:shd w:val="clear" w:color="auto" w:fill="D2DEEC"/>
          </w:tcPr>
          <w:p>
            <w:pPr>
              <w:spacing w:after="0"/>
              <w:rPr>
                <w:sz w:val="15"/>
                <w:szCs w:val="15"/>
                <w:color w:val="auto"/>
              </w:rPr>
            </w:pPr>
          </w:p>
        </w:tc>
        <w:tc>
          <w:tcPr>
            <w:tcW w:w="400" w:type="dxa"/>
            <w:vAlign w:val="bottom"/>
            <w:shd w:val="clear" w:color="auto" w:fill="D2DEEC"/>
          </w:tcPr>
          <w:p>
            <w:pPr>
              <w:spacing w:after="0"/>
              <w:rPr>
                <w:sz w:val="15"/>
                <w:szCs w:val="15"/>
                <w:color w:val="auto"/>
              </w:rPr>
            </w:pPr>
          </w:p>
        </w:tc>
        <w:tc>
          <w:tcPr>
            <w:tcW w:w="900" w:type="dxa"/>
            <w:vAlign w:val="bottom"/>
            <w:tcBorders>
              <w:right w:val="single" w:sz="8" w:color="2360A6"/>
            </w:tcBorders>
            <w:shd w:val="clear" w:color="auto" w:fill="D2DEEC"/>
          </w:tcPr>
          <w:p>
            <w:pPr>
              <w:spacing w:after="0"/>
              <w:rPr>
                <w:sz w:val="15"/>
                <w:szCs w:val="15"/>
                <w:color w:val="auto"/>
              </w:rPr>
            </w:pPr>
          </w:p>
        </w:tc>
        <w:tc>
          <w:tcPr>
            <w:tcW w:w="600" w:type="dxa"/>
            <w:vAlign w:val="bottom"/>
            <w:shd w:val="clear" w:color="auto" w:fill="D2DEEC"/>
          </w:tcPr>
          <w:p>
            <w:pPr>
              <w:spacing w:after="0"/>
              <w:rPr>
                <w:sz w:val="15"/>
                <w:szCs w:val="15"/>
                <w:color w:val="auto"/>
              </w:rPr>
            </w:pPr>
          </w:p>
        </w:tc>
        <w:tc>
          <w:tcPr>
            <w:tcW w:w="120" w:type="dxa"/>
            <w:vAlign w:val="bottom"/>
            <w:tcBorders>
              <w:right w:val="single" w:sz="8" w:color="2360A6"/>
            </w:tcBorders>
            <w:shd w:val="clear" w:color="auto" w:fill="D2DEEC"/>
          </w:tcPr>
          <w:p>
            <w:pPr>
              <w:spacing w:after="0"/>
              <w:rPr>
                <w:sz w:val="15"/>
                <w:szCs w:val="15"/>
                <w:color w:val="auto"/>
              </w:rPr>
            </w:pPr>
          </w:p>
        </w:tc>
        <w:tc>
          <w:tcPr>
            <w:tcW w:w="220" w:type="dxa"/>
            <w:vAlign w:val="bottom"/>
            <w:tcBorders>
              <w:right w:val="single" w:sz="8" w:color="D2DEEC"/>
            </w:tcBorders>
            <w:shd w:val="clear" w:color="auto" w:fill="D2DEEC"/>
          </w:tcPr>
          <w:p>
            <w:pPr>
              <w:spacing w:after="0"/>
              <w:rPr>
                <w:sz w:val="15"/>
                <w:szCs w:val="15"/>
                <w:color w:val="auto"/>
              </w:rPr>
            </w:pPr>
          </w:p>
        </w:tc>
        <w:tc>
          <w:tcPr>
            <w:tcW w:w="1560" w:type="dxa"/>
            <w:vAlign w:val="bottom"/>
            <w:tcBorders>
              <w:right w:val="single" w:sz="8" w:color="2360A6"/>
            </w:tcBorders>
            <w:shd w:val="clear" w:color="auto" w:fill="D2DEEC"/>
          </w:tcPr>
          <w:p>
            <w:pPr>
              <w:spacing w:after="0"/>
              <w:rPr>
                <w:sz w:val="15"/>
                <w:szCs w:val="15"/>
                <w:color w:val="auto"/>
              </w:rPr>
            </w:pPr>
          </w:p>
        </w:tc>
        <w:tc>
          <w:tcPr>
            <w:tcW w:w="100" w:type="dxa"/>
            <w:vAlign w:val="bottom"/>
            <w:tcBorders>
              <w:right w:val="single" w:sz="8" w:color="D2DEEC"/>
            </w:tcBorders>
            <w:shd w:val="clear" w:color="auto" w:fill="D2DEEC"/>
          </w:tcPr>
          <w:p>
            <w:pPr>
              <w:spacing w:after="0"/>
              <w:rPr>
                <w:sz w:val="15"/>
                <w:szCs w:val="15"/>
                <w:color w:val="auto"/>
              </w:rPr>
            </w:pPr>
          </w:p>
        </w:tc>
        <w:tc>
          <w:tcPr>
            <w:tcW w:w="1660" w:type="dxa"/>
            <w:vAlign w:val="bottom"/>
            <w:tcBorders>
              <w:right w:val="single" w:sz="8" w:color="D2DEEC"/>
            </w:tcBorders>
            <w:shd w:val="clear" w:color="auto" w:fill="D2DEEC"/>
          </w:tcPr>
          <w:p>
            <w:pPr>
              <w:spacing w:after="0"/>
              <w:rPr>
                <w:sz w:val="15"/>
                <w:szCs w:val="15"/>
                <w:color w:val="auto"/>
              </w:rPr>
            </w:pPr>
          </w:p>
        </w:tc>
        <w:tc>
          <w:tcPr>
            <w:tcW w:w="20" w:type="dxa"/>
            <w:vAlign w:val="bottom"/>
            <w:shd w:val="clear" w:color="auto" w:fill="2360A6"/>
          </w:tcPr>
          <w:p>
            <w:pPr>
              <w:spacing w:after="0"/>
              <w:rPr>
                <w:sz w:val="15"/>
                <w:szCs w:val="15"/>
                <w:color w:val="auto"/>
              </w:rPr>
            </w:pPr>
          </w:p>
        </w:tc>
      </w:tr>
      <w:tr>
        <w:trPr>
          <w:trHeight w:val="162"/>
        </w:trPr>
        <w:tc>
          <w:tcPr>
            <w:tcW w:w="20" w:type="dxa"/>
            <w:vAlign w:val="bottom"/>
            <w:shd w:val="clear" w:color="auto" w:fill="2360A6"/>
          </w:tcPr>
          <w:p>
            <w:pPr>
              <w:spacing w:after="0"/>
              <w:rPr>
                <w:sz w:val="14"/>
                <w:szCs w:val="14"/>
                <w:color w:val="auto"/>
              </w:rPr>
            </w:pPr>
          </w:p>
        </w:tc>
        <w:tc>
          <w:tcPr>
            <w:tcW w:w="2340" w:type="dxa"/>
            <w:vAlign w:val="bottom"/>
            <w:tcBorders>
              <w:left w:val="single" w:sz="8" w:color="D2DEEC"/>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RECEIVED RELATED TO</w:t>
            </w:r>
          </w:p>
        </w:tc>
        <w:tc>
          <w:tcPr>
            <w:tcW w:w="120" w:type="dxa"/>
            <w:vAlign w:val="bottom"/>
            <w:tcBorders>
              <w:right w:val="single" w:sz="8" w:color="D2DEEC"/>
            </w:tcBorders>
            <w:shd w:val="clear" w:color="auto" w:fill="D2DEEC"/>
          </w:tcPr>
          <w:p>
            <w:pPr>
              <w:spacing w:after="0"/>
              <w:rPr>
                <w:sz w:val="14"/>
                <w:szCs w:val="14"/>
                <w:color w:val="auto"/>
              </w:rPr>
            </w:pPr>
          </w:p>
        </w:tc>
        <w:tc>
          <w:tcPr>
            <w:tcW w:w="1160" w:type="dxa"/>
            <w:vAlign w:val="bottom"/>
            <w:tcBorders>
              <w:right w:val="single" w:sz="8" w:color="2360A6"/>
            </w:tcBorders>
            <w:shd w:val="clear" w:color="auto" w:fill="D2DEEC"/>
          </w:tcPr>
          <w:p>
            <w:pPr>
              <w:spacing w:after="0"/>
              <w:rPr>
                <w:sz w:val="14"/>
                <w:szCs w:val="14"/>
                <w:color w:val="auto"/>
              </w:rPr>
            </w:pPr>
          </w:p>
        </w:tc>
        <w:tc>
          <w:tcPr>
            <w:tcW w:w="120" w:type="dxa"/>
            <w:vAlign w:val="bottom"/>
            <w:tcBorders>
              <w:right w:val="single" w:sz="8" w:color="D2DEEC"/>
            </w:tcBorders>
            <w:shd w:val="clear" w:color="auto" w:fill="D2DEEC"/>
          </w:tcPr>
          <w:p>
            <w:pPr>
              <w:spacing w:after="0"/>
              <w:rPr>
                <w:sz w:val="14"/>
                <w:szCs w:val="14"/>
                <w:color w:val="auto"/>
              </w:rPr>
            </w:pPr>
          </w:p>
        </w:tc>
        <w:tc>
          <w:tcPr>
            <w:tcW w:w="960" w:type="dxa"/>
            <w:vAlign w:val="bottom"/>
            <w:tcBorders>
              <w:right w:val="single" w:sz="8" w:color="2360A6"/>
            </w:tcBorders>
            <w:shd w:val="clear" w:color="auto" w:fill="D2DEEC"/>
          </w:tcPr>
          <w:p>
            <w:pPr>
              <w:spacing w:after="0"/>
              <w:rPr>
                <w:sz w:val="14"/>
                <w:szCs w:val="14"/>
                <w:color w:val="auto"/>
              </w:rPr>
            </w:pPr>
          </w:p>
        </w:tc>
        <w:tc>
          <w:tcPr>
            <w:tcW w:w="300" w:type="dxa"/>
            <w:vAlign w:val="bottom"/>
            <w:tcBorders>
              <w:right w:val="single" w:sz="8" w:color="D2DEEC"/>
            </w:tcBorders>
            <w:shd w:val="clear" w:color="auto" w:fill="D2DEEC"/>
          </w:tcPr>
          <w:p>
            <w:pPr>
              <w:spacing w:after="0"/>
              <w:rPr>
                <w:sz w:val="14"/>
                <w:szCs w:val="14"/>
                <w:color w:val="auto"/>
              </w:rPr>
            </w:pPr>
          </w:p>
        </w:tc>
        <w:tc>
          <w:tcPr>
            <w:tcW w:w="400" w:type="dxa"/>
            <w:vAlign w:val="bottom"/>
            <w:shd w:val="clear" w:color="auto" w:fill="D2DEEC"/>
          </w:tcPr>
          <w:p>
            <w:pPr>
              <w:spacing w:after="0"/>
              <w:rPr>
                <w:sz w:val="14"/>
                <w:szCs w:val="14"/>
                <w:color w:val="auto"/>
              </w:rPr>
            </w:pPr>
          </w:p>
        </w:tc>
        <w:tc>
          <w:tcPr>
            <w:tcW w:w="900" w:type="dxa"/>
            <w:vAlign w:val="bottom"/>
            <w:tcBorders>
              <w:right w:val="single" w:sz="8" w:color="2360A6"/>
            </w:tcBorders>
            <w:shd w:val="clear" w:color="auto" w:fill="D2DEEC"/>
          </w:tcPr>
          <w:p>
            <w:pPr>
              <w:spacing w:after="0"/>
              <w:rPr>
                <w:sz w:val="14"/>
                <w:szCs w:val="14"/>
                <w:color w:val="auto"/>
              </w:rPr>
            </w:pPr>
          </w:p>
        </w:tc>
        <w:tc>
          <w:tcPr>
            <w:tcW w:w="600" w:type="dxa"/>
            <w:vAlign w:val="bottom"/>
            <w:shd w:val="clear" w:color="auto" w:fill="D2DEEC"/>
          </w:tcPr>
          <w:p>
            <w:pPr>
              <w:spacing w:after="0"/>
              <w:rPr>
                <w:sz w:val="14"/>
                <w:szCs w:val="14"/>
                <w:color w:val="auto"/>
              </w:rPr>
            </w:pPr>
          </w:p>
        </w:tc>
        <w:tc>
          <w:tcPr>
            <w:tcW w:w="120" w:type="dxa"/>
            <w:vAlign w:val="bottom"/>
            <w:tcBorders>
              <w:right w:val="single" w:sz="8" w:color="2360A6"/>
            </w:tcBorders>
            <w:shd w:val="clear" w:color="auto" w:fill="D2DEEC"/>
          </w:tcPr>
          <w:p>
            <w:pPr>
              <w:spacing w:after="0"/>
              <w:rPr>
                <w:sz w:val="14"/>
                <w:szCs w:val="14"/>
                <w:color w:val="auto"/>
              </w:rPr>
            </w:pPr>
          </w:p>
        </w:tc>
        <w:tc>
          <w:tcPr>
            <w:tcW w:w="220" w:type="dxa"/>
            <w:vAlign w:val="bottom"/>
            <w:tcBorders>
              <w:right w:val="single" w:sz="8" w:color="D2DEEC"/>
            </w:tcBorders>
            <w:shd w:val="clear" w:color="auto" w:fill="D2DEEC"/>
          </w:tcPr>
          <w:p>
            <w:pPr>
              <w:spacing w:after="0"/>
              <w:rPr>
                <w:sz w:val="14"/>
                <w:szCs w:val="14"/>
                <w:color w:val="auto"/>
              </w:rPr>
            </w:pPr>
          </w:p>
        </w:tc>
        <w:tc>
          <w:tcPr>
            <w:tcW w:w="1560" w:type="dxa"/>
            <w:vAlign w:val="bottom"/>
            <w:tcBorders>
              <w:right w:val="single" w:sz="8" w:color="2360A6"/>
            </w:tcBorders>
            <w:shd w:val="clear" w:color="auto" w:fill="D2DEEC"/>
          </w:tcPr>
          <w:p>
            <w:pPr>
              <w:spacing w:after="0"/>
              <w:rPr>
                <w:sz w:val="14"/>
                <w:szCs w:val="14"/>
                <w:color w:val="auto"/>
              </w:rPr>
            </w:pPr>
          </w:p>
        </w:tc>
        <w:tc>
          <w:tcPr>
            <w:tcW w:w="100" w:type="dxa"/>
            <w:vAlign w:val="bottom"/>
            <w:tcBorders>
              <w:right w:val="single" w:sz="8" w:color="D2DEEC"/>
            </w:tcBorders>
            <w:shd w:val="clear" w:color="auto" w:fill="D2DEEC"/>
          </w:tcPr>
          <w:p>
            <w:pPr>
              <w:spacing w:after="0"/>
              <w:rPr>
                <w:sz w:val="14"/>
                <w:szCs w:val="14"/>
                <w:color w:val="auto"/>
              </w:rPr>
            </w:pPr>
          </w:p>
        </w:tc>
        <w:tc>
          <w:tcPr>
            <w:tcW w:w="1660" w:type="dxa"/>
            <w:vAlign w:val="bottom"/>
            <w:tcBorders>
              <w:right w:val="single" w:sz="8" w:color="D2DEEC"/>
            </w:tcBorders>
            <w:shd w:val="clear" w:color="auto" w:fill="D2DEEC"/>
          </w:tcPr>
          <w:p>
            <w:pPr>
              <w:spacing w:after="0"/>
              <w:rPr>
                <w:sz w:val="14"/>
                <w:szCs w:val="14"/>
                <w:color w:val="auto"/>
              </w:rPr>
            </w:pPr>
          </w:p>
        </w:tc>
        <w:tc>
          <w:tcPr>
            <w:tcW w:w="20" w:type="dxa"/>
            <w:vAlign w:val="bottom"/>
            <w:shd w:val="clear" w:color="auto" w:fill="2360A6"/>
          </w:tcPr>
          <w:p>
            <w:pPr>
              <w:spacing w:after="0"/>
              <w:rPr>
                <w:sz w:val="14"/>
                <w:szCs w:val="14"/>
                <w:color w:val="auto"/>
              </w:rPr>
            </w:pPr>
          </w:p>
        </w:tc>
      </w:tr>
      <w:tr>
        <w:trPr>
          <w:trHeight w:val="196"/>
        </w:trPr>
        <w:tc>
          <w:tcPr>
            <w:tcW w:w="20" w:type="dxa"/>
            <w:vAlign w:val="bottom"/>
            <w:tcBorders>
              <w:bottom w:val="single" w:sz="8" w:color="2360A6"/>
            </w:tcBorders>
            <w:shd w:val="clear" w:color="auto" w:fill="2360A6"/>
          </w:tcPr>
          <w:p>
            <w:pPr>
              <w:spacing w:after="0"/>
              <w:rPr>
                <w:sz w:val="17"/>
                <w:szCs w:val="17"/>
                <w:color w:val="auto"/>
              </w:rPr>
            </w:pPr>
          </w:p>
        </w:tc>
        <w:tc>
          <w:tcPr>
            <w:tcW w:w="2340" w:type="dxa"/>
            <w:vAlign w:val="bottom"/>
            <w:tcBorders>
              <w:left w:val="single" w:sz="8" w:color="D2DEEC"/>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OPERATING ACTIVITIES</w:t>
            </w:r>
          </w:p>
        </w:tc>
        <w:tc>
          <w:tcPr>
            <w:tcW w:w="120" w:type="dxa"/>
            <w:vAlign w:val="bottom"/>
            <w:tcBorders>
              <w:bottom w:val="single" w:sz="8" w:color="2360A6"/>
              <w:right w:val="single" w:sz="8" w:color="D2DEEC"/>
            </w:tcBorders>
            <w:shd w:val="clear" w:color="auto" w:fill="D2DEEC"/>
          </w:tcPr>
          <w:p>
            <w:pPr>
              <w:spacing w:after="0"/>
              <w:rPr>
                <w:sz w:val="17"/>
                <w:szCs w:val="17"/>
                <w:color w:val="auto"/>
              </w:rPr>
            </w:pPr>
          </w:p>
        </w:tc>
        <w:tc>
          <w:tcPr>
            <w:tcW w:w="11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430.6</w:t>
            </w:r>
          </w:p>
        </w:tc>
        <w:tc>
          <w:tcPr>
            <w:tcW w:w="120" w:type="dxa"/>
            <w:vAlign w:val="bottom"/>
            <w:tcBorders>
              <w:bottom w:val="single" w:sz="8" w:color="2360A6"/>
              <w:right w:val="single" w:sz="8" w:color="D2DEEC"/>
            </w:tcBorders>
            <w:shd w:val="clear" w:color="auto" w:fill="D2DEEC"/>
          </w:tcPr>
          <w:p>
            <w:pPr>
              <w:spacing w:after="0"/>
              <w:rPr>
                <w:sz w:val="17"/>
                <w:szCs w:val="17"/>
                <w:color w:val="auto"/>
              </w:rPr>
            </w:pPr>
          </w:p>
        </w:tc>
        <w:tc>
          <w:tcPr>
            <w:tcW w:w="96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472.9</w:t>
            </w:r>
          </w:p>
        </w:tc>
        <w:tc>
          <w:tcPr>
            <w:tcW w:w="300" w:type="dxa"/>
            <w:vAlign w:val="bottom"/>
            <w:tcBorders>
              <w:bottom w:val="single" w:sz="8" w:color="2360A6"/>
              <w:right w:val="single" w:sz="8" w:color="D2DEEC"/>
            </w:tcBorders>
            <w:shd w:val="clear" w:color="auto" w:fill="D2DEEC"/>
          </w:tcPr>
          <w:p>
            <w:pPr>
              <w:spacing w:after="0"/>
              <w:rPr>
                <w:sz w:val="17"/>
                <w:szCs w:val="17"/>
                <w:color w:val="auto"/>
              </w:rPr>
            </w:pPr>
          </w:p>
        </w:tc>
        <w:tc>
          <w:tcPr>
            <w:tcW w:w="400" w:type="dxa"/>
            <w:vAlign w:val="bottom"/>
            <w:tcBorders>
              <w:bottom w:val="single" w:sz="8" w:color="2360A6"/>
            </w:tcBorders>
            <w:shd w:val="clear" w:color="auto" w:fill="D2DEEC"/>
          </w:tcPr>
          <w:p>
            <w:pPr>
              <w:spacing w:after="0"/>
              <w:rPr>
                <w:sz w:val="17"/>
                <w:szCs w:val="17"/>
                <w:color w:val="auto"/>
              </w:rPr>
            </w:pPr>
          </w:p>
        </w:tc>
        <w:tc>
          <w:tcPr>
            <w:tcW w:w="90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11.8</w:t>
            </w:r>
          </w:p>
        </w:tc>
        <w:tc>
          <w:tcPr>
            <w:tcW w:w="720" w:type="dxa"/>
            <w:vAlign w:val="bottom"/>
            <w:tcBorders>
              <w:bottom w:val="single" w:sz="8" w:color="2360A6"/>
              <w:right w:val="single" w:sz="8" w:color="2360A6"/>
            </w:tcBorders>
            <w:gridSpan w:val="2"/>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915.3</w:t>
            </w:r>
          </w:p>
        </w:tc>
        <w:tc>
          <w:tcPr>
            <w:tcW w:w="220" w:type="dxa"/>
            <w:vAlign w:val="bottom"/>
            <w:tcBorders>
              <w:bottom w:val="single" w:sz="8" w:color="2360A6"/>
              <w:right w:val="single" w:sz="8" w:color="D2DEEC"/>
            </w:tcBorders>
            <w:shd w:val="clear" w:color="auto" w:fill="D2DEEC"/>
          </w:tcPr>
          <w:p>
            <w:pPr>
              <w:spacing w:after="0"/>
              <w:rPr>
                <w:sz w:val="17"/>
                <w:szCs w:val="17"/>
                <w:color w:val="auto"/>
              </w:rPr>
            </w:pPr>
          </w:p>
        </w:tc>
        <w:tc>
          <w:tcPr>
            <w:tcW w:w="15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730.4</w:t>
            </w:r>
          </w:p>
        </w:tc>
        <w:tc>
          <w:tcPr>
            <w:tcW w:w="100" w:type="dxa"/>
            <w:vAlign w:val="bottom"/>
            <w:tcBorders>
              <w:bottom w:val="single" w:sz="8" w:color="2360A6"/>
              <w:right w:val="single" w:sz="8" w:color="D2DEEC"/>
            </w:tcBorders>
            <w:shd w:val="clear" w:color="auto" w:fill="D2DEEC"/>
          </w:tcPr>
          <w:p>
            <w:pPr>
              <w:spacing w:after="0"/>
              <w:rPr>
                <w:sz w:val="17"/>
                <w:szCs w:val="17"/>
                <w:color w:val="auto"/>
              </w:rPr>
            </w:pPr>
          </w:p>
        </w:tc>
        <w:tc>
          <w:tcPr>
            <w:tcW w:w="1660" w:type="dxa"/>
            <w:vAlign w:val="bottom"/>
            <w:tcBorders>
              <w:bottom w:val="single" w:sz="8" w:color="2360A6"/>
              <w:right w:val="single" w:sz="8" w:color="D2DEEC"/>
            </w:tcBorders>
            <w:shd w:val="clear" w:color="auto" w:fill="D2DEEC"/>
          </w:tcPr>
          <w:p>
            <w:pPr>
              <w:jc w:val="right"/>
              <w:ind w:right="28"/>
              <w:spacing w:after="0"/>
              <w:rPr>
                <w:sz w:val="20"/>
                <w:szCs w:val="20"/>
                <w:color w:val="auto"/>
              </w:rPr>
            </w:pPr>
            <w:r>
              <w:rPr>
                <w:rFonts w:ascii="Arial" w:cs="Arial" w:eastAsia="Arial" w:hAnsi="Arial"/>
                <w:sz w:val="14"/>
                <w:szCs w:val="14"/>
                <w:b w:val="1"/>
                <w:bCs w:val="1"/>
                <w:color w:val="2360A6"/>
              </w:rPr>
              <w:t>831.6</w:t>
            </w:r>
          </w:p>
        </w:tc>
        <w:tc>
          <w:tcPr>
            <w:tcW w:w="20" w:type="dxa"/>
            <w:vAlign w:val="bottom"/>
            <w:tcBorders>
              <w:bottom w:val="single" w:sz="8" w:color="2360A6"/>
            </w:tcBorders>
            <w:shd w:val="clear" w:color="auto" w:fill="2360A6"/>
          </w:tcPr>
          <w:p>
            <w:pPr>
              <w:spacing w:after="0"/>
              <w:rPr>
                <w:sz w:val="17"/>
                <w:szCs w:val="17"/>
                <w:color w:val="auto"/>
              </w:rPr>
            </w:pPr>
          </w:p>
        </w:tc>
      </w:tr>
      <w:tr>
        <w:trPr>
          <w:trHeight w:val="179"/>
        </w:trPr>
        <w:tc>
          <w:tcPr>
            <w:tcW w:w="20" w:type="dxa"/>
            <w:vAlign w:val="bottom"/>
            <w:shd w:val="clear" w:color="auto" w:fill="2360A6"/>
          </w:tcPr>
          <w:p>
            <w:pPr>
              <w:spacing w:after="0"/>
              <w:rPr>
                <w:sz w:val="15"/>
                <w:szCs w:val="15"/>
                <w:color w:val="auto"/>
              </w:rPr>
            </w:pPr>
          </w:p>
        </w:tc>
        <w:tc>
          <w:tcPr>
            <w:tcW w:w="2340" w:type="dxa"/>
            <w:vAlign w:val="bottom"/>
            <w:tcBorders>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Of which commitments given</w:t>
            </w:r>
          </w:p>
        </w:tc>
        <w:tc>
          <w:tcPr>
            <w:tcW w:w="120" w:type="dxa"/>
            <w:vAlign w:val="bottom"/>
            <w:tcBorders>
              <w:right w:val="single" w:sz="8" w:color="EDEDEE"/>
            </w:tcBorders>
            <w:shd w:val="clear" w:color="auto" w:fill="EDEDEE"/>
          </w:tcPr>
          <w:p>
            <w:pPr>
              <w:spacing w:after="0"/>
              <w:rPr>
                <w:sz w:val="15"/>
                <w:szCs w:val="15"/>
                <w:color w:val="auto"/>
              </w:rPr>
            </w:pPr>
          </w:p>
        </w:tc>
        <w:tc>
          <w:tcPr>
            <w:tcW w:w="1160" w:type="dxa"/>
            <w:vAlign w:val="bottom"/>
            <w:tcBorders>
              <w:right w:val="single" w:sz="8" w:color="2360A6"/>
            </w:tcBorders>
            <w:shd w:val="clear" w:color="auto" w:fill="EDEDEE"/>
          </w:tcPr>
          <w:p>
            <w:pPr>
              <w:spacing w:after="0"/>
              <w:rPr>
                <w:sz w:val="15"/>
                <w:szCs w:val="15"/>
                <w:color w:val="auto"/>
              </w:rPr>
            </w:pPr>
          </w:p>
        </w:tc>
        <w:tc>
          <w:tcPr>
            <w:tcW w:w="120" w:type="dxa"/>
            <w:vAlign w:val="bottom"/>
            <w:tcBorders>
              <w:right w:val="single" w:sz="8" w:color="EDEDEE"/>
            </w:tcBorders>
            <w:shd w:val="clear" w:color="auto" w:fill="EDEDEE"/>
          </w:tcPr>
          <w:p>
            <w:pPr>
              <w:spacing w:after="0"/>
              <w:rPr>
                <w:sz w:val="15"/>
                <w:szCs w:val="15"/>
                <w:color w:val="auto"/>
              </w:rPr>
            </w:pPr>
          </w:p>
        </w:tc>
        <w:tc>
          <w:tcPr>
            <w:tcW w:w="960" w:type="dxa"/>
            <w:vAlign w:val="bottom"/>
            <w:tcBorders>
              <w:right w:val="single" w:sz="8" w:color="2360A6"/>
            </w:tcBorders>
            <w:shd w:val="clear" w:color="auto" w:fill="EDEDEE"/>
          </w:tcPr>
          <w:p>
            <w:pPr>
              <w:spacing w:after="0"/>
              <w:rPr>
                <w:sz w:val="15"/>
                <w:szCs w:val="15"/>
                <w:color w:val="auto"/>
              </w:rPr>
            </w:pPr>
          </w:p>
        </w:tc>
        <w:tc>
          <w:tcPr>
            <w:tcW w:w="300" w:type="dxa"/>
            <w:vAlign w:val="bottom"/>
            <w:tcBorders>
              <w:right w:val="single" w:sz="8" w:color="EDEDEE"/>
            </w:tcBorders>
            <w:shd w:val="clear" w:color="auto" w:fill="EDEDEE"/>
          </w:tcPr>
          <w:p>
            <w:pPr>
              <w:spacing w:after="0"/>
              <w:rPr>
                <w:sz w:val="15"/>
                <w:szCs w:val="15"/>
                <w:color w:val="auto"/>
              </w:rPr>
            </w:pPr>
          </w:p>
        </w:tc>
        <w:tc>
          <w:tcPr>
            <w:tcW w:w="400" w:type="dxa"/>
            <w:vAlign w:val="bottom"/>
            <w:shd w:val="clear" w:color="auto" w:fill="EDEDEE"/>
          </w:tcPr>
          <w:p>
            <w:pPr>
              <w:spacing w:after="0"/>
              <w:rPr>
                <w:sz w:val="15"/>
                <w:szCs w:val="15"/>
                <w:color w:val="auto"/>
              </w:rPr>
            </w:pPr>
          </w:p>
        </w:tc>
        <w:tc>
          <w:tcPr>
            <w:tcW w:w="900" w:type="dxa"/>
            <w:vAlign w:val="bottom"/>
            <w:tcBorders>
              <w:right w:val="single" w:sz="8" w:color="2360A6"/>
            </w:tcBorders>
            <w:shd w:val="clear" w:color="auto" w:fill="EDEDEE"/>
          </w:tcPr>
          <w:p>
            <w:pPr>
              <w:spacing w:after="0"/>
              <w:rPr>
                <w:sz w:val="15"/>
                <w:szCs w:val="15"/>
                <w:color w:val="auto"/>
              </w:rPr>
            </w:pPr>
          </w:p>
        </w:tc>
        <w:tc>
          <w:tcPr>
            <w:tcW w:w="600" w:type="dxa"/>
            <w:vAlign w:val="bottom"/>
            <w:shd w:val="clear" w:color="auto" w:fill="EDEDEE"/>
          </w:tcPr>
          <w:p>
            <w:pPr>
              <w:spacing w:after="0"/>
              <w:rPr>
                <w:sz w:val="15"/>
                <w:szCs w:val="15"/>
                <w:color w:val="auto"/>
              </w:rPr>
            </w:pPr>
          </w:p>
        </w:tc>
        <w:tc>
          <w:tcPr>
            <w:tcW w:w="120" w:type="dxa"/>
            <w:vAlign w:val="bottom"/>
            <w:tcBorders>
              <w:right w:val="single" w:sz="8" w:color="2360A6"/>
            </w:tcBorders>
            <w:shd w:val="clear" w:color="auto" w:fill="EDEDEE"/>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Borders>
              <w:right w:val="single" w:sz="8" w:color="2360A6"/>
            </w:tcBorders>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 w:type="dxa"/>
            <w:vAlign w:val="bottom"/>
            <w:shd w:val="clear" w:color="auto" w:fill="2360A6"/>
          </w:tcPr>
          <w:p>
            <w:pPr>
              <w:spacing w:after="0"/>
              <w:rPr>
                <w:sz w:val="15"/>
                <w:szCs w:val="15"/>
                <w:color w:val="auto"/>
              </w:rPr>
            </w:pPr>
          </w:p>
        </w:tc>
      </w:tr>
      <w:tr>
        <w:trPr>
          <w:trHeight w:val="192"/>
        </w:trPr>
        <w:tc>
          <w:tcPr>
            <w:tcW w:w="20" w:type="dxa"/>
            <w:vAlign w:val="bottom"/>
            <w:tcBorders>
              <w:bottom w:val="single" w:sz="8" w:color="2360A6"/>
            </w:tcBorders>
            <w:shd w:val="clear" w:color="auto" w:fill="2360A6"/>
          </w:tcPr>
          <w:p>
            <w:pPr>
              <w:spacing w:after="0"/>
              <w:rPr>
                <w:sz w:val="16"/>
                <w:szCs w:val="16"/>
                <w:color w:val="auto"/>
              </w:rPr>
            </w:pPr>
          </w:p>
        </w:tc>
        <w:tc>
          <w:tcPr>
            <w:tcW w:w="2340" w:type="dxa"/>
            <w:vAlign w:val="bottom"/>
            <w:tcBorders>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relating to Joint Operations</w:t>
            </w:r>
          </w:p>
        </w:tc>
        <w:tc>
          <w:tcPr>
            <w:tcW w:w="120" w:type="dxa"/>
            <w:vAlign w:val="bottom"/>
            <w:tcBorders>
              <w:bottom w:val="single" w:sz="8" w:color="2360A6"/>
              <w:right w:val="single" w:sz="8" w:color="EDEDEE"/>
            </w:tcBorders>
            <w:shd w:val="clear" w:color="auto" w:fill="EDEDEE"/>
          </w:tcPr>
          <w:p>
            <w:pPr>
              <w:spacing w:after="0"/>
              <w:rPr>
                <w:sz w:val="16"/>
                <w:szCs w:val="16"/>
                <w:color w:val="auto"/>
              </w:rPr>
            </w:pP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i w:val="1"/>
                <w:iCs w:val="1"/>
                <w:color w:val="231F20"/>
              </w:rPr>
              <w:t>—</w:t>
            </w:r>
          </w:p>
        </w:tc>
        <w:tc>
          <w:tcPr>
            <w:tcW w:w="120" w:type="dxa"/>
            <w:vAlign w:val="bottom"/>
            <w:tcBorders>
              <w:bottom w:val="single" w:sz="8" w:color="2360A6"/>
              <w:right w:val="single" w:sz="8" w:color="EDEDEE"/>
            </w:tcBorders>
            <w:shd w:val="clear" w:color="auto" w:fill="EDEDEE"/>
          </w:tcPr>
          <w:p>
            <w:pPr>
              <w:spacing w:after="0"/>
              <w:rPr>
                <w:sz w:val="16"/>
                <w:szCs w:val="16"/>
                <w:color w:val="auto"/>
              </w:rPr>
            </w:pPr>
          </w:p>
        </w:tc>
        <w:tc>
          <w:tcPr>
            <w:tcW w:w="96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i w:val="1"/>
                <w:iCs w:val="1"/>
                <w:color w:val="231F20"/>
              </w:rPr>
              <w:t>—</w:t>
            </w:r>
          </w:p>
        </w:tc>
        <w:tc>
          <w:tcPr>
            <w:tcW w:w="700" w:type="dxa"/>
            <w:vAlign w:val="bottom"/>
            <w:tcBorders>
              <w:bottom w:val="single" w:sz="8" w:color="2360A6"/>
            </w:tcBorders>
            <w:gridSpan w:val="2"/>
            <w:shd w:val="clear" w:color="auto" w:fill="EDEDEE"/>
          </w:tcPr>
          <w:p>
            <w:pPr>
              <w:spacing w:after="0"/>
              <w:rPr>
                <w:sz w:val="16"/>
                <w:szCs w:val="16"/>
                <w:color w:val="auto"/>
              </w:rPr>
            </w:pPr>
          </w:p>
        </w:tc>
        <w:tc>
          <w:tcPr>
            <w:tcW w:w="9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i w:val="1"/>
                <w:iCs w:val="1"/>
                <w:color w:val="231F20"/>
              </w:rPr>
              <w:t>—</w:t>
            </w:r>
          </w:p>
        </w:tc>
        <w:tc>
          <w:tcPr>
            <w:tcW w:w="720" w:type="dxa"/>
            <w:vAlign w:val="bottom"/>
            <w:tcBorders>
              <w:bottom w:val="single" w:sz="8" w:color="2360A6"/>
              <w:right w:val="single" w:sz="8" w:color="2360A6"/>
            </w:tcBorders>
            <w:gridSpan w:val="2"/>
            <w:shd w:val="clear" w:color="auto" w:fill="EDEDEE"/>
          </w:tcPr>
          <w:p>
            <w:pPr>
              <w:jc w:val="right"/>
              <w:ind w:right="48"/>
              <w:spacing w:after="0"/>
              <w:rPr>
                <w:sz w:val="20"/>
                <w:szCs w:val="20"/>
                <w:color w:val="auto"/>
              </w:rPr>
            </w:pPr>
            <w:r>
              <w:rPr>
                <w:rFonts w:ascii="Arial" w:cs="Arial" w:eastAsia="Arial" w:hAnsi="Arial"/>
                <w:sz w:val="14"/>
                <w:szCs w:val="14"/>
                <w:i w:val="1"/>
                <w:iCs w:val="1"/>
                <w:color w:val="231F20"/>
              </w:rPr>
              <w:t>—</w:t>
            </w:r>
          </w:p>
        </w:tc>
        <w:tc>
          <w:tcPr>
            <w:tcW w:w="220" w:type="dxa"/>
            <w:vAlign w:val="bottom"/>
            <w:tcBorders>
              <w:bottom w:val="single" w:sz="8" w:color="2360A6"/>
            </w:tcBorders>
          </w:tcPr>
          <w:p>
            <w:pPr>
              <w:spacing w:after="0"/>
              <w:rPr>
                <w:sz w:val="16"/>
                <w:szCs w:val="16"/>
                <w:color w:val="auto"/>
              </w:rPr>
            </w:pPr>
          </w:p>
        </w:tc>
        <w:tc>
          <w:tcPr>
            <w:tcW w:w="15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i w:val="1"/>
                <w:iCs w:val="1"/>
                <w:color w:val="231F20"/>
              </w:rPr>
              <w:t>—</w:t>
            </w:r>
          </w:p>
        </w:tc>
        <w:tc>
          <w:tcPr>
            <w:tcW w:w="100" w:type="dxa"/>
            <w:vAlign w:val="bottom"/>
            <w:tcBorders>
              <w:bottom w:val="single" w:sz="8" w:color="2360A6"/>
            </w:tcBorders>
          </w:tcPr>
          <w:p>
            <w:pPr>
              <w:spacing w:after="0"/>
              <w:rPr>
                <w:sz w:val="16"/>
                <w:szCs w:val="16"/>
                <w:color w:val="auto"/>
              </w:rPr>
            </w:pPr>
          </w:p>
        </w:tc>
        <w:tc>
          <w:tcPr>
            <w:tcW w:w="1660" w:type="dxa"/>
            <w:vAlign w:val="bottom"/>
            <w:tcBorders>
              <w:bottom w:val="single" w:sz="8" w:color="2360A6"/>
            </w:tcBorders>
          </w:tcPr>
          <w:p>
            <w:pPr>
              <w:jc w:val="right"/>
              <w:ind w:right="28"/>
              <w:spacing w:after="0"/>
              <w:rPr>
                <w:sz w:val="20"/>
                <w:szCs w:val="20"/>
                <w:color w:val="auto"/>
              </w:rPr>
            </w:pPr>
            <w:r>
              <w:rPr>
                <w:rFonts w:ascii="Arial" w:cs="Arial" w:eastAsia="Arial" w:hAnsi="Arial"/>
                <w:sz w:val="14"/>
                <w:szCs w:val="14"/>
                <w:i w:val="1"/>
                <w:iCs w:val="1"/>
                <w:color w:val="231F20"/>
              </w:rPr>
              <w:t>—</w:t>
            </w:r>
          </w:p>
        </w:tc>
        <w:tc>
          <w:tcPr>
            <w:tcW w:w="20" w:type="dxa"/>
            <w:vAlign w:val="bottom"/>
            <w:tcBorders>
              <w:bottom w:val="single" w:sz="8" w:color="2360A6"/>
            </w:tcBorders>
            <w:shd w:val="clear" w:color="auto" w:fill="2360A6"/>
          </w:tcPr>
          <w:p>
            <w:pPr>
              <w:spacing w:after="0"/>
              <w:rPr>
                <w:sz w:val="16"/>
                <w:szCs w:val="16"/>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Operating leases and capital leases</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The Group leases various equipment, vessels and buildings, mainly under lease contracts that will end within the next ten years. It is likely that the Group will have to renew or to replace them. The Group does not have any assets subject to a capital lease.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231F20"/>
        </w:rPr>
        <w:t>At year-end 2016, the rental expense amounted to €283.3 million compared to €343.9 million in 2015 and €288.6 million in 2014.</w:t>
      </w:r>
    </w:p>
    <w:p>
      <w:pPr>
        <w:sectPr>
          <w:pgSz w:w="11900" w:h="16838" w:orient="portrait"/>
          <w:cols w:equalWidth="0" w:num="1">
            <w:col w:w="11420"/>
          </w:cols>
          <w:pgMar w:left="240" w:top="694" w:right="2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b w:val="1"/>
          <w:bCs w:val="1"/>
          <w:color w:val="2360A6"/>
        </w:rPr>
        <w:t>Guarantees related to operating activities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Commitments given relate mainly to guarantees or counter-guarantees given by banks and insurance companies to various customers in connection with ongoing contracts in order to secure due and proper performance of the contracts or following the payment of retention guarantees and advance billings (€4,314.7 million as of December 31, 2016).</w:t>
      </w:r>
    </w:p>
    <w:p>
      <w:pPr>
        <w:spacing w:after="0" w:line="201"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231F20"/>
        </w:rPr>
        <w:t>Furthermore, parent company guarantees given by Technip or its affiliates to clients cover the due and proper performance of the specified construction contracts for which the average expiration period until the release of the commitment guarantees is approximately five years. The amounts disclosed under the parent company guarantees, which stand at €76,473.2 million as of December 31, 2016, include the portion of contract allocated to the Group’s joint arrangements partners. The latter amounts are neither decreased according to project percentage of completion, nor reduced by the amount of parent company guarantees received from Technip’s partners in these joint arrangements, same partners for which Technip issues parent company guarantees.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2016, the parent company guarantees issued by Technip for contracts outside the scope of a joint venture amount to €31,195.0 million.</w:t>
      </w:r>
    </w:p>
    <w:p>
      <w:pPr>
        <w:spacing w:after="0" w:line="221"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231F20"/>
        </w:rPr>
        <w:t>As of December 31, 2015, the parent company guarantees issued by Technip for contracts outside the scope of a joint arrangement amount to €28,139.7 million.</w:t>
      </w:r>
    </w:p>
    <w:p>
      <w:pPr>
        <w:spacing w:after="0" w:line="200" w:lineRule="exact"/>
        <w:rPr>
          <w:sz w:val="20"/>
          <w:szCs w:val="20"/>
          <w:color w:val="auto"/>
        </w:rPr>
      </w:pPr>
    </w:p>
    <w:p>
      <w:pPr>
        <w:spacing w:after="0" w:line="203"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231F20"/>
        </w:rPr>
        <w:t>As of December 31, 2014, the parent company guarantees issued by Technip for contracts outside the scope of a joint arrangement amount to €25,960.9 million.</w:t>
      </w:r>
    </w:p>
    <w:p>
      <w:pPr>
        <w:spacing w:after="0" w:line="200" w:lineRule="exact"/>
        <w:rPr>
          <w:sz w:val="20"/>
          <w:szCs w:val="20"/>
          <w:color w:val="auto"/>
        </w:rPr>
      </w:pP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following table illustrates the breakdown of €45,278.2 million of parent company guarantees issued by Technip as of December 31, 2016, in respect of joint arrangement contracts, according to the Group’s percentage of ownership in these joint arrangements.</w:t>
      </w:r>
    </w:p>
    <w:p>
      <w:pPr>
        <w:spacing w:after="0" w:line="93" w:lineRule="exact"/>
        <w:rPr>
          <w:sz w:val="20"/>
          <w:szCs w:val="20"/>
          <w:color w:val="auto"/>
        </w:rPr>
      </w:pPr>
    </w:p>
    <w:tbl>
      <w:tblPr>
        <w:tblLayout w:type="fixed"/>
        <w:tblInd w:w="410" w:type="dxa"/>
        <w:tblCellMar>
          <w:top w:w="0" w:type="dxa"/>
          <w:left w:w="0" w:type="dxa"/>
          <w:bottom w:w="0" w:type="dxa"/>
          <w:right w:w="0" w:type="dxa"/>
        </w:tblCellMar>
      </w:tblPr>
      <w:tr>
        <w:trPr>
          <w:trHeight w:val="189"/>
        </w:trPr>
        <w:tc>
          <w:tcPr>
            <w:tcW w:w="1820" w:type="dxa"/>
            <w:vAlign w:val="bottom"/>
            <w:tcBorders>
              <w:top w:val="single" w:sz="8" w:color="2360A6"/>
              <w:left w:val="single" w:sz="8" w:color="2360A6"/>
              <w:right w:val="single" w:sz="8" w:color="2360A6"/>
            </w:tcBorders>
          </w:tcPr>
          <w:p>
            <w:pPr>
              <w:spacing w:after="0"/>
              <w:rPr>
                <w:sz w:val="16"/>
                <w:szCs w:val="16"/>
                <w:color w:val="auto"/>
              </w:rPr>
            </w:pPr>
          </w:p>
        </w:tc>
        <w:tc>
          <w:tcPr>
            <w:tcW w:w="1400" w:type="dxa"/>
            <w:vAlign w:val="bottom"/>
            <w:tcBorders>
              <w:top w:val="single" w:sz="8" w:color="2360A6"/>
              <w:right w:val="single" w:sz="8" w:color="2360A6"/>
            </w:tcBorders>
            <w:shd w:val="clear" w:color="auto" w:fill="2360A6"/>
          </w:tcPr>
          <w:p>
            <w:pPr>
              <w:spacing w:after="0"/>
              <w:rPr>
                <w:sz w:val="16"/>
                <w:szCs w:val="16"/>
                <w:color w:val="auto"/>
              </w:rPr>
            </w:pPr>
          </w:p>
        </w:tc>
        <w:tc>
          <w:tcPr>
            <w:tcW w:w="1160" w:type="dxa"/>
            <w:vAlign w:val="bottom"/>
            <w:tcBorders>
              <w:top w:val="single" w:sz="8" w:color="2360A6"/>
            </w:tcBorders>
            <w:shd w:val="clear" w:color="auto" w:fill="2360A6"/>
          </w:tcPr>
          <w:p>
            <w:pPr>
              <w:spacing w:after="0"/>
              <w:rPr>
                <w:sz w:val="16"/>
                <w:szCs w:val="16"/>
                <w:color w:val="auto"/>
              </w:rPr>
            </w:pPr>
          </w:p>
        </w:tc>
        <w:tc>
          <w:tcPr>
            <w:tcW w:w="120" w:type="dxa"/>
            <w:vAlign w:val="bottom"/>
            <w:tcBorders>
              <w:top w:val="single" w:sz="8" w:color="2360A6"/>
              <w:right w:val="single" w:sz="8" w:color="2360A6"/>
            </w:tcBorders>
            <w:shd w:val="clear" w:color="auto" w:fill="2360A6"/>
          </w:tcPr>
          <w:p>
            <w:pPr>
              <w:spacing w:after="0"/>
              <w:rPr>
                <w:sz w:val="16"/>
                <w:szCs w:val="16"/>
                <w:color w:val="auto"/>
              </w:rPr>
            </w:pPr>
          </w:p>
        </w:tc>
        <w:tc>
          <w:tcPr>
            <w:tcW w:w="1400" w:type="dxa"/>
            <w:vAlign w:val="bottom"/>
            <w:tcBorders>
              <w:top w:val="single" w:sz="8" w:color="2360A6"/>
              <w:right w:val="single" w:sz="8" w:color="2360A6"/>
            </w:tcBorders>
            <w:shd w:val="clear" w:color="auto" w:fill="2360A6"/>
          </w:tcPr>
          <w:p>
            <w:pPr>
              <w:spacing w:after="0"/>
              <w:rPr>
                <w:sz w:val="16"/>
                <w:szCs w:val="16"/>
                <w:color w:val="auto"/>
              </w:rPr>
            </w:pPr>
          </w:p>
        </w:tc>
        <w:tc>
          <w:tcPr>
            <w:tcW w:w="560" w:type="dxa"/>
            <w:vAlign w:val="bottom"/>
            <w:tcBorders>
              <w:top w:val="single" w:sz="8" w:color="2360A6"/>
            </w:tcBorders>
            <w:shd w:val="clear" w:color="auto" w:fill="2360A6"/>
          </w:tcPr>
          <w:p>
            <w:pPr>
              <w:spacing w:after="0"/>
              <w:rPr>
                <w:sz w:val="16"/>
                <w:szCs w:val="16"/>
                <w:color w:val="auto"/>
              </w:rPr>
            </w:pPr>
          </w:p>
        </w:tc>
        <w:tc>
          <w:tcPr>
            <w:tcW w:w="820" w:type="dxa"/>
            <w:vAlign w:val="bottom"/>
            <w:tcBorders>
              <w:top w:val="single" w:sz="8" w:color="2360A6"/>
              <w:right w:val="single" w:sz="8" w:color="2360A6"/>
            </w:tcBorders>
            <w:shd w:val="clear" w:color="auto" w:fill="2360A6"/>
          </w:tcPr>
          <w:p>
            <w:pPr>
              <w:spacing w:after="0"/>
              <w:rPr>
                <w:sz w:val="16"/>
                <w:szCs w:val="16"/>
                <w:color w:val="auto"/>
              </w:rPr>
            </w:pPr>
          </w:p>
        </w:tc>
        <w:tc>
          <w:tcPr>
            <w:tcW w:w="158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As of</w:t>
            </w:r>
          </w:p>
        </w:tc>
        <w:tc>
          <w:tcPr>
            <w:tcW w:w="1800" w:type="dxa"/>
            <w:vAlign w:val="bottom"/>
            <w:tcBorders>
              <w:top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As of</w:t>
            </w:r>
          </w:p>
        </w:tc>
      </w:tr>
      <w:tr>
        <w:trPr>
          <w:trHeight w:val="162"/>
        </w:trPr>
        <w:tc>
          <w:tcPr>
            <w:tcW w:w="1820" w:type="dxa"/>
            <w:vAlign w:val="bottom"/>
            <w:tcBorders>
              <w:left w:val="single" w:sz="8" w:color="2360A6"/>
              <w:right w:val="single" w:sz="8" w:color="2360A6"/>
            </w:tcBorders>
          </w:tcPr>
          <w:p>
            <w:pPr>
              <w:spacing w:after="0"/>
              <w:rPr>
                <w:sz w:val="14"/>
                <w:szCs w:val="14"/>
                <w:color w:val="auto"/>
              </w:rPr>
            </w:pPr>
          </w:p>
        </w:tc>
        <w:tc>
          <w:tcPr>
            <w:tcW w:w="1400" w:type="dxa"/>
            <w:vAlign w:val="bottom"/>
            <w:tcBorders>
              <w:right w:val="single" w:sz="8" w:color="2360A6"/>
            </w:tcBorders>
            <w:shd w:val="clear" w:color="auto" w:fill="2360A6"/>
          </w:tcPr>
          <w:p>
            <w:pPr>
              <w:spacing w:after="0"/>
              <w:rPr>
                <w:sz w:val="14"/>
                <w:szCs w:val="14"/>
                <w:color w:val="auto"/>
              </w:rPr>
            </w:pPr>
          </w:p>
        </w:tc>
        <w:tc>
          <w:tcPr>
            <w:tcW w:w="1160" w:type="dxa"/>
            <w:vAlign w:val="bottom"/>
            <w:shd w:val="clear" w:color="auto" w:fill="2360A6"/>
          </w:tcPr>
          <w:p>
            <w:pPr>
              <w:spacing w:after="0"/>
              <w:rPr>
                <w:sz w:val="14"/>
                <w:szCs w:val="14"/>
                <w:color w:val="auto"/>
              </w:rPr>
            </w:pPr>
          </w:p>
        </w:tc>
        <w:tc>
          <w:tcPr>
            <w:tcW w:w="2080" w:type="dxa"/>
            <w:vAlign w:val="bottom"/>
            <w:gridSpan w:val="3"/>
            <w:shd w:val="clear" w:color="auto" w:fill="2360A6"/>
          </w:tcPr>
          <w:p>
            <w:pPr>
              <w:jc w:val="center"/>
              <w:ind w:right="1680"/>
              <w:spacing w:after="0"/>
              <w:rPr>
                <w:sz w:val="20"/>
                <w:szCs w:val="20"/>
                <w:color w:val="auto"/>
              </w:rPr>
            </w:pPr>
            <w:r>
              <w:rPr>
                <w:rFonts w:ascii="Arial" w:cs="Arial" w:eastAsia="Arial" w:hAnsi="Arial"/>
                <w:sz w:val="14"/>
                <w:szCs w:val="14"/>
                <w:b w:val="1"/>
                <w:bCs w:val="1"/>
                <w:color w:val="FFFFFF"/>
              </w:rPr>
              <w:t>As of</w:t>
            </w:r>
          </w:p>
        </w:tc>
        <w:tc>
          <w:tcPr>
            <w:tcW w:w="820" w:type="dxa"/>
            <w:vAlign w:val="bottom"/>
            <w:tcBorders>
              <w:right w:val="single" w:sz="8" w:color="2360A6"/>
            </w:tcBorders>
            <w:shd w:val="clear" w:color="auto" w:fill="2360A6"/>
          </w:tcPr>
          <w:p>
            <w:pPr>
              <w:spacing w:after="0"/>
              <w:rPr>
                <w:sz w:val="14"/>
                <w:szCs w:val="14"/>
                <w:color w:val="auto"/>
              </w:rPr>
            </w:pPr>
          </w:p>
        </w:tc>
        <w:tc>
          <w:tcPr>
            <w:tcW w:w="158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December 31,</w:t>
            </w:r>
          </w:p>
        </w:tc>
        <w:tc>
          <w:tcPr>
            <w:tcW w:w="180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1820" w:type="dxa"/>
            <w:vAlign w:val="bottom"/>
            <w:tcBorders>
              <w:left w:val="single" w:sz="8" w:color="2360A6"/>
              <w:right w:val="single" w:sz="8" w:color="2360A6"/>
            </w:tcBorders>
          </w:tcPr>
          <w:p>
            <w:pPr>
              <w:spacing w:after="0"/>
              <w:rPr>
                <w:sz w:val="17"/>
                <w:szCs w:val="17"/>
                <w:color w:val="auto"/>
              </w:rPr>
            </w:pPr>
          </w:p>
        </w:tc>
        <w:tc>
          <w:tcPr>
            <w:tcW w:w="1400" w:type="dxa"/>
            <w:vAlign w:val="bottom"/>
            <w:tcBorders>
              <w:bottom w:val="single" w:sz="8" w:color="2360A6"/>
              <w:right w:val="single" w:sz="8" w:color="2360A6"/>
            </w:tcBorders>
            <w:shd w:val="clear" w:color="auto" w:fill="2360A6"/>
          </w:tcPr>
          <w:p>
            <w:pPr>
              <w:spacing w:after="0"/>
              <w:rPr>
                <w:sz w:val="17"/>
                <w:szCs w:val="17"/>
                <w:color w:val="auto"/>
              </w:rPr>
            </w:pPr>
          </w:p>
        </w:tc>
        <w:tc>
          <w:tcPr>
            <w:tcW w:w="3240" w:type="dxa"/>
            <w:vAlign w:val="bottom"/>
            <w:tcBorders>
              <w:bottom w:val="single" w:sz="8" w:color="2360A6"/>
            </w:tcBorders>
            <w:gridSpan w:val="4"/>
            <w:shd w:val="clear" w:color="auto" w:fill="2360A6"/>
          </w:tcPr>
          <w:p>
            <w:pPr>
              <w:jc w:val="center"/>
              <w:ind w:right="520"/>
              <w:spacing w:after="0"/>
              <w:rPr>
                <w:sz w:val="20"/>
                <w:szCs w:val="20"/>
                <w:color w:val="auto"/>
              </w:rPr>
            </w:pPr>
            <w:r>
              <w:rPr>
                <w:rFonts w:ascii="Arial" w:cs="Arial" w:eastAsia="Arial" w:hAnsi="Arial"/>
                <w:sz w:val="14"/>
                <w:szCs w:val="14"/>
                <w:b w:val="1"/>
                <w:bCs w:val="1"/>
                <w:color w:val="FFFFFF"/>
              </w:rPr>
              <w:t>December 31, 2016</w:t>
            </w:r>
          </w:p>
        </w:tc>
        <w:tc>
          <w:tcPr>
            <w:tcW w:w="820" w:type="dxa"/>
            <w:vAlign w:val="bottom"/>
            <w:tcBorders>
              <w:bottom w:val="single" w:sz="8" w:color="2360A6"/>
              <w:right w:val="single" w:sz="8" w:color="2360A6"/>
            </w:tcBorders>
            <w:shd w:val="clear" w:color="auto" w:fill="2360A6"/>
          </w:tcPr>
          <w:p>
            <w:pPr>
              <w:spacing w:after="0"/>
              <w:rPr>
                <w:sz w:val="17"/>
                <w:szCs w:val="17"/>
                <w:color w:val="auto"/>
              </w:rPr>
            </w:pP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BA"/>
              </w:rPr>
              <w:t>2015</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2014</w:t>
            </w:r>
          </w:p>
        </w:tc>
      </w:tr>
      <w:tr>
        <w:trPr>
          <w:trHeight w:val="229"/>
        </w:trPr>
        <w:tc>
          <w:tcPr>
            <w:tcW w:w="1820" w:type="dxa"/>
            <w:vAlign w:val="bottom"/>
            <w:tcBorders>
              <w:left w:val="single" w:sz="8" w:color="2360A6"/>
              <w:right w:val="single" w:sz="8" w:color="2360A6"/>
            </w:tcBorders>
          </w:tcPr>
          <w:p>
            <w:pPr>
              <w:spacing w:after="0"/>
              <w:rPr>
                <w:sz w:val="19"/>
                <w:szCs w:val="19"/>
                <w:color w:val="auto"/>
              </w:rPr>
            </w:pPr>
          </w:p>
        </w:tc>
        <w:tc>
          <w:tcPr>
            <w:tcW w:w="4640" w:type="dxa"/>
            <w:vAlign w:val="bottom"/>
            <w:gridSpan w:val="5"/>
            <w:shd w:val="clear" w:color="auto" w:fill="EDEDEE"/>
          </w:tcPr>
          <w:p>
            <w:pPr>
              <w:jc w:val="center"/>
              <w:ind w:left="808"/>
              <w:spacing w:after="0"/>
              <w:rPr>
                <w:sz w:val="20"/>
                <w:szCs w:val="20"/>
                <w:color w:val="auto"/>
              </w:rPr>
            </w:pPr>
            <w:r>
              <w:rPr>
                <w:rFonts w:ascii="Arial" w:cs="Arial" w:eastAsia="Arial" w:hAnsi="Arial"/>
                <w:sz w:val="14"/>
                <w:szCs w:val="14"/>
                <w:b w:val="1"/>
                <w:bCs w:val="1"/>
                <w:color w:val="2360A6"/>
              </w:rPr>
              <w:t>Allocation as per % of Technip’s Ownership in Joint</w:t>
            </w:r>
          </w:p>
        </w:tc>
        <w:tc>
          <w:tcPr>
            <w:tcW w:w="820" w:type="dxa"/>
            <w:vAlign w:val="bottom"/>
            <w:tcBorders>
              <w:right w:val="single" w:sz="8" w:color="2360A6"/>
            </w:tcBorders>
            <w:shd w:val="clear" w:color="auto" w:fill="EDEDEE"/>
          </w:tcPr>
          <w:p>
            <w:pPr>
              <w:spacing w:after="0"/>
              <w:rPr>
                <w:sz w:val="19"/>
                <w:szCs w:val="19"/>
                <w:color w:val="auto"/>
              </w:rPr>
            </w:pPr>
          </w:p>
        </w:tc>
        <w:tc>
          <w:tcPr>
            <w:tcW w:w="1580" w:type="dxa"/>
            <w:vAlign w:val="bottom"/>
            <w:tcBorders>
              <w:right w:val="single" w:sz="8" w:color="2360A6"/>
            </w:tcBorders>
          </w:tcPr>
          <w:p>
            <w:pPr>
              <w:spacing w:after="0"/>
              <w:rPr>
                <w:sz w:val="19"/>
                <w:szCs w:val="19"/>
                <w:color w:val="auto"/>
              </w:rPr>
            </w:pPr>
          </w:p>
        </w:tc>
        <w:tc>
          <w:tcPr>
            <w:tcW w:w="1800" w:type="dxa"/>
            <w:vAlign w:val="bottom"/>
            <w:tcBorders>
              <w:right w:val="single" w:sz="8" w:color="2360A6"/>
            </w:tcBorders>
          </w:tcPr>
          <w:p>
            <w:pPr>
              <w:spacing w:after="0"/>
              <w:rPr>
                <w:sz w:val="19"/>
                <w:szCs w:val="19"/>
                <w:color w:val="auto"/>
              </w:rPr>
            </w:pPr>
          </w:p>
        </w:tc>
      </w:tr>
      <w:tr>
        <w:trPr>
          <w:trHeight w:val="196"/>
        </w:trPr>
        <w:tc>
          <w:tcPr>
            <w:tcW w:w="1820" w:type="dxa"/>
            <w:vAlign w:val="bottom"/>
            <w:tcBorders>
              <w:left w:val="single" w:sz="8" w:color="2360A6"/>
              <w:right w:val="single" w:sz="8" w:color="2360A6"/>
            </w:tcBorders>
          </w:tcPr>
          <w:p>
            <w:pPr>
              <w:spacing w:after="0"/>
              <w:rPr>
                <w:sz w:val="17"/>
                <w:szCs w:val="17"/>
                <w:color w:val="auto"/>
              </w:rPr>
            </w:pPr>
          </w:p>
        </w:tc>
        <w:tc>
          <w:tcPr>
            <w:tcW w:w="1400" w:type="dxa"/>
            <w:vAlign w:val="bottom"/>
            <w:tcBorders>
              <w:bottom w:val="single" w:sz="8" w:color="2360A6"/>
              <w:right w:val="single" w:sz="8" w:color="EDEDEE"/>
            </w:tcBorders>
            <w:shd w:val="clear" w:color="auto" w:fill="EDEDEE"/>
          </w:tcPr>
          <w:p>
            <w:pPr>
              <w:spacing w:after="0"/>
              <w:rPr>
                <w:sz w:val="17"/>
                <w:szCs w:val="17"/>
                <w:color w:val="auto"/>
              </w:rPr>
            </w:pPr>
          </w:p>
        </w:tc>
        <w:tc>
          <w:tcPr>
            <w:tcW w:w="3240" w:type="dxa"/>
            <w:vAlign w:val="bottom"/>
            <w:tcBorders>
              <w:bottom w:val="single" w:sz="8" w:color="2360A6"/>
            </w:tcBorders>
            <w:gridSpan w:val="4"/>
            <w:shd w:val="clear" w:color="auto" w:fill="EDEDEE"/>
          </w:tcPr>
          <w:p>
            <w:pPr>
              <w:jc w:val="center"/>
              <w:ind w:right="520"/>
              <w:spacing w:after="0"/>
              <w:rPr>
                <w:sz w:val="20"/>
                <w:szCs w:val="20"/>
                <w:color w:val="auto"/>
              </w:rPr>
            </w:pPr>
            <w:r>
              <w:rPr>
                <w:rFonts w:ascii="Arial" w:cs="Arial" w:eastAsia="Arial" w:hAnsi="Arial"/>
                <w:sz w:val="14"/>
                <w:szCs w:val="14"/>
                <w:b w:val="1"/>
                <w:bCs w:val="1"/>
                <w:color w:val="2360A6"/>
              </w:rPr>
              <w:t>Arrangements</w:t>
            </w:r>
          </w:p>
        </w:tc>
        <w:tc>
          <w:tcPr>
            <w:tcW w:w="820" w:type="dxa"/>
            <w:vAlign w:val="bottom"/>
            <w:tcBorders>
              <w:bottom w:val="single" w:sz="8" w:color="2360A6"/>
              <w:right w:val="single" w:sz="8" w:color="2360A6"/>
            </w:tcBorders>
            <w:shd w:val="clear" w:color="auto" w:fill="EDEDEE"/>
          </w:tcPr>
          <w:p>
            <w:pPr>
              <w:spacing w:after="0"/>
              <w:rPr>
                <w:sz w:val="17"/>
                <w:szCs w:val="17"/>
                <w:color w:val="auto"/>
              </w:rPr>
            </w:pPr>
          </w:p>
        </w:tc>
        <w:tc>
          <w:tcPr>
            <w:tcW w:w="1580" w:type="dxa"/>
            <w:vAlign w:val="bottom"/>
            <w:tcBorders>
              <w:right w:val="single" w:sz="8" w:color="2360A6"/>
            </w:tcBorders>
          </w:tcPr>
          <w:p>
            <w:pPr>
              <w:spacing w:after="0"/>
              <w:rPr>
                <w:sz w:val="17"/>
                <w:szCs w:val="17"/>
                <w:color w:val="auto"/>
              </w:rPr>
            </w:pPr>
          </w:p>
        </w:tc>
        <w:tc>
          <w:tcPr>
            <w:tcW w:w="1800" w:type="dxa"/>
            <w:vAlign w:val="bottom"/>
            <w:tcBorders>
              <w:right w:val="single" w:sz="8" w:color="2360A6"/>
            </w:tcBorders>
          </w:tcPr>
          <w:p>
            <w:pPr>
              <w:spacing w:after="0"/>
              <w:rPr>
                <w:sz w:val="17"/>
                <w:szCs w:val="17"/>
                <w:color w:val="auto"/>
              </w:rPr>
            </w:pPr>
          </w:p>
        </w:tc>
      </w:tr>
      <w:tr>
        <w:trPr>
          <w:trHeight w:val="216"/>
        </w:trPr>
        <w:tc>
          <w:tcPr>
            <w:tcW w:w="1820" w:type="dxa"/>
            <w:vAlign w:val="bottom"/>
            <w:tcBorders>
              <w:left w:val="single" w:sz="8" w:color="2360A6"/>
              <w:right w:val="single" w:sz="8" w:color="2360A6"/>
            </w:tcBorders>
          </w:tcPr>
          <w:p>
            <w:pPr>
              <w:spacing w:after="0"/>
              <w:rPr>
                <w:sz w:val="18"/>
                <w:szCs w:val="18"/>
                <w:color w:val="auto"/>
              </w:rPr>
            </w:pPr>
          </w:p>
        </w:tc>
        <w:tc>
          <w:tcPr>
            <w:tcW w:w="1400" w:type="dxa"/>
            <w:vAlign w:val="bottom"/>
            <w:tcBorders>
              <w:right w:val="single" w:sz="8" w:color="2360A6"/>
            </w:tcBorders>
            <w:shd w:val="clear" w:color="auto" w:fill="EDEDEE"/>
          </w:tcPr>
          <w:p>
            <w:pPr>
              <w:spacing w:after="0"/>
              <w:rPr>
                <w:sz w:val="18"/>
                <w:szCs w:val="18"/>
                <w:color w:val="auto"/>
              </w:rPr>
            </w:pPr>
          </w:p>
        </w:tc>
        <w:tc>
          <w:tcPr>
            <w:tcW w:w="1160" w:type="dxa"/>
            <w:vAlign w:val="bottom"/>
            <w:shd w:val="clear" w:color="auto" w:fill="EDEDEE"/>
          </w:tcPr>
          <w:p>
            <w:pPr>
              <w:jc w:val="right"/>
              <w:spacing w:after="0"/>
              <w:rPr>
                <w:sz w:val="20"/>
                <w:szCs w:val="20"/>
                <w:color w:val="auto"/>
              </w:rPr>
            </w:pPr>
            <w:r>
              <w:rPr>
                <w:rFonts w:ascii="Arial" w:cs="Arial" w:eastAsia="Arial" w:hAnsi="Arial"/>
                <w:sz w:val="14"/>
                <w:szCs w:val="14"/>
                <w:b w:val="1"/>
                <w:bCs w:val="1"/>
                <w:color w:val="2360A6"/>
              </w:rPr>
              <w:t>Greater than</w:t>
            </w:r>
          </w:p>
        </w:tc>
        <w:tc>
          <w:tcPr>
            <w:tcW w:w="120" w:type="dxa"/>
            <w:vAlign w:val="bottom"/>
            <w:tcBorders>
              <w:right w:val="single" w:sz="8" w:color="2360A6"/>
            </w:tcBorders>
            <w:shd w:val="clear" w:color="auto" w:fill="EDEDEE"/>
          </w:tcPr>
          <w:p>
            <w:pPr>
              <w:spacing w:after="0"/>
              <w:rPr>
                <w:sz w:val="18"/>
                <w:szCs w:val="18"/>
                <w:color w:val="auto"/>
              </w:rPr>
            </w:pPr>
          </w:p>
        </w:tc>
        <w:tc>
          <w:tcPr>
            <w:tcW w:w="1400" w:type="dxa"/>
            <w:vAlign w:val="bottom"/>
            <w:tcBorders>
              <w:right w:val="single" w:sz="8" w:color="2360A6"/>
            </w:tcBorders>
            <w:shd w:val="clear" w:color="auto" w:fill="EDEDEE"/>
          </w:tcPr>
          <w:p>
            <w:pPr>
              <w:spacing w:after="0"/>
              <w:rPr>
                <w:sz w:val="18"/>
                <w:szCs w:val="18"/>
                <w:color w:val="auto"/>
              </w:rPr>
            </w:pPr>
          </w:p>
        </w:tc>
        <w:tc>
          <w:tcPr>
            <w:tcW w:w="560" w:type="dxa"/>
            <w:vAlign w:val="bottom"/>
            <w:shd w:val="clear" w:color="auto" w:fill="EDEDEE"/>
          </w:tcPr>
          <w:p>
            <w:pPr>
              <w:spacing w:after="0"/>
              <w:rPr>
                <w:sz w:val="18"/>
                <w:szCs w:val="18"/>
                <w:color w:val="auto"/>
              </w:rPr>
            </w:pPr>
          </w:p>
        </w:tc>
        <w:tc>
          <w:tcPr>
            <w:tcW w:w="820" w:type="dxa"/>
            <w:vAlign w:val="bottom"/>
            <w:tcBorders>
              <w:right w:val="single" w:sz="8" w:color="2360A6"/>
            </w:tcBorders>
            <w:shd w:val="clear" w:color="auto" w:fill="EDEDEE"/>
          </w:tcPr>
          <w:p>
            <w:pPr>
              <w:spacing w:after="0"/>
              <w:rPr>
                <w:sz w:val="18"/>
                <w:szCs w:val="18"/>
                <w:color w:val="auto"/>
              </w:rPr>
            </w:pPr>
          </w:p>
        </w:tc>
        <w:tc>
          <w:tcPr>
            <w:tcW w:w="1580" w:type="dxa"/>
            <w:vAlign w:val="bottom"/>
            <w:tcBorders>
              <w:right w:val="single" w:sz="8" w:color="2360A6"/>
            </w:tcBorders>
          </w:tcPr>
          <w:p>
            <w:pPr>
              <w:spacing w:after="0"/>
              <w:rPr>
                <w:sz w:val="18"/>
                <w:szCs w:val="18"/>
                <w:color w:val="auto"/>
              </w:rPr>
            </w:pPr>
          </w:p>
        </w:tc>
        <w:tc>
          <w:tcPr>
            <w:tcW w:w="1800" w:type="dxa"/>
            <w:vAlign w:val="bottom"/>
            <w:tcBorders>
              <w:right w:val="single" w:sz="8" w:color="2360A6"/>
            </w:tcBorders>
          </w:tcPr>
          <w:p>
            <w:pPr>
              <w:spacing w:after="0"/>
              <w:rPr>
                <w:sz w:val="18"/>
                <w:szCs w:val="18"/>
                <w:color w:val="auto"/>
              </w:rPr>
            </w:pPr>
          </w:p>
        </w:tc>
      </w:tr>
      <w:tr>
        <w:trPr>
          <w:trHeight w:val="162"/>
        </w:trPr>
        <w:tc>
          <w:tcPr>
            <w:tcW w:w="1820" w:type="dxa"/>
            <w:vAlign w:val="bottom"/>
            <w:tcBorders>
              <w:left w:val="single" w:sz="8" w:color="2360A6"/>
              <w:right w:val="single" w:sz="8" w:color="2360A6"/>
            </w:tcBorders>
          </w:tcPr>
          <w:p>
            <w:pPr>
              <w:spacing w:after="0"/>
              <w:rPr>
                <w:sz w:val="14"/>
                <w:szCs w:val="14"/>
                <w:color w:val="auto"/>
              </w:rPr>
            </w:pPr>
          </w:p>
        </w:tc>
        <w:tc>
          <w:tcPr>
            <w:tcW w:w="1400" w:type="dxa"/>
            <w:vAlign w:val="bottom"/>
            <w:tcBorders>
              <w:right w:val="single" w:sz="8" w:color="2360A6"/>
            </w:tcBorders>
            <w:shd w:val="clear" w:color="auto" w:fill="EDEDEE"/>
          </w:tcPr>
          <w:p>
            <w:pPr>
              <w:spacing w:after="0"/>
              <w:rPr>
                <w:sz w:val="14"/>
                <w:szCs w:val="14"/>
                <w:color w:val="auto"/>
              </w:rPr>
            </w:pPr>
          </w:p>
        </w:tc>
        <w:tc>
          <w:tcPr>
            <w:tcW w:w="1160" w:type="dxa"/>
            <w:vAlign w:val="bottom"/>
            <w:shd w:val="clear" w:color="auto" w:fill="EDEDEE"/>
          </w:tcPr>
          <w:p>
            <w:pPr>
              <w:jc w:val="right"/>
              <w:spacing w:after="0"/>
              <w:rPr>
                <w:sz w:val="20"/>
                <w:szCs w:val="20"/>
                <w:color w:val="auto"/>
              </w:rPr>
            </w:pPr>
            <w:r>
              <w:rPr>
                <w:rFonts w:ascii="Arial" w:cs="Arial" w:eastAsia="Arial" w:hAnsi="Arial"/>
                <w:sz w:val="14"/>
                <w:szCs w:val="14"/>
                <w:b w:val="1"/>
                <w:bCs w:val="1"/>
                <w:color w:val="2360A6"/>
              </w:rPr>
              <w:t>25%</w:t>
            </w:r>
          </w:p>
        </w:tc>
        <w:tc>
          <w:tcPr>
            <w:tcW w:w="120" w:type="dxa"/>
            <w:vAlign w:val="bottom"/>
            <w:tcBorders>
              <w:right w:val="single" w:sz="8" w:color="2360A6"/>
            </w:tcBorders>
            <w:shd w:val="clear" w:color="auto" w:fill="EDEDEE"/>
          </w:tcPr>
          <w:p>
            <w:pPr>
              <w:spacing w:after="0"/>
              <w:rPr>
                <w:sz w:val="14"/>
                <w:szCs w:val="14"/>
                <w:color w:val="auto"/>
              </w:rPr>
            </w:pPr>
          </w:p>
        </w:tc>
        <w:tc>
          <w:tcPr>
            <w:tcW w:w="1400" w:type="dxa"/>
            <w:vAlign w:val="bottom"/>
            <w:tcBorders>
              <w:right w:val="single" w:sz="8" w:color="2360A6"/>
            </w:tcBorders>
            <w:shd w:val="clear" w:color="auto" w:fill="EDEDEE"/>
          </w:tcPr>
          <w:p>
            <w:pPr>
              <w:spacing w:after="0"/>
              <w:rPr>
                <w:sz w:val="14"/>
                <w:szCs w:val="14"/>
                <w:color w:val="auto"/>
              </w:rPr>
            </w:pPr>
          </w:p>
        </w:tc>
        <w:tc>
          <w:tcPr>
            <w:tcW w:w="560" w:type="dxa"/>
            <w:vAlign w:val="bottom"/>
            <w:shd w:val="clear" w:color="auto" w:fill="EDEDEE"/>
          </w:tcPr>
          <w:p>
            <w:pPr>
              <w:spacing w:after="0"/>
              <w:rPr>
                <w:sz w:val="14"/>
                <w:szCs w:val="14"/>
                <w:color w:val="auto"/>
              </w:rPr>
            </w:pPr>
          </w:p>
        </w:tc>
        <w:tc>
          <w:tcPr>
            <w:tcW w:w="820" w:type="dxa"/>
            <w:vAlign w:val="bottom"/>
            <w:tcBorders>
              <w:right w:val="single" w:sz="8" w:color="2360A6"/>
            </w:tcBorders>
            <w:shd w:val="clear" w:color="auto" w:fill="EDEDEE"/>
          </w:tcPr>
          <w:p>
            <w:pPr>
              <w:spacing w:after="0"/>
              <w:rPr>
                <w:sz w:val="14"/>
                <w:szCs w:val="14"/>
                <w:color w:val="auto"/>
              </w:rPr>
            </w:pPr>
          </w:p>
        </w:tc>
        <w:tc>
          <w:tcPr>
            <w:tcW w:w="1580" w:type="dxa"/>
            <w:vAlign w:val="bottom"/>
            <w:tcBorders>
              <w:right w:val="single" w:sz="8" w:color="2360A6"/>
            </w:tcBorders>
          </w:tcPr>
          <w:p>
            <w:pPr>
              <w:spacing w:after="0"/>
              <w:rPr>
                <w:sz w:val="14"/>
                <w:szCs w:val="14"/>
                <w:color w:val="auto"/>
              </w:rPr>
            </w:pPr>
          </w:p>
        </w:tc>
        <w:tc>
          <w:tcPr>
            <w:tcW w:w="1800" w:type="dxa"/>
            <w:vAlign w:val="bottom"/>
            <w:tcBorders>
              <w:right w:val="single" w:sz="8" w:color="2360A6"/>
            </w:tcBorders>
          </w:tcPr>
          <w:p>
            <w:pPr>
              <w:spacing w:after="0"/>
              <w:rPr>
                <w:sz w:val="14"/>
                <w:szCs w:val="14"/>
                <w:color w:val="auto"/>
              </w:rPr>
            </w:pPr>
          </w:p>
        </w:tc>
      </w:tr>
      <w:tr>
        <w:trPr>
          <w:trHeight w:val="162"/>
        </w:trPr>
        <w:tc>
          <w:tcPr>
            <w:tcW w:w="1820" w:type="dxa"/>
            <w:vAlign w:val="bottom"/>
            <w:tcBorders>
              <w:left w:val="single" w:sz="8" w:color="2360A6"/>
              <w:right w:val="single" w:sz="8" w:color="2360A6"/>
            </w:tcBorders>
          </w:tcPr>
          <w:p>
            <w:pPr>
              <w:spacing w:after="0"/>
              <w:rPr>
                <w:sz w:val="14"/>
                <w:szCs w:val="14"/>
                <w:color w:val="auto"/>
              </w:rPr>
            </w:pPr>
          </w:p>
        </w:tc>
        <w:tc>
          <w:tcPr>
            <w:tcW w:w="1400" w:type="dxa"/>
            <w:vAlign w:val="bottom"/>
            <w:tcBorders>
              <w:right w:val="single" w:sz="8" w:color="2360A6"/>
            </w:tcBorders>
            <w:shd w:val="clear" w:color="auto" w:fill="EDEDEE"/>
          </w:tcPr>
          <w:p>
            <w:pPr>
              <w:spacing w:after="0"/>
              <w:rPr>
                <w:sz w:val="14"/>
                <w:szCs w:val="14"/>
                <w:color w:val="auto"/>
              </w:rPr>
            </w:pPr>
          </w:p>
        </w:tc>
        <w:tc>
          <w:tcPr>
            <w:tcW w:w="1160" w:type="dxa"/>
            <w:vAlign w:val="bottom"/>
            <w:shd w:val="clear" w:color="auto" w:fill="EDEDEE"/>
          </w:tcPr>
          <w:p>
            <w:pPr>
              <w:jc w:val="right"/>
              <w:spacing w:after="0"/>
              <w:rPr>
                <w:sz w:val="20"/>
                <w:szCs w:val="20"/>
                <w:color w:val="auto"/>
              </w:rPr>
            </w:pPr>
            <w:r>
              <w:rPr>
                <w:rFonts w:ascii="Arial" w:cs="Arial" w:eastAsia="Arial" w:hAnsi="Arial"/>
                <w:sz w:val="14"/>
                <w:szCs w:val="14"/>
                <w:b w:val="1"/>
                <w:bCs w:val="1"/>
                <w:color w:val="2360A6"/>
              </w:rPr>
              <w:t>and less or</w:t>
            </w:r>
          </w:p>
        </w:tc>
        <w:tc>
          <w:tcPr>
            <w:tcW w:w="120" w:type="dxa"/>
            <w:vAlign w:val="bottom"/>
            <w:tcBorders>
              <w:right w:val="single" w:sz="8" w:color="2360A6"/>
            </w:tcBorders>
            <w:shd w:val="clear" w:color="auto" w:fill="EDEDEE"/>
          </w:tcPr>
          <w:p>
            <w:pPr>
              <w:spacing w:after="0"/>
              <w:rPr>
                <w:sz w:val="14"/>
                <w:szCs w:val="14"/>
                <w:color w:val="auto"/>
              </w:rPr>
            </w:pPr>
          </w:p>
        </w:tc>
        <w:tc>
          <w:tcPr>
            <w:tcW w:w="1400" w:type="dxa"/>
            <w:vAlign w:val="bottom"/>
            <w:tcBorders>
              <w:right w:val="single" w:sz="8" w:color="2360A6"/>
            </w:tcBorders>
            <w:shd w:val="clear" w:color="auto" w:fill="EDEDEE"/>
          </w:tcPr>
          <w:p>
            <w:pPr>
              <w:spacing w:after="0"/>
              <w:rPr>
                <w:sz w:val="14"/>
                <w:szCs w:val="14"/>
                <w:color w:val="auto"/>
              </w:rPr>
            </w:pPr>
          </w:p>
        </w:tc>
        <w:tc>
          <w:tcPr>
            <w:tcW w:w="560" w:type="dxa"/>
            <w:vAlign w:val="bottom"/>
            <w:shd w:val="clear" w:color="auto" w:fill="EDEDEE"/>
          </w:tcPr>
          <w:p>
            <w:pPr>
              <w:spacing w:after="0"/>
              <w:rPr>
                <w:sz w:val="14"/>
                <w:szCs w:val="14"/>
                <w:color w:val="auto"/>
              </w:rPr>
            </w:pPr>
          </w:p>
        </w:tc>
        <w:tc>
          <w:tcPr>
            <w:tcW w:w="820" w:type="dxa"/>
            <w:vAlign w:val="bottom"/>
            <w:tcBorders>
              <w:right w:val="single" w:sz="8" w:color="2360A6"/>
            </w:tcBorders>
            <w:shd w:val="clear" w:color="auto" w:fill="EDEDEE"/>
          </w:tcPr>
          <w:p>
            <w:pPr>
              <w:spacing w:after="0"/>
              <w:rPr>
                <w:sz w:val="14"/>
                <w:szCs w:val="14"/>
                <w:color w:val="auto"/>
              </w:rPr>
            </w:pPr>
          </w:p>
        </w:tc>
        <w:tc>
          <w:tcPr>
            <w:tcW w:w="1580" w:type="dxa"/>
            <w:vAlign w:val="bottom"/>
            <w:tcBorders>
              <w:right w:val="single" w:sz="8" w:color="2360A6"/>
            </w:tcBorders>
          </w:tcPr>
          <w:p>
            <w:pPr>
              <w:spacing w:after="0"/>
              <w:rPr>
                <w:sz w:val="14"/>
                <w:szCs w:val="14"/>
                <w:color w:val="auto"/>
              </w:rPr>
            </w:pPr>
          </w:p>
        </w:tc>
        <w:tc>
          <w:tcPr>
            <w:tcW w:w="1800" w:type="dxa"/>
            <w:vAlign w:val="bottom"/>
            <w:tcBorders>
              <w:right w:val="single" w:sz="8" w:color="2360A6"/>
            </w:tcBorders>
          </w:tcPr>
          <w:p>
            <w:pPr>
              <w:spacing w:after="0"/>
              <w:rPr>
                <w:sz w:val="14"/>
                <w:szCs w:val="14"/>
                <w:color w:val="auto"/>
              </w:rPr>
            </w:pPr>
          </w:p>
        </w:tc>
      </w:tr>
      <w:tr>
        <w:trPr>
          <w:trHeight w:val="162"/>
        </w:trPr>
        <w:tc>
          <w:tcPr>
            <w:tcW w:w="1820" w:type="dxa"/>
            <w:vAlign w:val="bottom"/>
            <w:tcBorders>
              <w:left w:val="single" w:sz="8" w:color="2360A6"/>
              <w:right w:val="single" w:sz="8" w:color="2360A6"/>
            </w:tcBorders>
          </w:tcPr>
          <w:p>
            <w:pPr>
              <w:spacing w:after="0"/>
              <w:rPr>
                <w:sz w:val="14"/>
                <w:szCs w:val="14"/>
                <w:color w:val="auto"/>
              </w:rPr>
            </w:pPr>
          </w:p>
        </w:tc>
        <w:tc>
          <w:tcPr>
            <w:tcW w:w="1400" w:type="dxa"/>
            <w:vAlign w:val="bottom"/>
            <w:tcBorders>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Less or</w:t>
            </w:r>
          </w:p>
        </w:tc>
        <w:tc>
          <w:tcPr>
            <w:tcW w:w="1160" w:type="dxa"/>
            <w:vAlign w:val="bottom"/>
            <w:shd w:val="clear" w:color="auto" w:fill="EDEDEE"/>
          </w:tcPr>
          <w:p>
            <w:pPr>
              <w:jc w:val="right"/>
              <w:spacing w:after="0"/>
              <w:rPr>
                <w:sz w:val="20"/>
                <w:szCs w:val="20"/>
                <w:color w:val="auto"/>
              </w:rPr>
            </w:pPr>
            <w:r>
              <w:rPr>
                <w:rFonts w:ascii="Arial" w:cs="Arial" w:eastAsia="Arial" w:hAnsi="Arial"/>
                <w:sz w:val="14"/>
                <w:szCs w:val="14"/>
                <w:b w:val="1"/>
                <w:bCs w:val="1"/>
                <w:color w:val="2360A6"/>
              </w:rPr>
              <w:t>equal to</w:t>
            </w:r>
          </w:p>
        </w:tc>
        <w:tc>
          <w:tcPr>
            <w:tcW w:w="120" w:type="dxa"/>
            <w:vAlign w:val="bottom"/>
            <w:tcBorders>
              <w:right w:val="single" w:sz="8" w:color="2360A6"/>
            </w:tcBorders>
            <w:shd w:val="clear" w:color="auto" w:fill="EDEDEE"/>
          </w:tcPr>
          <w:p>
            <w:pPr>
              <w:spacing w:after="0"/>
              <w:rPr>
                <w:sz w:val="14"/>
                <w:szCs w:val="14"/>
                <w:color w:val="auto"/>
              </w:rPr>
            </w:pPr>
          </w:p>
        </w:tc>
        <w:tc>
          <w:tcPr>
            <w:tcW w:w="1400" w:type="dxa"/>
            <w:vAlign w:val="bottom"/>
            <w:tcBorders>
              <w:right w:val="single" w:sz="8" w:color="2360A6"/>
            </w:tcBorders>
            <w:shd w:val="clear" w:color="auto" w:fill="EDEDEE"/>
          </w:tcPr>
          <w:p>
            <w:pPr>
              <w:spacing w:after="0"/>
              <w:rPr>
                <w:sz w:val="14"/>
                <w:szCs w:val="14"/>
                <w:color w:val="auto"/>
              </w:rPr>
            </w:pPr>
          </w:p>
        </w:tc>
        <w:tc>
          <w:tcPr>
            <w:tcW w:w="560" w:type="dxa"/>
            <w:vAlign w:val="bottom"/>
            <w:shd w:val="clear" w:color="auto" w:fill="EDEDEE"/>
          </w:tcPr>
          <w:p>
            <w:pPr>
              <w:spacing w:after="0"/>
              <w:rPr>
                <w:sz w:val="14"/>
                <w:szCs w:val="14"/>
                <w:color w:val="auto"/>
              </w:rPr>
            </w:pPr>
          </w:p>
        </w:tc>
        <w:tc>
          <w:tcPr>
            <w:tcW w:w="820" w:type="dxa"/>
            <w:vAlign w:val="bottom"/>
            <w:tcBorders>
              <w:right w:val="single" w:sz="8" w:color="2360A6"/>
            </w:tcBorders>
            <w:shd w:val="clear" w:color="auto" w:fill="EDEDEE"/>
          </w:tcPr>
          <w:p>
            <w:pPr>
              <w:spacing w:after="0"/>
              <w:rPr>
                <w:sz w:val="14"/>
                <w:szCs w:val="14"/>
                <w:color w:val="auto"/>
              </w:rPr>
            </w:pPr>
          </w:p>
        </w:tc>
        <w:tc>
          <w:tcPr>
            <w:tcW w:w="1580" w:type="dxa"/>
            <w:vAlign w:val="bottom"/>
            <w:tcBorders>
              <w:right w:val="single" w:sz="8" w:color="2360A6"/>
            </w:tcBorders>
          </w:tcPr>
          <w:p>
            <w:pPr>
              <w:spacing w:after="0"/>
              <w:rPr>
                <w:sz w:val="14"/>
                <w:szCs w:val="14"/>
                <w:color w:val="auto"/>
              </w:rPr>
            </w:pPr>
          </w:p>
        </w:tc>
        <w:tc>
          <w:tcPr>
            <w:tcW w:w="1800" w:type="dxa"/>
            <w:vAlign w:val="bottom"/>
            <w:tcBorders>
              <w:right w:val="single" w:sz="8" w:color="2360A6"/>
            </w:tcBorders>
          </w:tcPr>
          <w:p>
            <w:pPr>
              <w:spacing w:after="0"/>
              <w:rPr>
                <w:sz w:val="14"/>
                <w:szCs w:val="14"/>
                <w:color w:val="auto"/>
              </w:rPr>
            </w:pPr>
          </w:p>
        </w:tc>
      </w:tr>
      <w:tr>
        <w:trPr>
          <w:trHeight w:val="196"/>
        </w:trPr>
        <w:tc>
          <w:tcPr>
            <w:tcW w:w="1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4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equal to 25%</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40%</w:t>
            </w:r>
          </w:p>
        </w:tc>
        <w:tc>
          <w:tcPr>
            <w:tcW w:w="120" w:type="dxa"/>
            <w:vAlign w:val="bottom"/>
            <w:tcBorders>
              <w:bottom w:val="single" w:sz="8" w:color="2360A6"/>
              <w:right w:val="single" w:sz="8" w:color="2360A6"/>
            </w:tcBorders>
            <w:shd w:val="clear" w:color="auto" w:fill="EDEDEE"/>
          </w:tcPr>
          <w:p>
            <w:pPr>
              <w:spacing w:after="0"/>
              <w:rPr>
                <w:sz w:val="17"/>
                <w:szCs w:val="17"/>
                <w:color w:val="auto"/>
              </w:rPr>
            </w:pPr>
          </w:p>
        </w:tc>
        <w:tc>
          <w:tcPr>
            <w:tcW w:w="14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Greater than 40%</w:t>
            </w:r>
          </w:p>
        </w:tc>
        <w:tc>
          <w:tcPr>
            <w:tcW w:w="560" w:type="dxa"/>
            <w:vAlign w:val="bottom"/>
            <w:tcBorders>
              <w:bottom w:val="single" w:sz="8" w:color="2360A6"/>
            </w:tcBorders>
            <w:shd w:val="clear" w:color="auto" w:fill="EDEDEE"/>
          </w:tcPr>
          <w:p>
            <w:pPr>
              <w:spacing w:after="0"/>
              <w:rPr>
                <w:sz w:val="17"/>
                <w:szCs w:val="17"/>
                <w:color w:val="auto"/>
              </w:rPr>
            </w:pPr>
          </w:p>
        </w:tc>
        <w:tc>
          <w:tcPr>
            <w:tcW w:w="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Total</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Total</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Total</w:t>
            </w:r>
          </w:p>
        </w:tc>
      </w:tr>
      <w:tr>
        <w:trPr>
          <w:trHeight w:val="193"/>
        </w:trPr>
        <w:tc>
          <w:tcPr>
            <w:tcW w:w="182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Parent Company</w:t>
            </w:r>
          </w:p>
        </w:tc>
        <w:tc>
          <w:tcPr>
            <w:tcW w:w="1400" w:type="dxa"/>
            <w:vAlign w:val="bottom"/>
            <w:tcBorders>
              <w:right w:val="single" w:sz="8" w:color="2360A6"/>
            </w:tcBorders>
            <w:shd w:val="clear" w:color="auto" w:fill="EDEDEE"/>
          </w:tcPr>
          <w:p>
            <w:pPr>
              <w:spacing w:after="0"/>
              <w:rPr>
                <w:sz w:val="16"/>
                <w:szCs w:val="16"/>
                <w:color w:val="auto"/>
              </w:rPr>
            </w:pPr>
          </w:p>
        </w:tc>
        <w:tc>
          <w:tcPr>
            <w:tcW w:w="1160" w:type="dxa"/>
            <w:vAlign w:val="bottom"/>
            <w:shd w:val="clear" w:color="auto" w:fill="EDEDEE"/>
          </w:tcPr>
          <w:p>
            <w:pPr>
              <w:spacing w:after="0"/>
              <w:rPr>
                <w:sz w:val="16"/>
                <w:szCs w:val="16"/>
                <w:color w:val="auto"/>
              </w:rPr>
            </w:pPr>
          </w:p>
        </w:tc>
        <w:tc>
          <w:tcPr>
            <w:tcW w:w="120" w:type="dxa"/>
            <w:vAlign w:val="bottom"/>
            <w:tcBorders>
              <w:right w:val="single" w:sz="8" w:color="2360A6"/>
            </w:tcBorders>
            <w:shd w:val="clear" w:color="auto" w:fill="EDEDEE"/>
          </w:tcPr>
          <w:p>
            <w:pPr>
              <w:spacing w:after="0"/>
              <w:rPr>
                <w:sz w:val="16"/>
                <w:szCs w:val="16"/>
                <w:color w:val="auto"/>
              </w:rPr>
            </w:pPr>
          </w:p>
        </w:tc>
        <w:tc>
          <w:tcPr>
            <w:tcW w:w="1400" w:type="dxa"/>
            <w:vAlign w:val="bottom"/>
            <w:tcBorders>
              <w:right w:val="single" w:sz="8" w:color="2360A6"/>
            </w:tcBorders>
            <w:shd w:val="clear" w:color="auto" w:fill="EDEDEE"/>
          </w:tcPr>
          <w:p>
            <w:pPr>
              <w:spacing w:after="0"/>
              <w:rPr>
                <w:sz w:val="16"/>
                <w:szCs w:val="16"/>
                <w:color w:val="auto"/>
              </w:rPr>
            </w:pPr>
          </w:p>
        </w:tc>
        <w:tc>
          <w:tcPr>
            <w:tcW w:w="560" w:type="dxa"/>
            <w:vAlign w:val="bottom"/>
            <w:shd w:val="clear" w:color="auto" w:fill="EDEDEE"/>
          </w:tcPr>
          <w:p>
            <w:pPr>
              <w:spacing w:after="0"/>
              <w:rPr>
                <w:sz w:val="16"/>
                <w:szCs w:val="16"/>
                <w:color w:val="auto"/>
              </w:rPr>
            </w:pPr>
          </w:p>
        </w:tc>
        <w:tc>
          <w:tcPr>
            <w:tcW w:w="820" w:type="dxa"/>
            <w:vAlign w:val="bottom"/>
            <w:tcBorders>
              <w:right w:val="single" w:sz="8" w:color="2360A6"/>
            </w:tcBorders>
            <w:shd w:val="clear" w:color="auto" w:fill="EDEDEE"/>
          </w:tcPr>
          <w:p>
            <w:pPr>
              <w:spacing w:after="0"/>
              <w:rPr>
                <w:sz w:val="16"/>
                <w:szCs w:val="16"/>
                <w:color w:val="auto"/>
              </w:rPr>
            </w:pPr>
          </w:p>
        </w:tc>
        <w:tc>
          <w:tcPr>
            <w:tcW w:w="1580" w:type="dxa"/>
            <w:vAlign w:val="bottom"/>
            <w:tcBorders>
              <w:right w:val="single" w:sz="8" w:color="2360A6"/>
            </w:tcBorders>
          </w:tcPr>
          <w:p>
            <w:pPr>
              <w:spacing w:after="0"/>
              <w:rPr>
                <w:sz w:val="16"/>
                <w:szCs w:val="16"/>
                <w:color w:val="auto"/>
              </w:rPr>
            </w:pPr>
          </w:p>
        </w:tc>
        <w:tc>
          <w:tcPr>
            <w:tcW w:w="1800" w:type="dxa"/>
            <w:vAlign w:val="bottom"/>
            <w:tcBorders>
              <w:right w:val="single" w:sz="8" w:color="2360A6"/>
            </w:tcBorders>
          </w:tcPr>
          <w:p>
            <w:pPr>
              <w:spacing w:after="0"/>
              <w:rPr>
                <w:sz w:val="16"/>
                <w:szCs w:val="16"/>
                <w:color w:val="auto"/>
              </w:rPr>
            </w:pPr>
          </w:p>
        </w:tc>
      </w:tr>
      <w:tr>
        <w:trPr>
          <w:trHeight w:val="162"/>
        </w:trPr>
        <w:tc>
          <w:tcPr>
            <w:tcW w:w="182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Guarantees Given within</w:t>
            </w:r>
          </w:p>
        </w:tc>
        <w:tc>
          <w:tcPr>
            <w:tcW w:w="1400" w:type="dxa"/>
            <w:vAlign w:val="bottom"/>
            <w:tcBorders>
              <w:right w:val="single" w:sz="8" w:color="2360A6"/>
            </w:tcBorders>
            <w:shd w:val="clear" w:color="auto" w:fill="EDEDEE"/>
          </w:tcPr>
          <w:p>
            <w:pPr>
              <w:spacing w:after="0"/>
              <w:rPr>
                <w:sz w:val="14"/>
                <w:szCs w:val="14"/>
                <w:color w:val="auto"/>
              </w:rPr>
            </w:pPr>
          </w:p>
        </w:tc>
        <w:tc>
          <w:tcPr>
            <w:tcW w:w="1160" w:type="dxa"/>
            <w:vAlign w:val="bottom"/>
            <w:shd w:val="clear" w:color="auto" w:fill="EDEDEE"/>
          </w:tcPr>
          <w:p>
            <w:pPr>
              <w:spacing w:after="0"/>
              <w:rPr>
                <w:sz w:val="14"/>
                <w:szCs w:val="14"/>
                <w:color w:val="auto"/>
              </w:rPr>
            </w:pPr>
          </w:p>
        </w:tc>
        <w:tc>
          <w:tcPr>
            <w:tcW w:w="120" w:type="dxa"/>
            <w:vAlign w:val="bottom"/>
            <w:tcBorders>
              <w:right w:val="single" w:sz="8" w:color="2360A6"/>
            </w:tcBorders>
            <w:shd w:val="clear" w:color="auto" w:fill="EDEDEE"/>
          </w:tcPr>
          <w:p>
            <w:pPr>
              <w:spacing w:after="0"/>
              <w:rPr>
                <w:sz w:val="14"/>
                <w:szCs w:val="14"/>
                <w:color w:val="auto"/>
              </w:rPr>
            </w:pPr>
          </w:p>
        </w:tc>
        <w:tc>
          <w:tcPr>
            <w:tcW w:w="1400" w:type="dxa"/>
            <w:vAlign w:val="bottom"/>
            <w:tcBorders>
              <w:right w:val="single" w:sz="8" w:color="2360A6"/>
            </w:tcBorders>
            <w:shd w:val="clear" w:color="auto" w:fill="EDEDEE"/>
          </w:tcPr>
          <w:p>
            <w:pPr>
              <w:spacing w:after="0"/>
              <w:rPr>
                <w:sz w:val="14"/>
                <w:szCs w:val="14"/>
                <w:color w:val="auto"/>
              </w:rPr>
            </w:pPr>
          </w:p>
        </w:tc>
        <w:tc>
          <w:tcPr>
            <w:tcW w:w="560" w:type="dxa"/>
            <w:vAlign w:val="bottom"/>
            <w:shd w:val="clear" w:color="auto" w:fill="EDEDEE"/>
          </w:tcPr>
          <w:p>
            <w:pPr>
              <w:spacing w:after="0"/>
              <w:rPr>
                <w:sz w:val="14"/>
                <w:szCs w:val="14"/>
                <w:color w:val="auto"/>
              </w:rPr>
            </w:pPr>
          </w:p>
        </w:tc>
        <w:tc>
          <w:tcPr>
            <w:tcW w:w="820" w:type="dxa"/>
            <w:vAlign w:val="bottom"/>
            <w:tcBorders>
              <w:right w:val="single" w:sz="8" w:color="2360A6"/>
            </w:tcBorders>
            <w:shd w:val="clear" w:color="auto" w:fill="EDEDEE"/>
          </w:tcPr>
          <w:p>
            <w:pPr>
              <w:spacing w:after="0"/>
              <w:rPr>
                <w:sz w:val="14"/>
                <w:szCs w:val="14"/>
                <w:color w:val="auto"/>
              </w:rPr>
            </w:pPr>
          </w:p>
        </w:tc>
        <w:tc>
          <w:tcPr>
            <w:tcW w:w="1580" w:type="dxa"/>
            <w:vAlign w:val="bottom"/>
            <w:tcBorders>
              <w:right w:val="single" w:sz="8" w:color="2360A6"/>
            </w:tcBorders>
          </w:tcPr>
          <w:p>
            <w:pPr>
              <w:spacing w:after="0"/>
              <w:rPr>
                <w:sz w:val="14"/>
                <w:szCs w:val="14"/>
                <w:color w:val="auto"/>
              </w:rPr>
            </w:pPr>
          </w:p>
        </w:tc>
        <w:tc>
          <w:tcPr>
            <w:tcW w:w="1800" w:type="dxa"/>
            <w:vAlign w:val="bottom"/>
            <w:tcBorders>
              <w:right w:val="single" w:sz="8" w:color="2360A6"/>
            </w:tcBorders>
          </w:tcPr>
          <w:p>
            <w:pPr>
              <w:spacing w:after="0"/>
              <w:rPr>
                <w:sz w:val="14"/>
                <w:szCs w:val="14"/>
                <w:color w:val="auto"/>
              </w:rPr>
            </w:pPr>
          </w:p>
        </w:tc>
      </w:tr>
      <w:tr>
        <w:trPr>
          <w:trHeight w:val="178"/>
        </w:trPr>
        <w:tc>
          <w:tcPr>
            <w:tcW w:w="1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Joint Arrangements</w:t>
            </w:r>
          </w:p>
        </w:tc>
        <w:tc>
          <w:tcPr>
            <w:tcW w:w="14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740.8</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18,392.7</w:t>
            </w:r>
          </w:p>
        </w:tc>
        <w:tc>
          <w:tcPr>
            <w:tcW w:w="120" w:type="dxa"/>
            <w:vAlign w:val="bottom"/>
            <w:tcBorders>
              <w:bottom w:val="single" w:sz="8" w:color="2360A6"/>
              <w:right w:val="single" w:sz="8" w:color="2360A6"/>
            </w:tcBorders>
            <w:shd w:val="clear" w:color="auto" w:fill="EDEDEE"/>
          </w:tcPr>
          <w:p>
            <w:pPr>
              <w:spacing w:after="0"/>
              <w:rPr>
                <w:sz w:val="15"/>
                <w:szCs w:val="15"/>
                <w:color w:val="auto"/>
              </w:rPr>
            </w:pPr>
          </w:p>
        </w:tc>
        <w:tc>
          <w:tcPr>
            <w:tcW w:w="14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26,144.7</w:t>
            </w:r>
          </w:p>
        </w:tc>
        <w:tc>
          <w:tcPr>
            <w:tcW w:w="560" w:type="dxa"/>
            <w:vAlign w:val="bottom"/>
            <w:tcBorders>
              <w:bottom w:val="single" w:sz="8" w:color="2360A6"/>
            </w:tcBorders>
            <w:shd w:val="clear" w:color="auto" w:fill="EDEDEE"/>
          </w:tcPr>
          <w:p>
            <w:pPr>
              <w:spacing w:after="0"/>
              <w:rPr>
                <w:sz w:val="15"/>
                <w:szCs w:val="15"/>
                <w:color w:val="auto"/>
              </w:rPr>
            </w:pPr>
          </w:p>
        </w:tc>
        <w:tc>
          <w:tcPr>
            <w:tcW w:w="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45,278.2</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44,619.4</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44,013.8</w:t>
            </w:r>
          </w:p>
        </w:tc>
      </w:tr>
      <w:tr>
        <w:trPr>
          <w:trHeight w:val="179"/>
        </w:trPr>
        <w:tc>
          <w:tcPr>
            <w:tcW w:w="182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Of which commitments</w:t>
            </w:r>
          </w:p>
        </w:tc>
        <w:tc>
          <w:tcPr>
            <w:tcW w:w="1400" w:type="dxa"/>
            <w:vAlign w:val="bottom"/>
            <w:tcBorders>
              <w:right w:val="single" w:sz="8" w:color="2360A6"/>
            </w:tcBorders>
            <w:shd w:val="clear" w:color="auto" w:fill="EDEDEE"/>
          </w:tcPr>
          <w:p>
            <w:pPr>
              <w:spacing w:after="0"/>
              <w:rPr>
                <w:sz w:val="15"/>
                <w:szCs w:val="15"/>
                <w:color w:val="auto"/>
              </w:rPr>
            </w:pPr>
          </w:p>
        </w:tc>
        <w:tc>
          <w:tcPr>
            <w:tcW w:w="1160" w:type="dxa"/>
            <w:vAlign w:val="bottom"/>
            <w:shd w:val="clear" w:color="auto" w:fill="EDEDEE"/>
          </w:tcPr>
          <w:p>
            <w:pPr>
              <w:spacing w:after="0"/>
              <w:rPr>
                <w:sz w:val="15"/>
                <w:szCs w:val="15"/>
                <w:color w:val="auto"/>
              </w:rPr>
            </w:pPr>
          </w:p>
        </w:tc>
        <w:tc>
          <w:tcPr>
            <w:tcW w:w="120" w:type="dxa"/>
            <w:vAlign w:val="bottom"/>
            <w:tcBorders>
              <w:right w:val="single" w:sz="8" w:color="2360A6"/>
            </w:tcBorders>
            <w:shd w:val="clear" w:color="auto" w:fill="EDEDEE"/>
          </w:tcPr>
          <w:p>
            <w:pPr>
              <w:spacing w:after="0"/>
              <w:rPr>
                <w:sz w:val="15"/>
                <w:szCs w:val="15"/>
                <w:color w:val="auto"/>
              </w:rPr>
            </w:pPr>
          </w:p>
        </w:tc>
        <w:tc>
          <w:tcPr>
            <w:tcW w:w="1400" w:type="dxa"/>
            <w:vAlign w:val="bottom"/>
            <w:tcBorders>
              <w:right w:val="single" w:sz="8" w:color="2360A6"/>
            </w:tcBorders>
            <w:shd w:val="clear" w:color="auto" w:fill="EDEDEE"/>
          </w:tcPr>
          <w:p>
            <w:pPr>
              <w:spacing w:after="0"/>
              <w:rPr>
                <w:sz w:val="15"/>
                <w:szCs w:val="15"/>
                <w:color w:val="auto"/>
              </w:rPr>
            </w:pPr>
          </w:p>
        </w:tc>
        <w:tc>
          <w:tcPr>
            <w:tcW w:w="560" w:type="dxa"/>
            <w:vAlign w:val="bottom"/>
            <w:shd w:val="clear" w:color="auto" w:fill="EDEDEE"/>
          </w:tcPr>
          <w:p>
            <w:pPr>
              <w:spacing w:after="0"/>
              <w:rPr>
                <w:sz w:val="15"/>
                <w:szCs w:val="15"/>
                <w:color w:val="auto"/>
              </w:rPr>
            </w:pPr>
          </w:p>
        </w:tc>
        <w:tc>
          <w:tcPr>
            <w:tcW w:w="820" w:type="dxa"/>
            <w:vAlign w:val="bottom"/>
            <w:tcBorders>
              <w:right w:val="single" w:sz="8" w:color="2360A6"/>
            </w:tcBorders>
            <w:shd w:val="clear" w:color="auto" w:fill="EDEDEE"/>
          </w:tcPr>
          <w:p>
            <w:pPr>
              <w:spacing w:after="0"/>
              <w:rPr>
                <w:sz w:val="15"/>
                <w:szCs w:val="15"/>
                <w:color w:val="auto"/>
              </w:rPr>
            </w:pPr>
          </w:p>
        </w:tc>
        <w:tc>
          <w:tcPr>
            <w:tcW w:w="1580" w:type="dxa"/>
            <w:vAlign w:val="bottom"/>
            <w:tcBorders>
              <w:right w:val="single" w:sz="8" w:color="2360A6"/>
            </w:tcBorders>
          </w:tcPr>
          <w:p>
            <w:pPr>
              <w:spacing w:after="0"/>
              <w:rPr>
                <w:sz w:val="15"/>
                <w:szCs w:val="15"/>
                <w:color w:val="auto"/>
              </w:rPr>
            </w:pPr>
          </w:p>
        </w:tc>
        <w:tc>
          <w:tcPr>
            <w:tcW w:w="1800" w:type="dxa"/>
            <w:vAlign w:val="bottom"/>
            <w:tcBorders>
              <w:right w:val="single" w:sz="8" w:color="2360A6"/>
            </w:tcBorders>
          </w:tcPr>
          <w:p>
            <w:pPr>
              <w:spacing w:after="0"/>
              <w:rPr>
                <w:sz w:val="15"/>
                <w:szCs w:val="15"/>
                <w:color w:val="auto"/>
              </w:rPr>
            </w:pPr>
          </w:p>
        </w:tc>
      </w:tr>
      <w:tr>
        <w:trPr>
          <w:trHeight w:val="162"/>
        </w:trPr>
        <w:tc>
          <w:tcPr>
            <w:tcW w:w="182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given relating to Joint</w:t>
            </w:r>
          </w:p>
        </w:tc>
        <w:tc>
          <w:tcPr>
            <w:tcW w:w="1400" w:type="dxa"/>
            <w:vAlign w:val="bottom"/>
            <w:tcBorders>
              <w:right w:val="single" w:sz="8" w:color="2360A6"/>
            </w:tcBorders>
            <w:shd w:val="clear" w:color="auto" w:fill="EDEDEE"/>
          </w:tcPr>
          <w:p>
            <w:pPr>
              <w:spacing w:after="0"/>
              <w:rPr>
                <w:sz w:val="14"/>
                <w:szCs w:val="14"/>
                <w:color w:val="auto"/>
              </w:rPr>
            </w:pPr>
          </w:p>
        </w:tc>
        <w:tc>
          <w:tcPr>
            <w:tcW w:w="1160" w:type="dxa"/>
            <w:vAlign w:val="bottom"/>
            <w:shd w:val="clear" w:color="auto" w:fill="EDEDEE"/>
          </w:tcPr>
          <w:p>
            <w:pPr>
              <w:spacing w:after="0"/>
              <w:rPr>
                <w:sz w:val="14"/>
                <w:szCs w:val="14"/>
                <w:color w:val="auto"/>
              </w:rPr>
            </w:pPr>
          </w:p>
        </w:tc>
        <w:tc>
          <w:tcPr>
            <w:tcW w:w="120" w:type="dxa"/>
            <w:vAlign w:val="bottom"/>
            <w:tcBorders>
              <w:right w:val="single" w:sz="8" w:color="2360A6"/>
            </w:tcBorders>
            <w:shd w:val="clear" w:color="auto" w:fill="EDEDEE"/>
          </w:tcPr>
          <w:p>
            <w:pPr>
              <w:spacing w:after="0"/>
              <w:rPr>
                <w:sz w:val="14"/>
                <w:szCs w:val="14"/>
                <w:color w:val="auto"/>
              </w:rPr>
            </w:pPr>
          </w:p>
        </w:tc>
        <w:tc>
          <w:tcPr>
            <w:tcW w:w="1400" w:type="dxa"/>
            <w:vAlign w:val="bottom"/>
            <w:tcBorders>
              <w:right w:val="single" w:sz="8" w:color="2360A6"/>
            </w:tcBorders>
            <w:shd w:val="clear" w:color="auto" w:fill="EDEDEE"/>
          </w:tcPr>
          <w:p>
            <w:pPr>
              <w:spacing w:after="0"/>
              <w:rPr>
                <w:sz w:val="14"/>
                <w:szCs w:val="14"/>
                <w:color w:val="auto"/>
              </w:rPr>
            </w:pPr>
          </w:p>
        </w:tc>
        <w:tc>
          <w:tcPr>
            <w:tcW w:w="560" w:type="dxa"/>
            <w:vAlign w:val="bottom"/>
            <w:shd w:val="clear" w:color="auto" w:fill="EDEDEE"/>
          </w:tcPr>
          <w:p>
            <w:pPr>
              <w:spacing w:after="0"/>
              <w:rPr>
                <w:sz w:val="14"/>
                <w:szCs w:val="14"/>
                <w:color w:val="auto"/>
              </w:rPr>
            </w:pPr>
          </w:p>
        </w:tc>
        <w:tc>
          <w:tcPr>
            <w:tcW w:w="820" w:type="dxa"/>
            <w:vAlign w:val="bottom"/>
            <w:tcBorders>
              <w:right w:val="single" w:sz="8" w:color="2360A6"/>
            </w:tcBorders>
            <w:shd w:val="clear" w:color="auto" w:fill="EDEDEE"/>
          </w:tcPr>
          <w:p>
            <w:pPr>
              <w:spacing w:after="0"/>
              <w:rPr>
                <w:sz w:val="14"/>
                <w:szCs w:val="14"/>
                <w:color w:val="auto"/>
              </w:rPr>
            </w:pPr>
          </w:p>
        </w:tc>
        <w:tc>
          <w:tcPr>
            <w:tcW w:w="1580" w:type="dxa"/>
            <w:vAlign w:val="bottom"/>
            <w:tcBorders>
              <w:right w:val="single" w:sz="8" w:color="2360A6"/>
            </w:tcBorders>
          </w:tcPr>
          <w:p>
            <w:pPr>
              <w:spacing w:after="0"/>
              <w:rPr>
                <w:sz w:val="14"/>
                <w:szCs w:val="14"/>
                <w:color w:val="auto"/>
              </w:rPr>
            </w:pPr>
          </w:p>
        </w:tc>
        <w:tc>
          <w:tcPr>
            <w:tcW w:w="1800" w:type="dxa"/>
            <w:vAlign w:val="bottom"/>
            <w:tcBorders>
              <w:right w:val="single" w:sz="8" w:color="2360A6"/>
            </w:tcBorders>
          </w:tcPr>
          <w:p>
            <w:pPr>
              <w:spacing w:after="0"/>
              <w:rPr>
                <w:sz w:val="14"/>
                <w:szCs w:val="14"/>
                <w:color w:val="auto"/>
              </w:rPr>
            </w:pPr>
          </w:p>
        </w:tc>
      </w:tr>
      <w:tr>
        <w:trPr>
          <w:trHeight w:val="192"/>
        </w:trPr>
        <w:tc>
          <w:tcPr>
            <w:tcW w:w="182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Operations</w:t>
            </w:r>
          </w:p>
        </w:tc>
        <w:tc>
          <w:tcPr>
            <w:tcW w:w="140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w:t>
            </w:r>
          </w:p>
        </w:tc>
        <w:tc>
          <w:tcPr>
            <w:tcW w:w="120" w:type="dxa"/>
            <w:vAlign w:val="bottom"/>
            <w:tcBorders>
              <w:bottom w:val="single" w:sz="8" w:color="2360A6"/>
              <w:right w:val="single" w:sz="8" w:color="2360A6"/>
            </w:tcBorders>
            <w:shd w:val="clear" w:color="auto" w:fill="EDEDEE"/>
          </w:tcPr>
          <w:p>
            <w:pPr>
              <w:spacing w:after="0"/>
              <w:rPr>
                <w:sz w:val="16"/>
                <w:szCs w:val="16"/>
                <w:color w:val="auto"/>
              </w:rPr>
            </w:pPr>
          </w:p>
        </w:tc>
        <w:tc>
          <w:tcPr>
            <w:tcW w:w="140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755.3</w:t>
            </w:r>
          </w:p>
        </w:tc>
        <w:tc>
          <w:tcPr>
            <w:tcW w:w="560" w:type="dxa"/>
            <w:vAlign w:val="bottom"/>
            <w:tcBorders>
              <w:bottom w:val="single" w:sz="8" w:color="2360A6"/>
            </w:tcBorders>
            <w:shd w:val="clear" w:color="auto" w:fill="EDEDEE"/>
          </w:tcPr>
          <w:p>
            <w:pPr>
              <w:spacing w:after="0"/>
              <w:rPr>
                <w:sz w:val="16"/>
                <w:szCs w:val="16"/>
                <w:color w:val="auto"/>
              </w:rPr>
            </w:pPr>
          </w:p>
        </w:tc>
        <w:tc>
          <w:tcPr>
            <w:tcW w:w="8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755.3</w:t>
            </w:r>
          </w:p>
        </w:tc>
        <w:tc>
          <w:tcPr>
            <w:tcW w:w="15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17,984.2</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20,751.5</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231F20"/>
        </w:rPr>
        <w:t>Commitments received relate mainly to similar guarantees obtained from suppliers or subcontractors in connection with ongoing contracts.</w:t>
      </w:r>
    </w:p>
    <w:p>
      <w:pPr>
        <w:sectPr>
          <w:pgSz w:w="11900" w:h="16838" w:orient="portrait"/>
          <w:cols w:equalWidth="0" w:num="1">
            <w:col w:w="11420"/>
          </w:cols>
          <w:pgMar w:left="240" w:top="580" w:right="239" w:bottom="1440" w:gutter="0" w:footer="0" w:header="0"/>
        </w:sectPr>
      </w:pPr>
    </w:p>
    <w:bookmarkStart w:id="164" w:name="page165"/>
    <w:bookmarkEnd w:id="164"/>
    <w:p>
      <w:pPr>
        <w:spacing w:after="0"/>
        <w:rPr>
          <w:sz w:val="20"/>
          <w:szCs w:val="20"/>
          <w:color w:val="auto"/>
        </w:rPr>
      </w:pPr>
      <w:r>
        <w:rPr>
          <w:rFonts w:ascii="Arial" w:cs="Arial" w:eastAsia="Arial" w:hAnsi="Arial"/>
          <w:sz w:val="25"/>
          <w:szCs w:val="25"/>
          <w:b w:val="1"/>
          <w:bCs w:val="1"/>
          <w:color w:val="231F20"/>
        </w:rPr>
        <w:t>(B) Off-Balance Sheet Commitments Related to Group Financing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The following table illustrates the breakdown of off-balance sheet commitments related to Group financing:</w:t>
      </w:r>
    </w:p>
    <w:p>
      <w:pPr>
        <w:spacing w:after="0" w:line="118" w:lineRule="exact"/>
        <w:rPr>
          <w:sz w:val="20"/>
          <w:szCs w:val="20"/>
          <w:color w:val="auto"/>
        </w:rPr>
      </w:pPr>
    </w:p>
    <w:tbl>
      <w:tblPr>
        <w:tblLayout w:type="fixed"/>
        <w:tblInd w:w="430" w:type="dxa"/>
        <w:tblCellMar>
          <w:top w:w="0" w:type="dxa"/>
          <w:left w:w="0" w:type="dxa"/>
          <w:bottom w:w="0" w:type="dxa"/>
          <w:right w:w="0" w:type="dxa"/>
        </w:tblCellMar>
      </w:tblPr>
      <w:tr>
        <w:trPr>
          <w:trHeight w:val="189"/>
        </w:trPr>
        <w:tc>
          <w:tcPr>
            <w:tcW w:w="3000" w:type="dxa"/>
            <w:vAlign w:val="bottom"/>
            <w:tcBorders>
              <w:top w:val="single" w:sz="8" w:color="2360A6"/>
              <w:left w:val="single" w:sz="8" w:color="2360A6"/>
              <w:right w:val="single" w:sz="8" w:color="2360A6"/>
            </w:tcBorders>
          </w:tcPr>
          <w:p>
            <w:pPr>
              <w:spacing w:after="0"/>
              <w:rPr>
                <w:sz w:val="16"/>
                <w:szCs w:val="16"/>
                <w:color w:val="auto"/>
              </w:rPr>
            </w:pPr>
          </w:p>
        </w:tc>
        <w:tc>
          <w:tcPr>
            <w:tcW w:w="1060" w:type="dxa"/>
            <w:vAlign w:val="bottom"/>
            <w:tcBorders>
              <w:top w:val="single" w:sz="8" w:color="2360A6"/>
              <w:right w:val="single" w:sz="8" w:color="2360A6"/>
            </w:tcBorders>
            <w:shd w:val="clear" w:color="auto" w:fill="2360A6"/>
          </w:tcPr>
          <w:p>
            <w:pPr>
              <w:spacing w:after="0"/>
              <w:rPr>
                <w:sz w:val="16"/>
                <w:szCs w:val="16"/>
                <w:color w:val="auto"/>
              </w:rPr>
            </w:pPr>
          </w:p>
        </w:tc>
        <w:tc>
          <w:tcPr>
            <w:tcW w:w="1180" w:type="dxa"/>
            <w:vAlign w:val="bottom"/>
            <w:tcBorders>
              <w:top w:val="single" w:sz="8" w:color="2360A6"/>
              <w:right w:val="single" w:sz="8" w:color="2360A6"/>
            </w:tcBorders>
            <w:shd w:val="clear" w:color="auto" w:fill="2360A6"/>
          </w:tcPr>
          <w:p>
            <w:pPr>
              <w:spacing w:after="0"/>
              <w:rPr>
                <w:sz w:val="16"/>
                <w:szCs w:val="16"/>
                <w:color w:val="auto"/>
              </w:rPr>
            </w:pPr>
          </w:p>
        </w:tc>
        <w:tc>
          <w:tcPr>
            <w:tcW w:w="260" w:type="dxa"/>
            <w:vAlign w:val="bottom"/>
            <w:tcBorders>
              <w:top w:val="single" w:sz="8" w:color="2360A6"/>
            </w:tcBorders>
            <w:shd w:val="clear" w:color="auto" w:fill="2360A6"/>
          </w:tcPr>
          <w:p>
            <w:pPr>
              <w:spacing w:after="0"/>
              <w:rPr>
                <w:sz w:val="16"/>
                <w:szCs w:val="16"/>
                <w:color w:val="auto"/>
              </w:rPr>
            </w:pPr>
          </w:p>
        </w:tc>
        <w:tc>
          <w:tcPr>
            <w:tcW w:w="920" w:type="dxa"/>
            <w:vAlign w:val="bottom"/>
            <w:tcBorders>
              <w:top w:val="single" w:sz="8" w:color="2360A6"/>
              <w:right w:val="single" w:sz="8" w:color="2360A6"/>
            </w:tcBorders>
            <w:shd w:val="clear" w:color="auto" w:fill="2360A6"/>
          </w:tcPr>
          <w:p>
            <w:pPr>
              <w:spacing w:after="0"/>
              <w:rPr>
                <w:sz w:val="16"/>
                <w:szCs w:val="16"/>
                <w:color w:val="auto"/>
              </w:rPr>
            </w:pPr>
          </w:p>
        </w:tc>
        <w:tc>
          <w:tcPr>
            <w:tcW w:w="940" w:type="dxa"/>
            <w:vAlign w:val="bottom"/>
            <w:tcBorders>
              <w:top w:val="single" w:sz="8" w:color="2360A6"/>
              <w:right w:val="single" w:sz="8" w:color="2360A6"/>
            </w:tcBorders>
            <w:shd w:val="clear" w:color="auto" w:fill="2360A6"/>
          </w:tcPr>
          <w:p>
            <w:pPr>
              <w:spacing w:after="0"/>
              <w:rPr>
                <w:sz w:val="16"/>
                <w:szCs w:val="16"/>
                <w:color w:val="auto"/>
              </w:rPr>
            </w:pPr>
          </w:p>
        </w:tc>
        <w:tc>
          <w:tcPr>
            <w:tcW w:w="1680" w:type="dxa"/>
            <w:vAlign w:val="bottom"/>
            <w:tcBorders>
              <w:top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BA"/>
              </w:rPr>
              <w:t>As of</w:t>
            </w:r>
          </w:p>
        </w:tc>
        <w:tc>
          <w:tcPr>
            <w:tcW w:w="1560" w:type="dxa"/>
            <w:vAlign w:val="bottom"/>
            <w:tcBorders>
              <w:top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As of</w:t>
            </w:r>
          </w:p>
        </w:tc>
      </w:tr>
      <w:tr>
        <w:trPr>
          <w:trHeight w:val="162"/>
        </w:trPr>
        <w:tc>
          <w:tcPr>
            <w:tcW w:w="3000" w:type="dxa"/>
            <w:vAlign w:val="bottom"/>
            <w:tcBorders>
              <w:left w:val="single" w:sz="8" w:color="2360A6"/>
              <w:right w:val="single" w:sz="8" w:color="2360A6"/>
            </w:tcBorders>
          </w:tcPr>
          <w:p>
            <w:pPr>
              <w:spacing w:after="0"/>
              <w:rPr>
                <w:sz w:val="14"/>
                <w:szCs w:val="14"/>
                <w:color w:val="auto"/>
              </w:rPr>
            </w:pPr>
          </w:p>
        </w:tc>
        <w:tc>
          <w:tcPr>
            <w:tcW w:w="1060" w:type="dxa"/>
            <w:vAlign w:val="bottom"/>
            <w:tcBorders>
              <w:right w:val="single" w:sz="8" w:color="2360A6"/>
            </w:tcBorders>
            <w:shd w:val="clear" w:color="auto" w:fill="2360A6"/>
          </w:tcPr>
          <w:p>
            <w:pPr>
              <w:spacing w:after="0"/>
              <w:rPr>
                <w:sz w:val="14"/>
                <w:szCs w:val="14"/>
                <w:color w:val="auto"/>
              </w:rPr>
            </w:pPr>
          </w:p>
        </w:tc>
        <w:tc>
          <w:tcPr>
            <w:tcW w:w="1440" w:type="dxa"/>
            <w:vAlign w:val="bottom"/>
            <w:gridSpan w:val="2"/>
            <w:shd w:val="clear" w:color="auto" w:fill="2360A6"/>
          </w:tcPr>
          <w:p>
            <w:pPr>
              <w:ind w:left="980"/>
              <w:spacing w:after="0"/>
              <w:rPr>
                <w:sz w:val="20"/>
                <w:szCs w:val="20"/>
                <w:color w:val="auto"/>
              </w:rPr>
            </w:pPr>
            <w:r>
              <w:rPr>
                <w:rFonts w:ascii="Arial" w:cs="Arial" w:eastAsia="Arial" w:hAnsi="Arial"/>
                <w:sz w:val="14"/>
                <w:szCs w:val="14"/>
                <w:b w:val="1"/>
                <w:bCs w:val="1"/>
                <w:color w:val="FFFFFF"/>
              </w:rPr>
              <w:t>As of</w:t>
            </w:r>
          </w:p>
        </w:tc>
        <w:tc>
          <w:tcPr>
            <w:tcW w:w="920" w:type="dxa"/>
            <w:vAlign w:val="bottom"/>
            <w:tcBorders>
              <w:right w:val="single" w:sz="8" w:color="2360A6"/>
            </w:tcBorders>
            <w:shd w:val="clear" w:color="auto" w:fill="2360A6"/>
          </w:tcPr>
          <w:p>
            <w:pPr>
              <w:spacing w:after="0"/>
              <w:rPr>
                <w:sz w:val="14"/>
                <w:szCs w:val="14"/>
                <w:color w:val="auto"/>
              </w:rPr>
            </w:pPr>
          </w:p>
        </w:tc>
        <w:tc>
          <w:tcPr>
            <w:tcW w:w="940" w:type="dxa"/>
            <w:vAlign w:val="bottom"/>
            <w:tcBorders>
              <w:right w:val="single" w:sz="8" w:color="2360A6"/>
            </w:tcBorders>
            <w:shd w:val="clear" w:color="auto" w:fill="2360A6"/>
          </w:tcPr>
          <w:p>
            <w:pPr>
              <w:spacing w:after="0"/>
              <w:rPr>
                <w:sz w:val="14"/>
                <w:szCs w:val="14"/>
                <w:color w:val="auto"/>
              </w:rPr>
            </w:pPr>
          </w:p>
        </w:tc>
        <w:tc>
          <w:tcPr>
            <w:tcW w:w="168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BA"/>
              </w:rPr>
              <w:t>December 31,</w:t>
            </w:r>
          </w:p>
        </w:tc>
        <w:tc>
          <w:tcPr>
            <w:tcW w:w="1560" w:type="dxa"/>
            <w:vAlign w:val="bottom"/>
            <w:tcBorders>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December 31,</w:t>
            </w:r>
          </w:p>
        </w:tc>
      </w:tr>
      <w:tr>
        <w:trPr>
          <w:trHeight w:val="196"/>
        </w:trPr>
        <w:tc>
          <w:tcPr>
            <w:tcW w:w="3000" w:type="dxa"/>
            <w:vAlign w:val="bottom"/>
            <w:tcBorders>
              <w:left w:val="single" w:sz="8" w:color="2360A6"/>
              <w:right w:val="single" w:sz="8" w:color="2360A6"/>
            </w:tcBorders>
          </w:tcPr>
          <w:p>
            <w:pPr>
              <w:spacing w:after="0"/>
              <w:rPr>
                <w:sz w:val="17"/>
                <w:szCs w:val="17"/>
                <w:color w:val="auto"/>
              </w:rPr>
            </w:pPr>
          </w:p>
        </w:tc>
        <w:tc>
          <w:tcPr>
            <w:tcW w:w="1060" w:type="dxa"/>
            <w:vAlign w:val="bottom"/>
            <w:tcBorders>
              <w:bottom w:val="single" w:sz="8" w:color="2360A6"/>
              <w:right w:val="single" w:sz="8" w:color="2360A6"/>
            </w:tcBorders>
            <w:shd w:val="clear" w:color="auto" w:fill="2360A6"/>
          </w:tcPr>
          <w:p>
            <w:pPr>
              <w:spacing w:after="0"/>
              <w:rPr>
                <w:sz w:val="17"/>
                <w:szCs w:val="17"/>
                <w:color w:val="auto"/>
              </w:rPr>
            </w:pPr>
          </w:p>
        </w:tc>
        <w:tc>
          <w:tcPr>
            <w:tcW w:w="2360" w:type="dxa"/>
            <w:vAlign w:val="bottom"/>
            <w:tcBorders>
              <w:bottom w:val="single" w:sz="8" w:color="2360A6"/>
              <w:right w:val="single" w:sz="8" w:color="2360A6"/>
            </w:tcBorders>
            <w:gridSpan w:val="3"/>
            <w:shd w:val="clear" w:color="auto" w:fill="2360A6"/>
          </w:tcPr>
          <w:p>
            <w:pPr>
              <w:jc w:val="right"/>
              <w:ind w:right="488"/>
              <w:spacing w:after="0"/>
              <w:rPr>
                <w:sz w:val="20"/>
                <w:szCs w:val="20"/>
                <w:color w:val="auto"/>
              </w:rPr>
            </w:pPr>
            <w:r>
              <w:rPr>
                <w:rFonts w:ascii="Arial" w:cs="Arial" w:eastAsia="Arial" w:hAnsi="Arial"/>
                <w:sz w:val="14"/>
                <w:szCs w:val="14"/>
                <w:b w:val="1"/>
                <w:bCs w:val="1"/>
                <w:color w:val="FFFFFF"/>
              </w:rPr>
              <w:t>December 31, 2016</w:t>
            </w:r>
          </w:p>
        </w:tc>
        <w:tc>
          <w:tcPr>
            <w:tcW w:w="940" w:type="dxa"/>
            <w:vAlign w:val="bottom"/>
            <w:tcBorders>
              <w:bottom w:val="single" w:sz="8" w:color="2360A6"/>
              <w:right w:val="single" w:sz="8" w:color="2360A6"/>
            </w:tcBorders>
            <w:shd w:val="clear" w:color="auto" w:fill="2360A6"/>
          </w:tcPr>
          <w:p>
            <w:pPr>
              <w:spacing w:after="0"/>
              <w:rPr>
                <w:sz w:val="17"/>
                <w:szCs w:val="17"/>
                <w:color w:val="auto"/>
              </w:rPr>
            </w:pPr>
          </w:p>
        </w:tc>
        <w:tc>
          <w:tcPr>
            <w:tcW w:w="16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BA"/>
              </w:rPr>
              <w:t>2015</w:t>
            </w:r>
          </w:p>
        </w:tc>
        <w:tc>
          <w:tcPr>
            <w:tcW w:w="15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2014</w:t>
            </w:r>
          </w:p>
        </w:tc>
      </w:tr>
      <w:tr>
        <w:trPr>
          <w:trHeight w:val="210"/>
        </w:trPr>
        <w:tc>
          <w:tcPr>
            <w:tcW w:w="3000" w:type="dxa"/>
            <w:vAlign w:val="bottom"/>
            <w:tcBorders>
              <w:left w:val="single" w:sz="8" w:color="2360A6"/>
              <w:right w:val="single" w:sz="8" w:color="2360A6"/>
            </w:tcBorders>
          </w:tcPr>
          <w:p>
            <w:pPr>
              <w:spacing w:after="0"/>
              <w:rPr>
                <w:sz w:val="18"/>
                <w:szCs w:val="18"/>
                <w:color w:val="auto"/>
              </w:rPr>
            </w:pPr>
          </w:p>
        </w:tc>
        <w:tc>
          <w:tcPr>
            <w:tcW w:w="3420" w:type="dxa"/>
            <w:vAlign w:val="bottom"/>
            <w:tcBorders>
              <w:bottom w:val="single" w:sz="8" w:color="2360A6"/>
              <w:right w:val="single" w:sz="8" w:color="2360A6"/>
            </w:tcBorders>
            <w:gridSpan w:val="4"/>
            <w:shd w:val="clear" w:color="auto" w:fill="EDEDEE"/>
          </w:tcPr>
          <w:p>
            <w:pPr>
              <w:jc w:val="right"/>
              <w:ind w:right="368"/>
              <w:spacing w:after="0"/>
              <w:rPr>
                <w:sz w:val="20"/>
                <w:szCs w:val="20"/>
                <w:color w:val="auto"/>
              </w:rPr>
            </w:pPr>
            <w:r>
              <w:rPr>
                <w:rFonts w:ascii="Arial" w:cs="Arial" w:eastAsia="Arial" w:hAnsi="Arial"/>
                <w:sz w:val="14"/>
                <w:szCs w:val="14"/>
                <w:b w:val="1"/>
                <w:bCs w:val="1"/>
                <w:color w:val="2360A6"/>
              </w:rPr>
              <w:t>Amounts of Commitments per Period</w:t>
            </w:r>
          </w:p>
        </w:tc>
        <w:tc>
          <w:tcPr>
            <w:tcW w:w="940" w:type="dxa"/>
            <w:vAlign w:val="bottom"/>
            <w:tcBorders>
              <w:bottom w:val="single" w:sz="8" w:color="EDEDEE"/>
              <w:right w:val="single" w:sz="8" w:color="2360A6"/>
            </w:tcBorders>
            <w:shd w:val="clear" w:color="auto" w:fill="EDEDEE"/>
          </w:tcPr>
          <w:p>
            <w:pPr>
              <w:spacing w:after="0"/>
              <w:rPr>
                <w:sz w:val="18"/>
                <w:szCs w:val="18"/>
                <w:color w:val="auto"/>
              </w:rPr>
            </w:pPr>
          </w:p>
        </w:tc>
        <w:tc>
          <w:tcPr>
            <w:tcW w:w="1680" w:type="dxa"/>
            <w:vAlign w:val="bottom"/>
            <w:tcBorders>
              <w:right w:val="single" w:sz="8" w:color="2360A6"/>
            </w:tcBorders>
          </w:tcPr>
          <w:p>
            <w:pPr>
              <w:spacing w:after="0"/>
              <w:rPr>
                <w:sz w:val="18"/>
                <w:szCs w:val="18"/>
                <w:color w:val="auto"/>
              </w:rPr>
            </w:pPr>
          </w:p>
        </w:tc>
        <w:tc>
          <w:tcPr>
            <w:tcW w:w="1560" w:type="dxa"/>
            <w:vAlign w:val="bottom"/>
            <w:tcBorders>
              <w:right w:val="single" w:sz="8" w:color="2360A6"/>
            </w:tcBorders>
          </w:tcPr>
          <w:p>
            <w:pPr>
              <w:spacing w:after="0"/>
              <w:rPr>
                <w:sz w:val="18"/>
                <w:szCs w:val="18"/>
                <w:color w:val="auto"/>
              </w:rPr>
            </w:pPr>
          </w:p>
        </w:tc>
      </w:tr>
      <w:tr>
        <w:trPr>
          <w:trHeight w:val="216"/>
        </w:trPr>
        <w:tc>
          <w:tcPr>
            <w:tcW w:w="3000" w:type="dxa"/>
            <w:vAlign w:val="bottom"/>
            <w:tcBorders>
              <w:left w:val="single" w:sz="8" w:color="2360A6"/>
              <w:right w:val="single" w:sz="8" w:color="2360A6"/>
            </w:tcBorders>
          </w:tcPr>
          <w:p>
            <w:pPr>
              <w:spacing w:after="0"/>
              <w:rPr>
                <w:sz w:val="18"/>
                <w:szCs w:val="18"/>
                <w:color w:val="auto"/>
              </w:rPr>
            </w:pPr>
          </w:p>
        </w:tc>
        <w:tc>
          <w:tcPr>
            <w:tcW w:w="1060" w:type="dxa"/>
            <w:vAlign w:val="bottom"/>
            <w:tcBorders>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Less than</w:t>
            </w:r>
          </w:p>
        </w:tc>
        <w:tc>
          <w:tcPr>
            <w:tcW w:w="1180" w:type="dxa"/>
            <w:vAlign w:val="bottom"/>
            <w:tcBorders>
              <w:right w:val="single" w:sz="8" w:color="2360A6"/>
            </w:tcBorders>
            <w:shd w:val="clear" w:color="auto" w:fill="EDEDEE"/>
          </w:tcPr>
          <w:p>
            <w:pPr>
              <w:spacing w:after="0"/>
              <w:rPr>
                <w:sz w:val="18"/>
                <w:szCs w:val="18"/>
                <w:color w:val="auto"/>
              </w:rPr>
            </w:pPr>
          </w:p>
        </w:tc>
        <w:tc>
          <w:tcPr>
            <w:tcW w:w="260" w:type="dxa"/>
            <w:vAlign w:val="bottom"/>
            <w:shd w:val="clear" w:color="auto" w:fill="EDEDEE"/>
          </w:tcPr>
          <w:p>
            <w:pPr>
              <w:spacing w:after="0"/>
              <w:rPr>
                <w:sz w:val="18"/>
                <w:szCs w:val="18"/>
                <w:color w:val="auto"/>
              </w:rPr>
            </w:pPr>
          </w:p>
        </w:tc>
        <w:tc>
          <w:tcPr>
            <w:tcW w:w="920" w:type="dxa"/>
            <w:vAlign w:val="bottom"/>
            <w:tcBorders>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More than</w:t>
            </w:r>
          </w:p>
        </w:tc>
        <w:tc>
          <w:tcPr>
            <w:tcW w:w="940" w:type="dxa"/>
            <w:vAlign w:val="bottom"/>
            <w:tcBorders>
              <w:right w:val="single" w:sz="8" w:color="2360A6"/>
            </w:tcBorders>
            <w:shd w:val="clear" w:color="auto" w:fill="EDEDEE"/>
          </w:tcPr>
          <w:p>
            <w:pPr>
              <w:spacing w:after="0"/>
              <w:rPr>
                <w:sz w:val="18"/>
                <w:szCs w:val="18"/>
                <w:color w:val="auto"/>
              </w:rPr>
            </w:pPr>
          </w:p>
        </w:tc>
        <w:tc>
          <w:tcPr>
            <w:tcW w:w="1680" w:type="dxa"/>
            <w:vAlign w:val="bottom"/>
            <w:tcBorders>
              <w:right w:val="single" w:sz="8" w:color="2360A6"/>
            </w:tcBorders>
          </w:tcPr>
          <w:p>
            <w:pPr>
              <w:spacing w:after="0"/>
              <w:rPr>
                <w:sz w:val="18"/>
                <w:szCs w:val="18"/>
                <w:color w:val="auto"/>
              </w:rPr>
            </w:pPr>
          </w:p>
        </w:tc>
        <w:tc>
          <w:tcPr>
            <w:tcW w:w="1560" w:type="dxa"/>
            <w:vAlign w:val="bottom"/>
            <w:tcBorders>
              <w:right w:val="single" w:sz="8" w:color="2360A6"/>
            </w:tcBorders>
          </w:tcPr>
          <w:p>
            <w:pPr>
              <w:spacing w:after="0"/>
              <w:rPr>
                <w:sz w:val="18"/>
                <w:szCs w:val="18"/>
                <w:color w:val="auto"/>
              </w:rPr>
            </w:pPr>
          </w:p>
        </w:tc>
      </w:tr>
      <w:tr>
        <w:trPr>
          <w:trHeight w:val="196"/>
        </w:trPr>
        <w:tc>
          <w:tcPr>
            <w:tcW w:w="30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10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1 year</w:t>
            </w:r>
          </w:p>
        </w:tc>
        <w:tc>
          <w:tcPr>
            <w:tcW w:w="11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1 to 5 years</w:t>
            </w:r>
          </w:p>
        </w:tc>
        <w:tc>
          <w:tcPr>
            <w:tcW w:w="260" w:type="dxa"/>
            <w:vAlign w:val="bottom"/>
            <w:tcBorders>
              <w:bottom w:val="single" w:sz="8" w:color="2360A6"/>
            </w:tcBorders>
            <w:shd w:val="clear" w:color="auto" w:fill="EDEDEE"/>
          </w:tcPr>
          <w:p>
            <w:pPr>
              <w:spacing w:after="0"/>
              <w:rPr>
                <w:sz w:val="17"/>
                <w:szCs w:val="17"/>
                <w:color w:val="auto"/>
              </w:rPr>
            </w:pPr>
          </w:p>
        </w:tc>
        <w:tc>
          <w:tcPr>
            <w:tcW w:w="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5 years</w:t>
            </w:r>
          </w:p>
        </w:tc>
        <w:tc>
          <w:tcPr>
            <w:tcW w:w="94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Total</w:t>
            </w:r>
          </w:p>
        </w:tc>
        <w:tc>
          <w:tcPr>
            <w:tcW w:w="16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Total</w:t>
            </w:r>
          </w:p>
        </w:tc>
        <w:tc>
          <w:tcPr>
            <w:tcW w:w="15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Total</w:t>
            </w:r>
          </w:p>
        </w:tc>
      </w:tr>
      <w:tr>
        <w:trPr>
          <w:trHeight w:val="193"/>
        </w:trPr>
        <w:tc>
          <w:tcPr>
            <w:tcW w:w="300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Other Commitments Given related to</w:t>
            </w:r>
          </w:p>
        </w:tc>
        <w:tc>
          <w:tcPr>
            <w:tcW w:w="1060" w:type="dxa"/>
            <w:vAlign w:val="bottom"/>
            <w:tcBorders>
              <w:right w:val="single" w:sz="8" w:color="2360A6"/>
            </w:tcBorders>
            <w:shd w:val="clear" w:color="auto" w:fill="EDEDEE"/>
          </w:tcPr>
          <w:p>
            <w:pPr>
              <w:spacing w:after="0"/>
              <w:rPr>
                <w:sz w:val="16"/>
                <w:szCs w:val="16"/>
                <w:color w:val="auto"/>
              </w:rPr>
            </w:pPr>
          </w:p>
        </w:tc>
        <w:tc>
          <w:tcPr>
            <w:tcW w:w="1180" w:type="dxa"/>
            <w:vAlign w:val="bottom"/>
            <w:tcBorders>
              <w:right w:val="single" w:sz="8" w:color="2360A6"/>
            </w:tcBorders>
            <w:shd w:val="clear" w:color="auto" w:fill="EDEDEE"/>
          </w:tcPr>
          <w:p>
            <w:pPr>
              <w:spacing w:after="0"/>
              <w:rPr>
                <w:sz w:val="16"/>
                <w:szCs w:val="16"/>
                <w:color w:val="auto"/>
              </w:rPr>
            </w:pPr>
          </w:p>
        </w:tc>
        <w:tc>
          <w:tcPr>
            <w:tcW w:w="260" w:type="dxa"/>
            <w:vAlign w:val="bottom"/>
            <w:shd w:val="clear" w:color="auto" w:fill="EDEDEE"/>
          </w:tcPr>
          <w:p>
            <w:pPr>
              <w:spacing w:after="0"/>
              <w:rPr>
                <w:sz w:val="16"/>
                <w:szCs w:val="16"/>
                <w:color w:val="auto"/>
              </w:rPr>
            </w:pPr>
          </w:p>
        </w:tc>
        <w:tc>
          <w:tcPr>
            <w:tcW w:w="920" w:type="dxa"/>
            <w:vAlign w:val="bottom"/>
            <w:tcBorders>
              <w:right w:val="single" w:sz="8" w:color="2360A6"/>
            </w:tcBorders>
            <w:shd w:val="clear" w:color="auto" w:fill="EDEDEE"/>
          </w:tcPr>
          <w:p>
            <w:pPr>
              <w:spacing w:after="0"/>
              <w:rPr>
                <w:sz w:val="16"/>
                <w:szCs w:val="16"/>
                <w:color w:val="auto"/>
              </w:rPr>
            </w:pPr>
          </w:p>
        </w:tc>
        <w:tc>
          <w:tcPr>
            <w:tcW w:w="940" w:type="dxa"/>
            <w:vAlign w:val="bottom"/>
            <w:tcBorders>
              <w:right w:val="single" w:sz="8" w:color="2360A6"/>
            </w:tcBorders>
            <w:shd w:val="clear" w:color="auto" w:fill="EDEDEE"/>
          </w:tcPr>
          <w:p>
            <w:pPr>
              <w:spacing w:after="0"/>
              <w:rPr>
                <w:sz w:val="16"/>
                <w:szCs w:val="16"/>
                <w:color w:val="auto"/>
              </w:rPr>
            </w:pPr>
          </w:p>
        </w:tc>
        <w:tc>
          <w:tcPr>
            <w:tcW w:w="1680" w:type="dxa"/>
            <w:vAlign w:val="bottom"/>
            <w:tcBorders>
              <w:right w:val="single" w:sz="8" w:color="2360A6"/>
            </w:tcBorders>
          </w:tcPr>
          <w:p>
            <w:pPr>
              <w:spacing w:after="0"/>
              <w:rPr>
                <w:sz w:val="16"/>
                <w:szCs w:val="16"/>
                <w:color w:val="auto"/>
              </w:rPr>
            </w:pPr>
          </w:p>
        </w:tc>
        <w:tc>
          <w:tcPr>
            <w:tcW w:w="1560" w:type="dxa"/>
            <w:vAlign w:val="bottom"/>
            <w:tcBorders>
              <w:right w:val="single" w:sz="8" w:color="2360A6"/>
            </w:tcBorders>
          </w:tcPr>
          <w:p>
            <w:pPr>
              <w:spacing w:after="0"/>
              <w:rPr>
                <w:sz w:val="16"/>
                <w:szCs w:val="16"/>
                <w:color w:val="auto"/>
              </w:rPr>
            </w:pPr>
          </w:p>
        </w:tc>
      </w:tr>
      <w:tr>
        <w:trPr>
          <w:trHeight w:val="178"/>
        </w:trPr>
        <w:tc>
          <w:tcPr>
            <w:tcW w:w="30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Financing</w:t>
            </w:r>
          </w:p>
        </w:tc>
        <w:tc>
          <w:tcPr>
            <w:tcW w:w="10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3.1</w:t>
            </w:r>
          </w:p>
        </w:tc>
        <w:tc>
          <w:tcPr>
            <w:tcW w:w="11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628.5</w:t>
            </w:r>
          </w:p>
        </w:tc>
        <w:tc>
          <w:tcPr>
            <w:tcW w:w="260" w:type="dxa"/>
            <w:vAlign w:val="bottom"/>
            <w:tcBorders>
              <w:bottom w:val="single" w:sz="8" w:color="2360A6"/>
            </w:tcBorders>
            <w:shd w:val="clear" w:color="auto" w:fill="EDEDEE"/>
          </w:tcPr>
          <w:p>
            <w:pPr>
              <w:spacing w:after="0"/>
              <w:rPr>
                <w:sz w:val="15"/>
                <w:szCs w:val="15"/>
                <w:color w:val="auto"/>
              </w:rPr>
            </w:pPr>
          </w:p>
        </w:tc>
        <w:tc>
          <w:tcPr>
            <w:tcW w:w="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730.7</w:t>
            </w:r>
          </w:p>
        </w:tc>
        <w:tc>
          <w:tcPr>
            <w:tcW w:w="94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1,362.3</w:t>
            </w:r>
          </w:p>
        </w:tc>
        <w:tc>
          <w:tcPr>
            <w:tcW w:w="16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1,286.7</w:t>
            </w:r>
          </w:p>
        </w:tc>
        <w:tc>
          <w:tcPr>
            <w:tcW w:w="15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1,288.5</w:t>
            </w:r>
          </w:p>
        </w:tc>
      </w:tr>
      <w:tr>
        <w:trPr>
          <w:trHeight w:val="175"/>
        </w:trPr>
        <w:tc>
          <w:tcPr>
            <w:tcW w:w="3000" w:type="dxa"/>
            <w:vAlign w:val="bottom"/>
            <w:tcBorders>
              <w:left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TOTAL COMMITMENTS GIVEN RELATED</w:t>
            </w:r>
          </w:p>
        </w:tc>
        <w:tc>
          <w:tcPr>
            <w:tcW w:w="1060" w:type="dxa"/>
            <w:vAlign w:val="bottom"/>
            <w:tcBorders>
              <w:right w:val="single" w:sz="8" w:color="2360A6"/>
            </w:tcBorders>
            <w:shd w:val="clear" w:color="auto" w:fill="D2DEEC"/>
          </w:tcPr>
          <w:p>
            <w:pPr>
              <w:spacing w:after="0"/>
              <w:rPr>
                <w:sz w:val="15"/>
                <w:szCs w:val="15"/>
                <w:color w:val="auto"/>
              </w:rPr>
            </w:pPr>
          </w:p>
        </w:tc>
        <w:tc>
          <w:tcPr>
            <w:tcW w:w="1180" w:type="dxa"/>
            <w:vAlign w:val="bottom"/>
            <w:tcBorders>
              <w:right w:val="single" w:sz="8" w:color="2360A6"/>
            </w:tcBorders>
            <w:shd w:val="clear" w:color="auto" w:fill="D2DEEC"/>
          </w:tcPr>
          <w:p>
            <w:pPr>
              <w:spacing w:after="0"/>
              <w:rPr>
                <w:sz w:val="15"/>
                <w:szCs w:val="15"/>
                <w:color w:val="auto"/>
              </w:rPr>
            </w:pPr>
          </w:p>
        </w:tc>
        <w:tc>
          <w:tcPr>
            <w:tcW w:w="260" w:type="dxa"/>
            <w:vAlign w:val="bottom"/>
            <w:shd w:val="clear" w:color="auto" w:fill="D2DEEC"/>
          </w:tcPr>
          <w:p>
            <w:pPr>
              <w:spacing w:after="0"/>
              <w:rPr>
                <w:sz w:val="15"/>
                <w:szCs w:val="15"/>
                <w:color w:val="auto"/>
              </w:rPr>
            </w:pPr>
          </w:p>
        </w:tc>
        <w:tc>
          <w:tcPr>
            <w:tcW w:w="920" w:type="dxa"/>
            <w:vAlign w:val="bottom"/>
            <w:tcBorders>
              <w:right w:val="single" w:sz="8" w:color="2360A6"/>
            </w:tcBorders>
            <w:shd w:val="clear" w:color="auto" w:fill="D2DEEC"/>
          </w:tcPr>
          <w:p>
            <w:pPr>
              <w:spacing w:after="0"/>
              <w:rPr>
                <w:sz w:val="15"/>
                <w:szCs w:val="15"/>
                <w:color w:val="auto"/>
              </w:rPr>
            </w:pPr>
          </w:p>
        </w:tc>
        <w:tc>
          <w:tcPr>
            <w:tcW w:w="940" w:type="dxa"/>
            <w:vAlign w:val="bottom"/>
            <w:tcBorders>
              <w:right w:val="single" w:sz="8" w:color="2360A6"/>
            </w:tcBorders>
            <w:shd w:val="clear" w:color="auto" w:fill="D2DEEC"/>
          </w:tcPr>
          <w:p>
            <w:pPr>
              <w:spacing w:after="0"/>
              <w:rPr>
                <w:sz w:val="15"/>
                <w:szCs w:val="15"/>
                <w:color w:val="auto"/>
              </w:rPr>
            </w:pPr>
          </w:p>
        </w:tc>
        <w:tc>
          <w:tcPr>
            <w:tcW w:w="1680" w:type="dxa"/>
            <w:vAlign w:val="bottom"/>
            <w:tcBorders>
              <w:right w:val="single" w:sz="8" w:color="2360A6"/>
            </w:tcBorders>
            <w:shd w:val="clear" w:color="auto" w:fill="D2DEEC"/>
          </w:tcPr>
          <w:p>
            <w:pPr>
              <w:spacing w:after="0"/>
              <w:rPr>
                <w:sz w:val="15"/>
                <w:szCs w:val="15"/>
                <w:color w:val="auto"/>
              </w:rPr>
            </w:pPr>
          </w:p>
        </w:tc>
        <w:tc>
          <w:tcPr>
            <w:tcW w:w="1560" w:type="dxa"/>
            <w:vAlign w:val="bottom"/>
            <w:tcBorders>
              <w:right w:val="single" w:sz="8" w:color="2360A6"/>
            </w:tcBorders>
            <w:shd w:val="clear" w:color="auto" w:fill="D2DEEC"/>
          </w:tcPr>
          <w:p>
            <w:pPr>
              <w:spacing w:after="0"/>
              <w:rPr>
                <w:sz w:val="15"/>
                <w:szCs w:val="15"/>
                <w:color w:val="auto"/>
              </w:rPr>
            </w:pPr>
          </w:p>
        </w:tc>
      </w:tr>
      <w:tr>
        <w:trPr>
          <w:trHeight w:val="196"/>
        </w:trPr>
        <w:tc>
          <w:tcPr>
            <w:tcW w:w="3000" w:type="dxa"/>
            <w:vAlign w:val="bottom"/>
            <w:tcBorders>
              <w:left w:val="single" w:sz="8" w:color="2360A6"/>
              <w:bottom w:val="single" w:sz="8" w:color="2360A6"/>
              <w:right w:val="single" w:sz="8" w:color="2360A6"/>
            </w:tcBorders>
            <w:shd w:val="clear" w:color="auto" w:fill="D2DEEC"/>
          </w:tcPr>
          <w:p>
            <w:pPr>
              <w:ind w:left="40"/>
              <w:spacing w:after="0"/>
              <w:rPr>
                <w:sz w:val="20"/>
                <w:szCs w:val="20"/>
                <w:color w:val="auto"/>
              </w:rPr>
            </w:pPr>
            <w:r>
              <w:rPr>
                <w:rFonts w:ascii="Arial" w:cs="Arial" w:eastAsia="Arial" w:hAnsi="Arial"/>
                <w:sz w:val="14"/>
                <w:szCs w:val="14"/>
                <w:b w:val="1"/>
                <w:bCs w:val="1"/>
                <w:color w:val="2360A6"/>
              </w:rPr>
              <w:t>TO FINANCING</w:t>
            </w:r>
          </w:p>
        </w:tc>
        <w:tc>
          <w:tcPr>
            <w:tcW w:w="10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3.1</w:t>
            </w:r>
          </w:p>
        </w:tc>
        <w:tc>
          <w:tcPr>
            <w:tcW w:w="11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628.5</w:t>
            </w:r>
          </w:p>
        </w:tc>
        <w:tc>
          <w:tcPr>
            <w:tcW w:w="260" w:type="dxa"/>
            <w:vAlign w:val="bottom"/>
            <w:tcBorders>
              <w:bottom w:val="single" w:sz="8" w:color="2360A6"/>
            </w:tcBorders>
            <w:shd w:val="clear" w:color="auto" w:fill="D2DEEC"/>
          </w:tcPr>
          <w:p>
            <w:pPr>
              <w:spacing w:after="0"/>
              <w:rPr>
                <w:sz w:val="17"/>
                <w:szCs w:val="17"/>
                <w:color w:val="auto"/>
              </w:rPr>
            </w:pPr>
          </w:p>
        </w:tc>
        <w:tc>
          <w:tcPr>
            <w:tcW w:w="92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730.7</w:t>
            </w:r>
          </w:p>
        </w:tc>
        <w:tc>
          <w:tcPr>
            <w:tcW w:w="94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1,362.3</w:t>
            </w:r>
          </w:p>
        </w:tc>
        <w:tc>
          <w:tcPr>
            <w:tcW w:w="168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1,286.7</w:t>
            </w:r>
          </w:p>
        </w:tc>
        <w:tc>
          <w:tcPr>
            <w:tcW w:w="15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1,288.5</w:t>
            </w:r>
          </w:p>
        </w:tc>
      </w:tr>
      <w:tr>
        <w:trPr>
          <w:trHeight w:val="179"/>
        </w:trPr>
        <w:tc>
          <w:tcPr>
            <w:tcW w:w="3000" w:type="dxa"/>
            <w:vAlign w:val="bottom"/>
            <w:tcBorders>
              <w:left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Of which commitments given relating to Joint</w:t>
            </w:r>
          </w:p>
        </w:tc>
        <w:tc>
          <w:tcPr>
            <w:tcW w:w="1060" w:type="dxa"/>
            <w:vAlign w:val="bottom"/>
            <w:tcBorders>
              <w:right w:val="single" w:sz="8" w:color="2360A6"/>
            </w:tcBorders>
            <w:shd w:val="clear" w:color="auto" w:fill="EDEDEE"/>
          </w:tcPr>
          <w:p>
            <w:pPr>
              <w:spacing w:after="0"/>
              <w:rPr>
                <w:sz w:val="15"/>
                <w:szCs w:val="15"/>
                <w:color w:val="auto"/>
              </w:rPr>
            </w:pPr>
          </w:p>
        </w:tc>
        <w:tc>
          <w:tcPr>
            <w:tcW w:w="1180" w:type="dxa"/>
            <w:vAlign w:val="bottom"/>
            <w:tcBorders>
              <w:right w:val="single" w:sz="8" w:color="2360A6"/>
            </w:tcBorders>
            <w:shd w:val="clear" w:color="auto" w:fill="EDEDEE"/>
          </w:tcPr>
          <w:p>
            <w:pPr>
              <w:spacing w:after="0"/>
              <w:rPr>
                <w:sz w:val="15"/>
                <w:szCs w:val="15"/>
                <w:color w:val="auto"/>
              </w:rPr>
            </w:pPr>
          </w:p>
        </w:tc>
        <w:tc>
          <w:tcPr>
            <w:tcW w:w="260" w:type="dxa"/>
            <w:vAlign w:val="bottom"/>
            <w:shd w:val="clear" w:color="auto" w:fill="EDEDEE"/>
          </w:tcPr>
          <w:p>
            <w:pPr>
              <w:spacing w:after="0"/>
              <w:rPr>
                <w:sz w:val="15"/>
                <w:szCs w:val="15"/>
                <w:color w:val="auto"/>
              </w:rPr>
            </w:pPr>
          </w:p>
        </w:tc>
        <w:tc>
          <w:tcPr>
            <w:tcW w:w="920" w:type="dxa"/>
            <w:vAlign w:val="bottom"/>
            <w:tcBorders>
              <w:right w:val="single" w:sz="8" w:color="2360A6"/>
            </w:tcBorders>
            <w:shd w:val="clear" w:color="auto" w:fill="EDEDEE"/>
          </w:tcPr>
          <w:p>
            <w:pPr>
              <w:spacing w:after="0"/>
              <w:rPr>
                <w:sz w:val="15"/>
                <w:szCs w:val="15"/>
                <w:color w:val="auto"/>
              </w:rPr>
            </w:pPr>
          </w:p>
        </w:tc>
        <w:tc>
          <w:tcPr>
            <w:tcW w:w="940" w:type="dxa"/>
            <w:vAlign w:val="bottom"/>
            <w:tcBorders>
              <w:right w:val="single" w:sz="8" w:color="2360A6"/>
            </w:tcBorders>
            <w:shd w:val="clear" w:color="auto" w:fill="EDEDEE"/>
          </w:tcPr>
          <w:p>
            <w:pPr>
              <w:spacing w:after="0"/>
              <w:rPr>
                <w:sz w:val="15"/>
                <w:szCs w:val="15"/>
                <w:color w:val="auto"/>
              </w:rPr>
            </w:pPr>
          </w:p>
        </w:tc>
        <w:tc>
          <w:tcPr>
            <w:tcW w:w="1680" w:type="dxa"/>
            <w:vAlign w:val="bottom"/>
            <w:tcBorders>
              <w:right w:val="single" w:sz="8" w:color="2360A6"/>
            </w:tcBorders>
          </w:tcPr>
          <w:p>
            <w:pPr>
              <w:spacing w:after="0"/>
              <w:rPr>
                <w:sz w:val="15"/>
                <w:szCs w:val="15"/>
                <w:color w:val="auto"/>
              </w:rPr>
            </w:pPr>
          </w:p>
        </w:tc>
        <w:tc>
          <w:tcPr>
            <w:tcW w:w="1560" w:type="dxa"/>
            <w:vAlign w:val="bottom"/>
            <w:tcBorders>
              <w:right w:val="single" w:sz="8" w:color="2360A6"/>
            </w:tcBorders>
          </w:tcPr>
          <w:p>
            <w:pPr>
              <w:spacing w:after="0"/>
              <w:rPr>
                <w:sz w:val="15"/>
                <w:szCs w:val="15"/>
                <w:color w:val="auto"/>
              </w:rPr>
            </w:pPr>
          </w:p>
        </w:tc>
      </w:tr>
      <w:tr>
        <w:trPr>
          <w:trHeight w:val="192"/>
        </w:trPr>
        <w:tc>
          <w:tcPr>
            <w:tcW w:w="300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Ventures</w:t>
            </w:r>
          </w:p>
        </w:tc>
        <w:tc>
          <w:tcPr>
            <w:tcW w:w="10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i w:val="1"/>
                <w:iCs w:val="1"/>
                <w:color w:val="231F20"/>
              </w:rPr>
              <w:t>—</w:t>
            </w:r>
          </w:p>
        </w:tc>
        <w:tc>
          <w:tcPr>
            <w:tcW w:w="118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i w:val="1"/>
                <w:iCs w:val="1"/>
                <w:color w:val="231F20"/>
              </w:rPr>
              <w:t>—</w:t>
            </w:r>
          </w:p>
        </w:tc>
        <w:tc>
          <w:tcPr>
            <w:tcW w:w="260" w:type="dxa"/>
            <w:vAlign w:val="bottom"/>
            <w:tcBorders>
              <w:bottom w:val="single" w:sz="8" w:color="2360A6"/>
            </w:tcBorders>
            <w:shd w:val="clear" w:color="auto" w:fill="EDEDEE"/>
          </w:tcPr>
          <w:p>
            <w:pPr>
              <w:spacing w:after="0"/>
              <w:rPr>
                <w:sz w:val="16"/>
                <w:szCs w:val="16"/>
                <w:color w:val="auto"/>
              </w:rPr>
            </w:pPr>
          </w:p>
        </w:tc>
        <w:tc>
          <w:tcPr>
            <w:tcW w:w="92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i w:val="1"/>
                <w:iCs w:val="1"/>
                <w:color w:val="231F20"/>
              </w:rPr>
              <w:t>398.4</w:t>
            </w:r>
          </w:p>
        </w:tc>
        <w:tc>
          <w:tcPr>
            <w:tcW w:w="94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i w:val="1"/>
                <w:iCs w:val="1"/>
                <w:color w:val="231F20"/>
              </w:rPr>
              <w:t>398.4</w:t>
            </w:r>
          </w:p>
        </w:tc>
        <w:tc>
          <w:tcPr>
            <w:tcW w:w="168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i w:val="1"/>
                <w:iCs w:val="1"/>
                <w:color w:val="231F20"/>
              </w:rPr>
              <w:t>385.7</w:t>
            </w:r>
          </w:p>
        </w:tc>
        <w:tc>
          <w:tcPr>
            <w:tcW w:w="156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i w:val="1"/>
                <w:iCs w:val="1"/>
                <w:color w:val="231F20"/>
              </w:rPr>
              <w:t>—</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 Off-Balance Sheet Commitments Related to Group Scope of Consolidation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There is no significant commitment related to the Group scope of consolidation.</w:t>
      </w: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2360A6"/>
        </w:rPr>
        <w:t>Note 31 Litigation and Contingent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Litigation</w:t>
      </w:r>
    </w:p>
    <w:p>
      <w:pPr>
        <w:spacing w:after="0" w:line="25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231F20"/>
        </w:rPr>
        <w:t>In 2010, Technip entered into a lump sum turn-key Engineering Procurement Construction and Commissioning contract with Sonatrach in regards to the refinery of Algiers. This contract was for the rehabilitation and modernization of the Algiers’ refinery. On June 4, 2015, Technip’s involvement in this project stopped at the request of the client. As per the terms of the contract, both sides initiated arbitration proceedings in respect to certain claims and these are ongoing.</w:t>
      </w:r>
    </w:p>
    <w:p>
      <w:pPr>
        <w:spacing w:after="0" w:line="39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231F20"/>
        </w:rPr>
        <w:t>On March 29, 2016, Dong terminated, on the grounds of an alleged material breach, a contract signed on February 27, 2012 with a consortium of Technip France and DSME. This contract covered engineering, procurement, fabrication, hook-up, and commissioning assistance for a fixed wellhead and process platform and associated facilities for the Hejre field offshore Denmark. Dong announced that it will not complete the platform and will seek to avoid taking delivery and ownership of the platform. This dispute is currently progressing through a series of arbitration proceedings managed by the competent arbitral tribunal pursuant to which Dong and the consortium members will present their respective claims and arguments. The consortium members reiterate that they do not agree with Dong's actions or grounds.</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Late 2016, Technip was contacted by the US Department of Justice (“DOJ”), notably regarding offshore platform projects awarded between 2003 and 2007, performed in Brazil by a joint venture company in which Technip was a minority participant and handed over to clients by 2011. Technip has confirmed its intention to cooperate with the DOJ in its enquiry into potential improper payments. Technip has a clearly stated policy and commitment to conduct its business with integrity, fully in line with its Ethics and Compliance Program.</w:t>
      </w:r>
    </w:p>
    <w:p>
      <w:pPr>
        <w:spacing w:after="0" w:line="269" w:lineRule="exact"/>
        <w:rPr>
          <w:sz w:val="20"/>
          <w:szCs w:val="20"/>
          <w:color w:val="auto"/>
        </w:rPr>
      </w:pPr>
    </w:p>
    <w:p>
      <w:pPr>
        <w:spacing w:after="0"/>
        <w:rPr>
          <w:sz w:val="20"/>
          <w:szCs w:val="20"/>
          <w:color w:val="auto"/>
        </w:rPr>
      </w:pPr>
      <w:r>
        <w:rPr>
          <w:rFonts w:ascii="Arial" w:cs="Arial" w:eastAsia="Arial" w:hAnsi="Arial"/>
          <w:sz w:val="29"/>
          <w:szCs w:val="29"/>
          <w:b w:val="1"/>
          <w:bCs w:val="1"/>
          <w:color w:val="231F20"/>
        </w:rPr>
        <w:t>(B) Contingent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231F20"/>
        </w:rPr>
        <w:t>As of the date hereof, there have been no significant contingent liabilities.</w:t>
      </w:r>
    </w:p>
    <w:p>
      <w:pPr>
        <w:sectPr>
          <w:pgSz w:w="11900" w:h="16838" w:orient="portrait"/>
          <w:cols w:equalWidth="0" w:num="1">
            <w:col w:w="11420"/>
          </w:cols>
          <w:pgMar w:left="240" w:top="676" w:right="239" w:bottom="1440" w:gutter="0" w:footer="0" w:header="0"/>
        </w:sectPr>
      </w:pPr>
    </w:p>
    <w:bookmarkStart w:id="165" w:name="page166"/>
    <w:bookmarkEnd w:id="165"/>
    <w:p>
      <w:pPr>
        <w:spacing w:after="0"/>
        <w:rPr>
          <w:sz w:val="20"/>
          <w:szCs w:val="20"/>
          <w:color w:val="auto"/>
        </w:rPr>
      </w:pPr>
      <w:r>
        <w:rPr>
          <w:rFonts w:ascii="Arial" w:cs="Arial" w:eastAsia="Arial" w:hAnsi="Arial"/>
          <w:sz w:val="29"/>
          <w:szCs w:val="29"/>
          <w:b w:val="1"/>
          <w:bCs w:val="1"/>
          <w:color w:val="2360A6"/>
        </w:rPr>
        <w:t>Note 32 Market Related Exposure</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 Liquidity Risk</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2016, 2015 and 2014 Standard &amp; Poor’s corporate credit rating for Technip was BBB+/Stable/A-2.</w:t>
      </w:r>
    </w:p>
    <w:p>
      <w:pPr>
        <w:spacing w:after="0" w:line="11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231F20"/>
        </w:rPr>
        <w:t>Technip’s business generates negative working capital requirements. The contractual terms and conditions for payment are negotiated between the Group’s entities and their clients, suppliers or subcontractors for the realization of projects. These terms and conditions provide the Group’s entities with cash resources and are reflected in the accounts, in particular the consolidated financial statements, by a negative working capital requirement.</w:t>
      </w:r>
    </w:p>
    <w:p>
      <w:pPr>
        <w:spacing w:after="0" w:line="5"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006EBF"/>
        </w:rPr>
      </w:pPr>
      <w:r>
        <w:rPr>
          <w:rFonts w:ascii="Arial" w:cs="Arial" w:eastAsia="Arial" w:hAnsi="Arial"/>
          <w:sz w:val="16"/>
          <w:szCs w:val="16"/>
          <w:color w:val="231F20"/>
        </w:rPr>
        <w:t>Technip’s financing needs are met pursuant to a Group policy implemented by the Finance and Control Division.</w:t>
      </w:r>
    </w:p>
    <w:p>
      <w:pPr>
        <w:spacing w:after="0" w:line="21" w:lineRule="exact"/>
        <w:rPr>
          <w:rFonts w:ascii="Arial" w:cs="Arial" w:eastAsia="Arial" w:hAnsi="Arial"/>
          <w:sz w:val="18"/>
          <w:szCs w:val="18"/>
          <w:color w:val="006EBF"/>
        </w:rPr>
      </w:pPr>
    </w:p>
    <w:p>
      <w:pPr>
        <w:ind w:left="180" w:hanging="172"/>
        <w:spacing w:after="0" w:line="245" w:lineRule="auto"/>
        <w:tabs>
          <w:tab w:leader="none" w:pos="180" w:val="left"/>
        </w:tabs>
        <w:numPr>
          <w:ilvl w:val="0"/>
          <w:numId w:val="66"/>
        </w:numPr>
        <w:rPr>
          <w:rFonts w:ascii="Arial" w:cs="Arial" w:eastAsia="Arial" w:hAnsi="Arial"/>
          <w:sz w:val="18"/>
          <w:szCs w:val="18"/>
          <w:color w:val="006EBF"/>
        </w:rPr>
      </w:pPr>
      <w:r>
        <w:rPr>
          <w:rFonts w:ascii="Arial" w:cs="Arial" w:eastAsia="Arial" w:hAnsi="Arial"/>
          <w:sz w:val="16"/>
          <w:szCs w:val="16"/>
          <w:color w:val="231F20"/>
        </w:rPr>
        <w:t>Cash management is centralized at the head office and coordinated through finance departments located in the Group’s main operating subsidiaries. Technip Eurocash SNC, a French general partnership (société en nom collectif), acts to centralize cash pooling for the Group’s main entities, in compliance with applicable laws and regulations in each of the relevant countries. Technip Eurocash SNC has entered into cash pooling agreements with most of the Group’s subsidiaries to consolidate surplus cash and to meet their needs, except where local economic and financial considerations have required recourse to external local debt.</w:t>
      </w:r>
    </w:p>
    <w:p>
      <w:pPr>
        <w:spacing w:after="0" w:line="9" w:lineRule="exact"/>
        <w:rPr>
          <w:rFonts w:ascii="Arial" w:cs="Arial" w:eastAsia="Arial" w:hAnsi="Arial"/>
          <w:sz w:val="18"/>
          <w:szCs w:val="18"/>
          <w:color w:val="006EBF"/>
        </w:rPr>
      </w:pPr>
    </w:p>
    <w:p>
      <w:pPr>
        <w:ind w:left="180" w:right="20" w:hanging="172"/>
        <w:spacing w:after="0" w:line="265" w:lineRule="auto"/>
        <w:tabs>
          <w:tab w:leader="none" w:pos="180" w:val="left"/>
        </w:tabs>
        <w:numPr>
          <w:ilvl w:val="0"/>
          <w:numId w:val="66"/>
        </w:numPr>
        <w:rPr>
          <w:rFonts w:ascii="Arial" w:cs="Arial" w:eastAsia="Arial" w:hAnsi="Arial"/>
          <w:sz w:val="18"/>
          <w:szCs w:val="18"/>
          <w:color w:val="006EBF"/>
        </w:rPr>
      </w:pPr>
      <w:r>
        <w:rPr>
          <w:rFonts w:ascii="Arial" w:cs="Arial" w:eastAsia="Arial" w:hAnsi="Arial"/>
          <w:sz w:val="16"/>
          <w:szCs w:val="16"/>
          <w:color w:val="231F20"/>
        </w:rPr>
        <w:t>As of December 31, 2016, 2015 and 2014 the Group had multiple financing sources for financing its general corporate needs, or for financing new assets or certain operations.</w:t>
      </w:r>
    </w:p>
    <w:p>
      <w:pPr>
        <w:spacing w:after="0" w:line="7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2360A6"/>
        </w:rPr>
        <w:t>2010-2016 Convertible Bonds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31F20"/>
        </w:rPr>
        <w:t>On January 4, 2016, at their maturity date, Technip redeemed the 2010-2016 convertible bonds issued on November 17, 2010 for an amount of €550 million.</w:t>
      </w:r>
    </w:p>
    <w:p>
      <w:pPr>
        <w:spacing w:after="0" w:line="9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2360A6"/>
        </w:rPr>
        <w:t>2011-2017 Convertible Bonds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231F20"/>
        </w:rPr>
        <w:t>On December 15, 2011, Technip issued 5,178,455 bonds convertible into and/or exchangeable for new or existing shares (OCEANE) for approximately €497.6 million. The bonds will be redeemed at par on January 1, 2017 except in the event of an early conversion, exchange or redemption. Bondholders have the option to convert their bonds into shares at any time at the ratio of one share for one bond. In addition, the Group has the option to call for the early redemption of all outstanding bonds at any time on or after the third anniversary of the issue date for a price at par plus accrued interest if the quoted value of the share exceeds 130% of the par value of the bond.</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231F20"/>
        </w:rPr>
        <w:t>The nominal value of each bond was set at €96.09. The bonds are listed on the Euronext Paris market.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The bonds bear interest at an annual rate of 0.25% payable annually in arrears on January 31 of each year, </w:t>
      </w:r>
      <w:r>
        <w:rPr>
          <w:rFonts w:ascii="Arial" w:cs="Arial" w:eastAsia="Arial" w:hAnsi="Arial"/>
          <w:sz w:val="16"/>
          <w:szCs w:val="16"/>
          <w:i w:val="1"/>
          <w:iCs w:val="1"/>
          <w:color w:val="231F20"/>
        </w:rPr>
        <w:t>i.e.</w:t>
      </w:r>
      <w:r>
        <w:rPr>
          <w:rFonts w:ascii="Arial" w:cs="Arial" w:eastAsia="Arial" w:hAnsi="Arial"/>
          <w:sz w:val="16"/>
          <w:szCs w:val="16"/>
          <w:color w:val="231F20"/>
        </w:rPr>
        <w:t xml:space="preserve"> approximately €0.24 per year and per bond.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The first coupon payment on January 31, 2013 amounted to approximately €0.03 per bond.</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main purpose of the convertible bond issue was to partially restore the Group’s cash balance position following the acquisition of Global Industries, Ltd. in December 2011 for a cash consideration of USD936.4 million.</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 xml:space="preserve">The bonds will be convertible into or exchangeable for new/existing Technip shares at the ratio of one share per bond, subject to future anti-dilution adjustments as further described in the bond documentation, </w:t>
      </w:r>
      <w:r>
        <w:rPr>
          <w:rFonts w:ascii="Arial" w:cs="Arial" w:eastAsia="Arial" w:hAnsi="Arial"/>
          <w:sz w:val="16"/>
          <w:szCs w:val="16"/>
          <w:i w:val="1"/>
          <w:iCs w:val="1"/>
          <w:color w:val="231F20"/>
        </w:rPr>
        <w:t>i.e.,</w:t>
      </w:r>
      <w:r>
        <w:rPr>
          <w:rFonts w:ascii="Arial" w:cs="Arial" w:eastAsia="Arial" w:hAnsi="Arial"/>
          <w:sz w:val="16"/>
          <w:szCs w:val="16"/>
          <w:color w:val="231F20"/>
        </w:rPr>
        <w:t xml:space="preserve"> the </w:t>
      </w:r>
      <w:r>
        <w:rPr>
          <w:rFonts w:ascii="Arial" w:cs="Arial" w:eastAsia="Arial" w:hAnsi="Arial"/>
          <w:sz w:val="16"/>
          <w:szCs w:val="16"/>
          <w:i w:val="1"/>
          <w:iCs w:val="1"/>
          <w:color w:val="231F20"/>
        </w:rPr>
        <w:t>Note d’opération</w:t>
      </w:r>
      <w:r>
        <w:rPr>
          <w:rFonts w:ascii="Arial" w:cs="Arial" w:eastAsia="Arial" w:hAnsi="Arial"/>
          <w:sz w:val="16"/>
          <w:szCs w:val="16"/>
          <w:color w:val="231F20"/>
        </w:rPr>
        <w:t xml:space="preserve"> approved by the AMF on December 7, 2011 under No. 11-562.</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231F20"/>
        </w:rPr>
        <w:t xml:space="preserve">The bond issue was rated BBB+ by Standard &amp; Poor’s. The </w:t>
      </w:r>
      <w:r>
        <w:rPr>
          <w:rFonts w:ascii="Arial" w:cs="Arial" w:eastAsia="Arial" w:hAnsi="Arial"/>
          <w:sz w:val="16"/>
          <w:szCs w:val="16"/>
          <w:i w:val="1"/>
          <w:iCs w:val="1"/>
          <w:color w:val="231F20"/>
        </w:rPr>
        <w:t>Note d’opération</w:t>
      </w:r>
      <w:r>
        <w:rPr>
          <w:rFonts w:ascii="Arial" w:cs="Arial" w:eastAsia="Arial" w:hAnsi="Arial"/>
          <w:sz w:val="16"/>
          <w:szCs w:val="16"/>
          <w:color w:val="231F20"/>
        </w:rPr>
        <w:t xml:space="preserve"> contains standard covenants and default clauses for this type of bond issue and does not contain any financial covenant. The issue provides that in the event of a change of control of Technip, any bondholder may, at its sole option, request the early redemption in cash of all or a portion of the bonds it holds.</w:t>
      </w:r>
    </w:p>
    <w:p>
      <w:pPr>
        <w:spacing w:after="0" w:line="8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As of the date of the issue of the bonds, the debt booked as non-current financial debt in the statement of financial position amounted to the fair value of the debt component. The fair value of the debt component is decreased in proportion to the costs and expenses related to the issue. The difference between the nominal value of the OCEANE and the fair value of its debt component is recorded as shareholders’ equity. As of December 31, 2016, the non-current financial debt in the statement of financial position relating to this bond issue amounted to €493.4 million and shareholders’ equity amounted to €73.1 million.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On January 2, 2017, Technip reimbursed the 2011-2017 convertible bond for an amount of €497.6 million.</w:t>
      </w:r>
    </w:p>
    <w:p>
      <w:pPr>
        <w:sectPr>
          <w:pgSz w:w="11900" w:h="16838" w:orient="portrait"/>
          <w:cols w:equalWidth="0" w:num="1">
            <w:col w:w="11420"/>
          </w:cols>
          <w:pgMar w:left="240" w:top="694" w:right="239" w:bottom="1440" w:gutter="0" w:footer="0" w:header="0"/>
        </w:sectPr>
      </w:pPr>
    </w:p>
    <w:bookmarkStart w:id="166" w:name="page167"/>
    <w:bookmarkEnd w:id="166"/>
    <w:p>
      <w:pPr>
        <w:ind w:left="180"/>
        <w:spacing w:after="0"/>
        <w:rPr>
          <w:sz w:val="20"/>
          <w:szCs w:val="20"/>
          <w:color w:val="auto"/>
        </w:rPr>
      </w:pPr>
      <w:r>
        <w:rPr>
          <w:rFonts w:ascii="Arial" w:cs="Arial" w:eastAsia="Arial" w:hAnsi="Arial"/>
          <w:sz w:val="22"/>
          <w:szCs w:val="22"/>
          <w:b w:val="1"/>
          <w:bCs w:val="1"/>
          <w:color w:val="2360A6"/>
        </w:rPr>
        <w:t>2016-2021 Synthetic Bond</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On January 20, 2016, Technip placed a €375 million convertible bond with a final maturity on January 25, 2021 and a redemption at par of the bonds which have not been converted. On March 3, 2016, Technip placed a new “tap issue” for a principal amount of €75 million issued on the same terms, fully fungible with and assimilated to the bonds issued on January 25, 2016.</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These issues of non-dilutive cash-settled convertible bonds (synthetic bonds), which are linked to the ordinary shares of Technip were backed-up simultaneously by the purchase of cash-settled equity call options in order to hedge Technip’s economic exposure to the potential exercise of the conversion rights embedded in the bonds. As the bonds will only be cash settled, they will not result in the issuance of new ordinary shares or the delivery of existing ordinary shares upon conversion.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231F20"/>
        </w:rPr>
        <w:t>The net proceeds of the issue of the bonds are used for general corporate purposes and to finance the purchase of the call options.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bonds were issued at par for those placed on January 20, 2016 and at 112.43802% for those placed on March 3, 2016 resulting from an adjustment over the 3-day trading period following the placement allowing to determine the share reference price at €48.8355, applied to the initial tap issue price of 110.5%, plus accrued interest.</w:t>
      </w:r>
    </w:p>
    <w:p>
      <w:pPr>
        <w:spacing w:after="0" w:line="9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bonds bear a coupon of 0.875% per annum payable semi-annually in arrears on January 25 and July 25 of each year. The issue and settlement date of the bonds took place on January 25, 2016 for the first issue and on March 10, 2016 for the tap issue.</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The conversion premium of 40% has been applied to Technip’s share reference price. This one, being equal to 40.7940 euros was determined as the arithmetic average of the daily volume weighted average price of the ordinary shares on the regulated market of Euronext in Paris over the 10 consecutive trading days from January 21 to February 3, 2016. The initial conversion price of the bonds was then fixed at 57.1116 euros.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231F20"/>
        </w:rPr>
        <w:t>Consequently, the initial conversion ratio was set at 1,750.9578 given the €100,000 nominal value of each bond.</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As a result of the cash dividend of 2.00 euros per ordinary share paid on May 26, 2016 to holders of record on May 3, 2016, the conversion price has been adjusted to 56.2070 euros and consequently the adjusted conversion ratio was set at 1,779.1378.</w:t>
      </w:r>
    </w:p>
    <w:p>
      <w:pPr>
        <w:spacing w:after="0" w:line="8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231F20"/>
        </w:rPr>
        <w:t>Any bondholder may, at its sole option, request the conversion in cash of all or part of the bonds it owns between a period starting on November 15, 2020 to the 38</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business day before the maturity date, some exceptional circumstances, giving a right to an early redemption at par.</w:t>
      </w:r>
    </w:p>
    <w:p>
      <w:pPr>
        <w:spacing w:after="0"/>
        <w:rPr>
          <w:sz w:val="20"/>
          <w:szCs w:val="20"/>
          <w:color w:val="auto"/>
        </w:rPr>
      </w:pPr>
      <w:r>
        <w:rPr>
          <w:rFonts w:ascii="Arial" w:cs="Arial" w:eastAsia="Arial" w:hAnsi="Arial"/>
          <w:sz w:val="16"/>
          <w:szCs w:val="16"/>
          <w:color w:val="231F20"/>
        </w:rPr>
        <w:t>The initial bond issue was rated BBB+ by Standard &amp; Poor’s and includes standard covenants and default clauses.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231F20"/>
        </w:rPr>
        <w:t>These bond issues do not include any financial ratio.</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2016 the bonds are listed on the Open Market (</w:t>
      </w:r>
      <w:r>
        <w:rPr>
          <w:rFonts w:ascii="Arial" w:cs="Arial" w:eastAsia="Arial" w:hAnsi="Arial"/>
          <w:sz w:val="16"/>
          <w:szCs w:val="16"/>
          <w:i w:val="1"/>
          <w:iCs w:val="1"/>
          <w:color w:val="231F20"/>
        </w:rPr>
        <w:t>Marché Libre</w:t>
      </w:r>
      <w:r>
        <w:rPr>
          <w:rFonts w:ascii="Arial" w:cs="Arial" w:eastAsia="Arial" w:hAnsi="Arial"/>
          <w:sz w:val="16"/>
          <w:szCs w:val="16"/>
          <w:color w:val="231F20"/>
        </w:rPr>
        <w:t xml:space="preserve">) of Euronext Paris and on the </w:t>
      </w:r>
      <w:r>
        <w:rPr>
          <w:rFonts w:ascii="Arial" w:cs="Arial" w:eastAsia="Arial" w:hAnsi="Arial"/>
          <w:sz w:val="16"/>
          <w:szCs w:val="16"/>
          <w:i w:val="1"/>
          <w:iCs w:val="1"/>
          <w:color w:val="231F20"/>
        </w:rPr>
        <w:t>Freiverkehr</w:t>
      </w:r>
      <w:r>
        <w:rPr>
          <w:rFonts w:ascii="Arial" w:cs="Arial" w:eastAsia="Arial" w:hAnsi="Arial"/>
          <w:sz w:val="16"/>
          <w:szCs w:val="16"/>
          <w:color w:val="231F20"/>
        </w:rPr>
        <w:t xml:space="preserve"> open market of Frankfurt.</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As of the date of the issue of the bonds, the debt booked as non-current financial debt in the statement of financial position amounted to the fair value of the debt component. The fair value of the debt component is decreased in proportion to the costs and expenses related to the issue. The difference between the nominal value of the synthetic bonds and the fair value of its debt component is recorded as shareholders’ equity. As of December 31, 2016, the non-current financial debt in the statement of financial position relating to this bond issue amounted to €406.0 million.</w:t>
      </w:r>
    </w:p>
    <w:p>
      <w:pPr>
        <w:spacing w:after="0" w:line="7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2360A6"/>
        </w:rPr>
        <w:t>2010 Private Placement Notes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On July 27, 2010, Technip received proceeds of €200 million from private placement notes pursuant to contractual terms and conditions agreed on November 19, 2009. The purpose of this private placement was to partly finance the 2004-2011 bond issue, which was repaid at its maturity date on May 26, 2011. The notes have a 10-year term from July 27, 2010 and an annual coupon of 5%. This placement includes covenants and default provisions that are customary for such bond issue and does not contain any financial covenant. The notes are listed on the Luxembourg Stock Exchange.</w:t>
      </w:r>
    </w:p>
    <w:p>
      <w:pPr>
        <w:sectPr>
          <w:pgSz w:w="11900" w:h="16838" w:orient="portrait"/>
          <w:cols w:equalWidth="0" w:num="1">
            <w:col w:w="11420"/>
          </w:cols>
          <w:pgMar w:left="240" w:top="688" w:right="239" w:bottom="1440" w:gutter="0" w:footer="0" w:header="0"/>
        </w:sectPr>
      </w:pPr>
    </w:p>
    <w:bookmarkStart w:id="167" w:name="page168"/>
    <w:bookmarkEnd w:id="167"/>
    <w:p>
      <w:pPr>
        <w:ind w:left="180"/>
        <w:spacing w:after="0"/>
        <w:rPr>
          <w:sz w:val="20"/>
          <w:szCs w:val="20"/>
          <w:color w:val="auto"/>
        </w:rPr>
      </w:pPr>
      <w:r>
        <w:rPr>
          <w:rFonts w:ascii="Arial" w:cs="Arial" w:eastAsia="Arial" w:hAnsi="Arial"/>
          <w:sz w:val="22"/>
          <w:szCs w:val="22"/>
          <w:b w:val="1"/>
          <w:bCs w:val="1"/>
          <w:color w:val="2360A6"/>
        </w:rPr>
        <w:t>2012 Private Placement Notes</w:t>
      </w:r>
    </w:p>
    <w:p>
      <w:pPr>
        <w:spacing w:after="0" w:line="133" w:lineRule="exact"/>
        <w:rPr>
          <w:sz w:val="20"/>
          <w:szCs w:val="20"/>
          <w:color w:val="auto"/>
        </w:rPr>
      </w:pPr>
    </w:p>
    <w:p>
      <w:pPr>
        <w:spacing w:after="0" w:line="244" w:lineRule="auto"/>
        <w:rPr>
          <w:sz w:val="20"/>
          <w:szCs w:val="20"/>
          <w:color w:val="auto"/>
        </w:rPr>
      </w:pPr>
      <w:r>
        <w:rPr>
          <w:rFonts w:ascii="Arial" w:cs="Arial" w:eastAsia="Arial" w:hAnsi="Arial"/>
          <w:sz w:val="16"/>
          <w:szCs w:val="16"/>
          <w:color w:val="231F20"/>
        </w:rPr>
        <w:t>In June 2012, Technip completed three long-term private placements, each subscribed by a different investor, for an aggregate amount of €325 million. These bond issues consisted of:</w:t>
      </w:r>
    </w:p>
    <w:p>
      <w:pPr>
        <w:spacing w:after="0" w:line="18" w:lineRule="exact"/>
        <w:rPr>
          <w:sz w:val="20"/>
          <w:szCs w:val="20"/>
          <w:color w:val="auto"/>
        </w:rPr>
      </w:pPr>
    </w:p>
    <w:p>
      <w:pPr>
        <w:ind w:left="180" w:right="20" w:hanging="172"/>
        <w:spacing w:after="0" w:line="255" w:lineRule="auto"/>
        <w:tabs>
          <w:tab w:leader="none" w:pos="180" w:val="left"/>
        </w:tabs>
        <w:numPr>
          <w:ilvl w:val="0"/>
          <w:numId w:val="67"/>
        </w:numPr>
        <w:rPr>
          <w:rFonts w:ascii="Arial" w:cs="Arial" w:eastAsia="Arial" w:hAnsi="Arial"/>
          <w:sz w:val="18"/>
          <w:szCs w:val="18"/>
          <w:color w:val="006EBF"/>
        </w:rPr>
      </w:pPr>
      <w:r>
        <w:rPr>
          <w:rFonts w:ascii="Arial" w:cs="Arial" w:eastAsia="Arial" w:hAnsi="Arial"/>
          <w:sz w:val="16"/>
          <w:szCs w:val="16"/>
          <w:color w:val="231F20"/>
        </w:rPr>
        <w:t>€150 million 10-year private placement notes (having a maturity date of June 14, 2022), issued on June 14, 2012, with an annual coupon of 3.40% payable annually in arrears on June 14 of each year. These private notes have been rated BBB+ by Standard &amp; Poor’s and are listed on the Euronext Paris market;</w:t>
      </w:r>
    </w:p>
    <w:p>
      <w:pPr>
        <w:spacing w:after="0" w:line="16" w:lineRule="exact"/>
        <w:rPr>
          <w:rFonts w:ascii="Arial" w:cs="Arial" w:eastAsia="Arial" w:hAnsi="Arial"/>
          <w:sz w:val="18"/>
          <w:szCs w:val="18"/>
          <w:color w:val="006EBF"/>
        </w:rPr>
      </w:pPr>
    </w:p>
    <w:p>
      <w:pPr>
        <w:jc w:val="both"/>
        <w:ind w:left="180" w:hanging="172"/>
        <w:spacing w:after="0" w:line="263" w:lineRule="auto"/>
        <w:tabs>
          <w:tab w:leader="none" w:pos="180" w:val="left"/>
        </w:tabs>
        <w:numPr>
          <w:ilvl w:val="0"/>
          <w:numId w:val="67"/>
        </w:numPr>
        <w:rPr>
          <w:rFonts w:ascii="Arial" w:cs="Arial" w:eastAsia="Arial" w:hAnsi="Arial"/>
          <w:sz w:val="18"/>
          <w:szCs w:val="18"/>
          <w:color w:val="006EBF"/>
        </w:rPr>
      </w:pPr>
      <w:r>
        <w:rPr>
          <w:rFonts w:ascii="Arial" w:cs="Arial" w:eastAsia="Arial" w:hAnsi="Arial"/>
          <w:sz w:val="16"/>
          <w:szCs w:val="16"/>
          <w:color w:val="231F20"/>
        </w:rPr>
        <w:t>€75 million 15-year private placement notes (having a maturity date of June 15, 2027), issued on June 15, 2012, with an annual coupon of 4.0% payable annually in arrears on June 15 of each year. These private notes have been rated BBB+ by Standard &amp; Poor’s and are listed on the Euronext Paris market; and</w:t>
      </w:r>
    </w:p>
    <w:p>
      <w:pPr>
        <w:spacing w:after="0" w:line="18" w:lineRule="exact"/>
        <w:rPr>
          <w:rFonts w:ascii="Arial" w:cs="Arial" w:eastAsia="Arial" w:hAnsi="Arial"/>
          <w:sz w:val="18"/>
          <w:szCs w:val="18"/>
          <w:color w:val="006EBF"/>
        </w:rPr>
      </w:pPr>
    </w:p>
    <w:p>
      <w:pPr>
        <w:jc w:val="both"/>
        <w:ind w:left="180" w:right="20" w:hanging="172"/>
        <w:spacing w:after="0" w:line="271" w:lineRule="auto"/>
        <w:tabs>
          <w:tab w:leader="none" w:pos="180" w:val="left"/>
        </w:tabs>
        <w:numPr>
          <w:ilvl w:val="0"/>
          <w:numId w:val="67"/>
        </w:numPr>
        <w:rPr>
          <w:rFonts w:ascii="Arial" w:cs="Arial" w:eastAsia="Arial" w:hAnsi="Arial"/>
          <w:sz w:val="18"/>
          <w:szCs w:val="18"/>
          <w:color w:val="006EBF"/>
        </w:rPr>
      </w:pPr>
      <w:r>
        <w:rPr>
          <w:rFonts w:ascii="Arial" w:cs="Arial" w:eastAsia="Arial" w:hAnsi="Arial"/>
          <w:sz w:val="16"/>
          <w:szCs w:val="16"/>
          <w:color w:val="231F20"/>
        </w:rPr>
        <w:t>€100 million 20-year private placement notes (having a maturity date of June 14, 2032), issued on June 14, 2012 with an annual coupon of 4.0% payable annually in arrears on June 14 of each year. As of December 31, 2016 these private notes are listed on the open market of the Frankfurt Stock Exchange (Freiverkehr).</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These private placements are part of the general management of the Group’s cash and liabilities and their proceeds may be used for general corporate purposes.</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231F20"/>
        </w:rPr>
        <w:t xml:space="preserve">The </w:t>
      </w:r>
      <w:r>
        <w:rPr>
          <w:rFonts w:ascii="Arial" w:cs="Arial" w:eastAsia="Arial" w:hAnsi="Arial"/>
          <w:sz w:val="16"/>
          <w:szCs w:val="16"/>
          <w:i w:val="1"/>
          <w:iCs w:val="1"/>
          <w:color w:val="231F20"/>
        </w:rPr>
        <w:t>Notes d’opération</w:t>
      </w:r>
      <w:r>
        <w:rPr>
          <w:rFonts w:ascii="Arial" w:cs="Arial" w:eastAsia="Arial" w:hAnsi="Arial"/>
          <w:sz w:val="16"/>
          <w:szCs w:val="16"/>
          <w:color w:val="231F20"/>
        </w:rPr>
        <w:t xml:space="preserve"> relating to these private placement notes contain standard covenants and default clauses for these types of bond issues, and do not contain any financial covenant. The issues provide that in the event of a change of control of Technip and a rating downgrade of the notes below BBB- deemed to have occurred in respect of that change of control, any bondholder may, at its sole option, request the early redemption of all the bonds it holds.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2360A6"/>
        </w:rPr>
        <w:t>2013 Private Placement Notes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31F20"/>
        </w:rPr>
        <w:t>In October 2013, Technip completed three long-term private placements, each subscribed for by different investors, for an aggregate amount of €355 million.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These bond issues consisted of:</w:t>
      </w:r>
    </w:p>
    <w:p>
      <w:pPr>
        <w:spacing w:after="0" w:line="19" w:lineRule="exact"/>
        <w:rPr>
          <w:sz w:val="20"/>
          <w:szCs w:val="20"/>
          <w:color w:val="auto"/>
        </w:rPr>
      </w:pPr>
    </w:p>
    <w:p>
      <w:pPr>
        <w:ind w:left="180" w:hanging="172"/>
        <w:spacing w:after="0" w:line="255" w:lineRule="auto"/>
        <w:tabs>
          <w:tab w:leader="none" w:pos="180" w:val="left"/>
        </w:tabs>
        <w:numPr>
          <w:ilvl w:val="0"/>
          <w:numId w:val="68"/>
        </w:numPr>
        <w:rPr>
          <w:rFonts w:ascii="Arial" w:cs="Arial" w:eastAsia="Arial" w:hAnsi="Arial"/>
          <w:sz w:val="18"/>
          <w:szCs w:val="18"/>
          <w:color w:val="006EBF"/>
        </w:rPr>
      </w:pPr>
      <w:r>
        <w:rPr>
          <w:rFonts w:ascii="Arial" w:cs="Arial" w:eastAsia="Arial" w:hAnsi="Arial"/>
          <w:sz w:val="16"/>
          <w:szCs w:val="16"/>
          <w:color w:val="231F20"/>
        </w:rPr>
        <w:t>€100 million 20-year private placement notes (having a maturity date of October 7, 2033), issued on October 7, 2013 with an annual coupon of 3.75% payable annually in arrears on October 7 of each year. These private notes are listed on the open market of the Frankfurt Stock Exchange (Freiverkehr);</w:t>
      </w:r>
    </w:p>
    <w:p>
      <w:pPr>
        <w:spacing w:after="0" w:line="16" w:lineRule="exact"/>
        <w:rPr>
          <w:rFonts w:ascii="Arial" w:cs="Arial" w:eastAsia="Arial" w:hAnsi="Arial"/>
          <w:sz w:val="18"/>
          <w:szCs w:val="18"/>
          <w:color w:val="006EBF"/>
        </w:rPr>
      </w:pPr>
    </w:p>
    <w:p>
      <w:pPr>
        <w:jc w:val="both"/>
        <w:ind w:left="180" w:hanging="172"/>
        <w:spacing w:after="0" w:line="263" w:lineRule="auto"/>
        <w:tabs>
          <w:tab w:leader="none" w:pos="180" w:val="left"/>
        </w:tabs>
        <w:numPr>
          <w:ilvl w:val="0"/>
          <w:numId w:val="68"/>
        </w:numPr>
        <w:rPr>
          <w:rFonts w:ascii="Arial" w:cs="Arial" w:eastAsia="Arial" w:hAnsi="Arial"/>
          <w:sz w:val="18"/>
          <w:szCs w:val="18"/>
          <w:color w:val="006EBF"/>
        </w:rPr>
      </w:pPr>
      <w:r>
        <w:rPr>
          <w:rFonts w:ascii="Arial" w:cs="Arial" w:eastAsia="Arial" w:hAnsi="Arial"/>
          <w:sz w:val="16"/>
          <w:szCs w:val="16"/>
          <w:color w:val="231F20"/>
        </w:rPr>
        <w:t>€130 million 10-year private placement notes (having a maturity date of October 16, 2023), issued on October 16, 2013 with an annual coupon of 3.15% payable annually in arrears on October 16 of each year. These private notes have been rated BBB+ by Standard &amp; Poor’s and are listed on the Luxembourg Stock Exchange; and</w:t>
      </w:r>
    </w:p>
    <w:p>
      <w:pPr>
        <w:spacing w:after="0" w:line="18" w:lineRule="exact"/>
        <w:rPr>
          <w:rFonts w:ascii="Arial" w:cs="Arial" w:eastAsia="Arial" w:hAnsi="Arial"/>
          <w:sz w:val="18"/>
          <w:szCs w:val="18"/>
          <w:color w:val="006EBF"/>
        </w:rPr>
      </w:pPr>
    </w:p>
    <w:p>
      <w:pPr>
        <w:ind w:left="180" w:hanging="172"/>
        <w:spacing w:after="0" w:line="265" w:lineRule="auto"/>
        <w:tabs>
          <w:tab w:leader="none" w:pos="180" w:val="left"/>
        </w:tabs>
        <w:numPr>
          <w:ilvl w:val="0"/>
          <w:numId w:val="68"/>
        </w:numPr>
        <w:rPr>
          <w:rFonts w:ascii="Arial" w:cs="Arial" w:eastAsia="Arial" w:hAnsi="Arial"/>
          <w:sz w:val="18"/>
          <w:szCs w:val="18"/>
          <w:color w:val="006EBF"/>
        </w:rPr>
      </w:pPr>
      <w:r>
        <w:rPr>
          <w:rFonts w:ascii="Arial" w:cs="Arial" w:eastAsia="Arial" w:hAnsi="Arial"/>
          <w:sz w:val="16"/>
          <w:szCs w:val="16"/>
          <w:color w:val="231F20"/>
        </w:rPr>
        <w:t>€125 million 10-year private placement notes (having a maturity date of October 18, 2023), issued on October 18, 2013, carrying an annual coupon of 3.15% payable annually in arrears on October 18 of each year. These private notes are listed on the Luxembourg Stock Exchange.</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These private placements are part of the general management of the Group’s cash and liabilities and their proceeds may be used for general corporate purposes.</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231F20"/>
        </w:rPr>
        <w:t xml:space="preserve">The </w:t>
      </w:r>
      <w:r>
        <w:rPr>
          <w:rFonts w:ascii="Arial" w:cs="Arial" w:eastAsia="Arial" w:hAnsi="Arial"/>
          <w:sz w:val="16"/>
          <w:szCs w:val="16"/>
          <w:i w:val="1"/>
          <w:iCs w:val="1"/>
          <w:color w:val="231F20"/>
        </w:rPr>
        <w:t>Notes d’opération</w:t>
      </w:r>
      <w:r>
        <w:rPr>
          <w:rFonts w:ascii="Arial" w:cs="Arial" w:eastAsia="Arial" w:hAnsi="Arial"/>
          <w:sz w:val="16"/>
          <w:szCs w:val="16"/>
          <w:color w:val="231F20"/>
        </w:rPr>
        <w:t xml:space="preserve"> relating to these private placement notes contain standard covenants and default clauses for these types of bond issues, and do not contain any financial covenant. Under the terms of the issues, in the event of a change of control of Technip and a rating downgrade of the notes below BBB-deemed to have occurred in respect of that change of control, any bondholder may, at its sole option, request the early redemption of all the bonds it holds.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2360A6"/>
        </w:rPr>
        <w:t>Deep Arctic Financing (ex-Skandi Arctic)</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231F20"/>
        </w:rPr>
        <w:t xml:space="preserve">Since July 2015, the Norwegian subsidiary Technip Chartering Norge AS, 100% indirectly owned by Technip, is the sole owner of the </w:t>
      </w:r>
      <w:r>
        <w:rPr>
          <w:rFonts w:ascii="Arial" w:cs="Arial" w:eastAsia="Arial" w:hAnsi="Arial"/>
          <w:sz w:val="16"/>
          <w:szCs w:val="16"/>
          <w:i w:val="1"/>
          <w:iCs w:val="1"/>
          <w:color w:val="231F20"/>
        </w:rPr>
        <w:t>Deep Arctic</w:t>
      </w:r>
      <w:r>
        <w:rPr>
          <w:rFonts w:ascii="Arial" w:cs="Arial" w:eastAsia="Arial" w:hAnsi="Arial"/>
          <w:sz w:val="16"/>
          <w:szCs w:val="16"/>
          <w:color w:val="231F20"/>
        </w:rPr>
        <w:t xml:space="preserve"> vessel following the repurchase of Doftech DA’s (the previous owner) share in the vessel.</w:t>
      </w:r>
    </w:p>
    <w:p>
      <w:pPr>
        <w:spacing w:after="0" w:line="7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 xml:space="preserve">In March 2009, Doftech DA, the subsidiary in which Technip held 50% of the shares, entered into a NOK1 billion facility agreement for the financing of the </w:t>
      </w:r>
      <w:r>
        <w:rPr>
          <w:rFonts w:ascii="Arial" w:cs="Arial" w:eastAsia="Arial" w:hAnsi="Arial"/>
          <w:sz w:val="16"/>
          <w:szCs w:val="16"/>
          <w:i w:val="1"/>
          <w:iCs w:val="1"/>
          <w:color w:val="231F20"/>
        </w:rPr>
        <w:t xml:space="preserve">Skandi Arctic </w:t>
      </w:r>
      <w:r>
        <w:rPr>
          <w:rFonts w:ascii="Arial" w:cs="Arial" w:eastAsia="Arial" w:hAnsi="Arial"/>
          <w:sz w:val="16"/>
          <w:szCs w:val="16"/>
          <w:color w:val="231F20"/>
        </w:rPr>
        <w:t>vessel. This facility was transferred to Technip Chartering Norge in 2015 and is to be reimbursed in 24 equal semi-annual installments from</w:t>
      </w:r>
      <w:r>
        <w:rPr>
          <w:rFonts w:ascii="Arial" w:cs="Arial" w:eastAsia="Arial" w:hAnsi="Arial"/>
          <w:sz w:val="16"/>
          <w:szCs w:val="16"/>
          <w:i w:val="1"/>
          <w:iCs w:val="1"/>
          <w:color w:val="231F20"/>
        </w:rPr>
        <w:t xml:space="preserve"> </w:t>
      </w:r>
      <w:r>
        <w:rPr>
          <w:rFonts w:ascii="Arial" w:cs="Arial" w:eastAsia="Arial" w:hAnsi="Arial"/>
          <w:sz w:val="16"/>
          <w:szCs w:val="16"/>
          <w:color w:val="231F20"/>
        </w:rPr>
        <w:t>September 16, 2009 to March 16, 2021. As of December 31, 2015, the facility, fully drawn, amounted to NOK375.0 million following semi-annual payments starting from September 16, 2009.</w:t>
      </w:r>
    </w:p>
    <w:p>
      <w:pPr>
        <w:spacing w:after="0" w:line="79"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231F20"/>
        </w:rPr>
        <w:t xml:space="preserve">One tranche of the facility, corresponding to 70% of the total amount is granted at a fixed rate of 5.05% by the Norwegian financing institution </w:t>
      </w:r>
      <w:r>
        <w:rPr>
          <w:rFonts w:ascii="Arial" w:cs="Arial" w:eastAsia="Arial" w:hAnsi="Arial"/>
          <w:sz w:val="16"/>
          <w:szCs w:val="16"/>
          <w:i w:val="1"/>
          <w:iCs w:val="1"/>
          <w:color w:val="231F20"/>
        </w:rPr>
        <w:t>Eksportfinans</w:t>
      </w:r>
      <w:r>
        <w:rPr>
          <w:rFonts w:ascii="Arial" w:cs="Arial" w:eastAsia="Arial" w:hAnsi="Arial"/>
          <w:sz w:val="16"/>
          <w:szCs w:val="16"/>
          <w:color w:val="231F20"/>
        </w:rPr>
        <w:t xml:space="preserve"> and benefits from a guarantee by GIEK. The other tranche of the facility is granted at a floating rate by a commercial bank.</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From now on, this credit facility is 100% guaranteed by Technip Offshore International. It also benefits from a mortgage over the </w:t>
      </w:r>
      <w:r>
        <w:rPr>
          <w:rFonts w:ascii="Arial" w:cs="Arial" w:eastAsia="Arial" w:hAnsi="Arial"/>
          <w:sz w:val="16"/>
          <w:szCs w:val="16"/>
          <w:i w:val="1"/>
          <w:iCs w:val="1"/>
          <w:color w:val="231F20"/>
        </w:rPr>
        <w:t>Deep Arctic</w:t>
      </w:r>
      <w:r>
        <w:rPr>
          <w:rFonts w:ascii="Arial" w:cs="Arial" w:eastAsia="Arial" w:hAnsi="Arial"/>
          <w:sz w:val="16"/>
          <w:szCs w:val="16"/>
          <w:color w:val="231F20"/>
        </w:rPr>
        <w:t xml:space="preserve"> vessel.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231F20"/>
        </w:rPr>
        <w:t>This credit agreement contains standard covenants and default provisions for this type of credit agreement and does not contain any financial covenant.</w:t>
      </w:r>
    </w:p>
    <w:p>
      <w:pPr>
        <w:sectPr>
          <w:pgSz w:w="11900" w:h="16838" w:orient="portrait"/>
          <w:cols w:equalWidth="0" w:num="1">
            <w:col w:w="11420"/>
          </w:cols>
          <w:pgMar w:left="240" w:top="688" w:right="239" w:bottom="1440" w:gutter="0" w:footer="0" w:header="0"/>
        </w:sectPr>
      </w:pPr>
    </w:p>
    <w:bookmarkStart w:id="168" w:name="page169"/>
    <w:bookmarkEnd w:id="168"/>
    <w:p>
      <w:pPr>
        <w:ind w:left="180"/>
        <w:spacing w:after="0"/>
        <w:rPr>
          <w:sz w:val="20"/>
          <w:szCs w:val="20"/>
          <w:color w:val="auto"/>
        </w:rPr>
      </w:pPr>
      <w:r>
        <w:rPr>
          <w:rFonts w:ascii="Arial" w:cs="Arial" w:eastAsia="Arial" w:hAnsi="Arial"/>
          <w:sz w:val="22"/>
          <w:szCs w:val="22"/>
          <w:b w:val="1"/>
          <w:bCs w:val="1"/>
          <w:color w:val="2360A6"/>
        </w:rPr>
        <w:t>Deep Explorer Financing</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 xml:space="preserve">On December 20, 2016, Technip UK Ltd, a wholly owned subsidiary of Technip S.A. entered into a GBP160.0 million loan facility for the purpose of financing the </w:t>
      </w:r>
      <w:r>
        <w:rPr>
          <w:rFonts w:ascii="Arial" w:cs="Arial" w:eastAsia="Arial" w:hAnsi="Arial"/>
          <w:sz w:val="16"/>
          <w:szCs w:val="16"/>
          <w:i w:val="1"/>
          <w:iCs w:val="1"/>
          <w:color w:val="231F20"/>
        </w:rPr>
        <w:t>Deep Explorer</w:t>
      </w:r>
      <w:r>
        <w:rPr>
          <w:rFonts w:ascii="Arial" w:cs="Arial" w:eastAsia="Arial" w:hAnsi="Arial"/>
          <w:sz w:val="16"/>
          <w:szCs w:val="16"/>
          <w:color w:val="231F20"/>
        </w:rPr>
        <w:t>, a diving support Vessel (DSV) delivered in December 2016. The loan facility consists of a 12-year fixed rate term loan, redeemable in 24 semi-annual equal-principal installments. The term loan was fully drawn on December 23, 2016 and bears an annual fixed interest rate of 2.813%. As of December 31, 2016, the loan facility amounted to GBP158.6 million.</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facility agreement contains customary representations and warranties, undertakings and default provisions. The facility agreement does not contain any financial covenant.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31F20"/>
        </w:rPr>
        <w:t>The facility agreement has been arranged in a club-deal with two commercial banks (as lenders) with one of them acting as facility agent and security agent.</w:t>
      </w:r>
    </w:p>
    <w:p>
      <w:pPr>
        <w:spacing w:after="0" w:line="97"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231F20"/>
        </w:rPr>
        <w:t xml:space="preserve">The securities granted to the security agent for the benefit of the lenders, consist in a first priority mortgage on the </w:t>
      </w:r>
      <w:r>
        <w:rPr>
          <w:rFonts w:ascii="Arial" w:cs="Arial" w:eastAsia="Arial" w:hAnsi="Arial"/>
          <w:sz w:val="16"/>
          <w:szCs w:val="16"/>
          <w:i w:val="1"/>
          <w:iCs w:val="1"/>
          <w:color w:val="231F20"/>
        </w:rPr>
        <w:t>Deep Explorer</w:t>
      </w:r>
      <w:r>
        <w:rPr>
          <w:rFonts w:ascii="Arial" w:cs="Arial" w:eastAsia="Arial" w:hAnsi="Arial"/>
          <w:sz w:val="16"/>
          <w:szCs w:val="16"/>
          <w:color w:val="231F20"/>
        </w:rPr>
        <w:t xml:space="preserve"> and the dive-system equipment, a parent company guarantee from Technip Offshore International and an assignment of insurance policies related to the ship.</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2360A6"/>
        </w:rPr>
        <w:t>Açuflex Plant Financing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231F20"/>
        </w:rPr>
        <w:t xml:space="preserve">In December 2012, Flexibras Tubos Flexiveis, one of the Group’s Brazilian subsidiaries, entered into a loan agreement with BNDES </w:t>
      </w:r>
      <w:r>
        <w:rPr>
          <w:rFonts w:ascii="Arial" w:cs="Arial" w:eastAsia="Arial" w:hAnsi="Arial"/>
          <w:sz w:val="16"/>
          <w:szCs w:val="16"/>
          <w:i w:val="1"/>
          <w:iCs w:val="1"/>
          <w:color w:val="231F20"/>
        </w:rPr>
        <w:t>(Banco Nacional de</w:t>
      </w:r>
      <w:r>
        <w:rPr>
          <w:rFonts w:ascii="Arial" w:cs="Arial" w:eastAsia="Arial" w:hAnsi="Arial"/>
          <w:sz w:val="16"/>
          <w:szCs w:val="16"/>
          <w:color w:val="231F20"/>
        </w:rPr>
        <w:t xml:space="preserve"> </w:t>
      </w:r>
      <w:r>
        <w:rPr>
          <w:rFonts w:ascii="Arial" w:cs="Arial" w:eastAsia="Arial" w:hAnsi="Arial"/>
          <w:sz w:val="16"/>
          <w:szCs w:val="16"/>
          <w:i w:val="1"/>
          <w:iCs w:val="1"/>
          <w:color w:val="231F20"/>
        </w:rPr>
        <w:t xml:space="preserve">Desenvolvimento Econômico e Social) </w:t>
      </w:r>
      <w:r>
        <w:rPr>
          <w:rFonts w:ascii="Arial" w:cs="Arial" w:eastAsia="Arial" w:hAnsi="Arial"/>
          <w:sz w:val="16"/>
          <w:szCs w:val="16"/>
          <w:color w:val="231F20"/>
        </w:rPr>
        <w:t>for a total amount of BRL485 million, for the financing of the construction of the new Açuflex flexible pipes plant located</w:t>
      </w:r>
      <w:r>
        <w:rPr>
          <w:rFonts w:ascii="Arial" w:cs="Arial" w:eastAsia="Arial" w:hAnsi="Arial"/>
          <w:sz w:val="16"/>
          <w:szCs w:val="16"/>
          <w:i w:val="1"/>
          <w:iCs w:val="1"/>
          <w:color w:val="231F20"/>
        </w:rPr>
        <w:t xml:space="preserve"> </w:t>
      </w:r>
      <w:r>
        <w:rPr>
          <w:rFonts w:ascii="Arial" w:cs="Arial" w:eastAsia="Arial" w:hAnsi="Arial"/>
          <w:sz w:val="16"/>
          <w:szCs w:val="16"/>
          <w:color w:val="231F20"/>
        </w:rPr>
        <w:t>in the Açu harbor (Brazil).</w:t>
      </w:r>
    </w:p>
    <w:p>
      <w:pPr>
        <w:spacing w:after="0" w:line="8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loan is partly granted at a floating interest rate, while 22% of the total amount is granted at a fixed rate of 2.5%. The loan is reimbursed in 96 monthly installments from January 15, 2015 until December 15, 2022.</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loan agreement contains covenants and default provisions that are standard for such facilities with BNDES excluding any financial covenant. The loan is secured by a guarantee from Technip and not secured by any asset.</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As of December 31, 2016, the loan was fully drawn for a total amount of BRL480.2 million and following the monthly repayments since January 15, 2015, the outstanding amount has reduced to BRL371.9 million.</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2360A6"/>
        </w:rPr>
        <w:t>BNDES (Banco Nacional de Desenvolvimento Econômico e Social) Facilities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of December 31, 2016, Flexibras Tubos Flexiveis had two separate oustanding loans entered into in June and October 2014 for an aggregate amount of BRL100 million, each with a different commercial bank for BRL50 million, to support pre-financing of its export operations. The facilities have a maturity date of July 15 and October 31, 2017, respectively.</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Each facility granted at a fixed-rate was entered into on behalf of BNDES in connection with BNDES financing. The two loan agreements contain the standard default provisions for such facilities with BNDES and do not include any financial covenant.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2016, these loans were fully drawn.</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Two separate loans entered into in April 2013 for a total amount of BRL200 million, each with a different commercial bank for BRL100 million, have been repaid at maturity date in April 2016.</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2360A6"/>
        </w:rPr>
        <w:t>Export Credit Notes (NCE - Nota de Crédito à Exportação)</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As of December 31, 2016, Flexibras Tubos Flexiveis had two separate NCE loans entered into in March 2013 for an aggregate amount of BRL200 million to support pre-financing of its export operations.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31F20"/>
        </w:rPr>
        <w:t>The loan agreements contain the standard default provisions for such facilities and do not include any financial covenant.</w:t>
      </w:r>
    </w:p>
    <w:p>
      <w:pPr>
        <w:spacing w:after="0" w:line="11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As of December 31, 2016, these fixed interest rate loans were fully drawn and consisted of two loans for an amount of BRL100 million each, entered into with two commercial banks in February and March 2013. These loans mature respectively on December 11 and December 15, 2017.</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31F20"/>
        </w:rPr>
        <w:t>Flexibras Tubos Flexiveis repaid at their respective maturity date between January and March 2016, four loans for an aggregate amount of BRL372 million.</w:t>
      </w:r>
    </w:p>
    <w:p>
      <w:pPr>
        <w:sectPr>
          <w:pgSz w:w="11900" w:h="16838" w:orient="portrait"/>
          <w:cols w:equalWidth="0" w:num="1">
            <w:col w:w="11420"/>
          </w:cols>
          <w:pgMar w:left="240" w:top="688" w:right="239" w:bottom="1440" w:gutter="0" w:footer="0" w:header="0"/>
        </w:sectPr>
      </w:pPr>
    </w:p>
    <w:bookmarkStart w:id="169" w:name="page170"/>
    <w:bookmarkEnd w:id="169"/>
    <w:p>
      <w:pPr>
        <w:ind w:left="180"/>
        <w:spacing w:after="0"/>
        <w:rPr>
          <w:sz w:val="20"/>
          <w:szCs w:val="20"/>
          <w:color w:val="auto"/>
        </w:rPr>
      </w:pPr>
      <w:r>
        <w:rPr>
          <w:rFonts w:ascii="Arial" w:cs="Arial" w:eastAsia="Arial" w:hAnsi="Arial"/>
          <w:sz w:val="22"/>
          <w:szCs w:val="22"/>
          <w:b w:val="1"/>
          <w:bCs w:val="1"/>
          <w:color w:val="2360A6"/>
        </w:rPr>
        <w:t>Loans Under Innova Petro Program</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2016, Flexibras Tubos Flexiveis had two loans related to Innova Petro program, the purpose of which is to support the financing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31F20"/>
        </w:rPr>
        <w:t>Flexibras’ development of innovative processes and products. These loans consisted of:</w:t>
      </w:r>
    </w:p>
    <w:p>
      <w:pPr>
        <w:spacing w:after="0" w:line="19" w:lineRule="exact"/>
        <w:rPr>
          <w:sz w:val="20"/>
          <w:szCs w:val="20"/>
          <w:color w:val="auto"/>
        </w:rPr>
      </w:pPr>
    </w:p>
    <w:p>
      <w:pPr>
        <w:jc w:val="both"/>
        <w:ind w:left="180" w:hanging="172"/>
        <w:spacing w:after="0" w:line="268" w:lineRule="auto"/>
        <w:tabs>
          <w:tab w:leader="none" w:pos="180" w:val="left"/>
        </w:tabs>
        <w:numPr>
          <w:ilvl w:val="0"/>
          <w:numId w:val="69"/>
        </w:numPr>
        <w:rPr>
          <w:rFonts w:ascii="Arial" w:cs="Arial" w:eastAsia="Arial" w:hAnsi="Arial"/>
          <w:sz w:val="18"/>
          <w:szCs w:val="18"/>
          <w:color w:val="006EBF"/>
        </w:rPr>
      </w:pPr>
      <w:r>
        <w:rPr>
          <w:rFonts w:ascii="Arial" w:cs="Arial" w:eastAsia="Arial" w:hAnsi="Arial"/>
          <w:sz w:val="16"/>
          <w:szCs w:val="16"/>
          <w:color w:val="231F20"/>
        </w:rPr>
        <w:t>A BRL11.4 million credit facility entered into by Flexibras Tubos Flexiveis on June 13, 2014 with FINEP (Financiadora de Estudos e Projetos) the Brazilian Innovation Agency. The loan granted at a floating interest rate, is to be reimbursed in 61 equal monthly installments from June 15, 2017 until June 15, 2022. The loan agreement includes covenants and default provisions that are standard for such facilities with FINEP excluding any financial ratio. The loan is not secured by any asset. As of December 31, 2016, the loan was fully drawn.</w:t>
      </w:r>
    </w:p>
    <w:p>
      <w:pPr>
        <w:spacing w:after="0" w:line="16" w:lineRule="exact"/>
        <w:rPr>
          <w:rFonts w:ascii="Arial" w:cs="Arial" w:eastAsia="Arial" w:hAnsi="Arial"/>
          <w:sz w:val="18"/>
          <w:szCs w:val="18"/>
          <w:color w:val="006EBF"/>
        </w:rPr>
      </w:pPr>
    </w:p>
    <w:p>
      <w:pPr>
        <w:jc w:val="both"/>
        <w:ind w:left="180" w:hanging="172"/>
        <w:spacing w:after="0" w:line="276" w:lineRule="auto"/>
        <w:tabs>
          <w:tab w:leader="none" w:pos="180" w:val="left"/>
        </w:tabs>
        <w:numPr>
          <w:ilvl w:val="0"/>
          <w:numId w:val="69"/>
        </w:numPr>
        <w:rPr>
          <w:rFonts w:ascii="Arial" w:cs="Arial" w:eastAsia="Arial" w:hAnsi="Arial"/>
          <w:sz w:val="18"/>
          <w:szCs w:val="18"/>
          <w:color w:val="006EBF"/>
        </w:rPr>
      </w:pPr>
      <w:r>
        <w:rPr>
          <w:rFonts w:ascii="Arial" w:cs="Arial" w:eastAsia="Arial" w:hAnsi="Arial"/>
          <w:sz w:val="16"/>
          <w:szCs w:val="16"/>
          <w:color w:val="231F20"/>
        </w:rPr>
        <w:t>A BRL13.7 million credit facility entered into by Flexibras Tubos Flexiveis on July 28, 2014 with BNDES (Banco Nacional de Desenvolvimento Econômico e Social). The loan is partly granted at a floating interest rate, while 82% of the total amount is granted at a fixed rate of 4%. It is to be reimbursed in 72 equal monthly installments from September 15, 2016 until August 15, 2022. The loan agreement includes covenants and default provisions that are standard for such BNDES facilities excluding any financial covenant. The loan is not secured by any asset. As of December 31, 2016, the outstanding amount of the loan was BRL7.7 million.</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2360A6"/>
        </w:rPr>
        <w:t>Global Industries, Ltd. Bonds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On January 11, 2012, following the acquisition of Global Industries, Ltd. by Technip and its delisting from the NASDAQ (New York), Global Industries, Ltd. reimbursed, to comply with the conditions set out in the original offering memorandum of the 2.75% USD325 million Senior Convertible Debentures, due 2027, issued on July 27, 2007, a principal amount of USD322.6 million (corresponding to 99.3% of the outstanding debentures) and paid accrued interest of approximately USD3.9 million to tendering bondholders. The non-tendered bonds were redeemed in August 2016.</w:t>
      </w:r>
    </w:p>
    <w:p>
      <w:pPr>
        <w:spacing w:after="0" w:line="7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2360A6"/>
        </w:rPr>
        <w:t>Syndicated Credit Facility and Bilateral Facilities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2016</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231F20"/>
        </w:rPr>
        <w:t>As of December 31, 2016, the Group had various unutilized financing sources for an aggregate amount of</w:t>
      </w:r>
    </w:p>
    <w:p>
      <w:pPr>
        <w:spacing w:after="0" w:line="113" w:lineRule="exact"/>
        <w:rPr>
          <w:sz w:val="20"/>
          <w:szCs w:val="20"/>
          <w:color w:val="auto"/>
        </w:rPr>
      </w:pPr>
    </w:p>
    <w:p>
      <w:pPr>
        <w:spacing w:after="0" w:line="245" w:lineRule="auto"/>
        <w:rPr>
          <w:sz w:val="20"/>
          <w:szCs w:val="20"/>
          <w:color w:val="auto"/>
        </w:rPr>
      </w:pPr>
      <w:r>
        <w:rPr>
          <w:rFonts w:ascii="Arial" w:cs="Arial" w:eastAsia="Arial" w:hAnsi="Arial"/>
          <w:sz w:val="16"/>
          <w:szCs w:val="16"/>
          <w:color w:val="231F20"/>
        </w:rPr>
        <w:t>€1,345.5 million that allowed it to meet its general financing needs. These facilities are not secured by any of the Group’s assets. As is standard for such financings, they contain covenants and default provisions from Technip and some of its affiliates, and do not include any financial covenant. These credit agreements do not include early payment provisions in the event of deterioration of the borrower’s credit rating. As of December 31, 2016 these facilities consisted in:</w:t>
      </w:r>
    </w:p>
    <w:p>
      <w:pPr>
        <w:spacing w:after="0" w:line="19" w:lineRule="exact"/>
        <w:rPr>
          <w:sz w:val="20"/>
          <w:szCs w:val="20"/>
          <w:color w:val="auto"/>
        </w:rPr>
      </w:pPr>
    </w:p>
    <w:p>
      <w:pPr>
        <w:jc w:val="both"/>
        <w:ind w:left="180" w:hanging="172"/>
        <w:spacing w:after="0" w:line="268" w:lineRule="auto"/>
        <w:tabs>
          <w:tab w:leader="none" w:pos="180" w:val="left"/>
        </w:tabs>
        <w:numPr>
          <w:ilvl w:val="0"/>
          <w:numId w:val="70"/>
        </w:numPr>
        <w:rPr>
          <w:rFonts w:ascii="Arial" w:cs="Arial" w:eastAsia="Arial" w:hAnsi="Arial"/>
          <w:sz w:val="18"/>
          <w:szCs w:val="18"/>
          <w:color w:val="006EBF"/>
        </w:rPr>
      </w:pPr>
      <w:r>
        <w:rPr>
          <w:rFonts w:ascii="Arial" w:cs="Arial" w:eastAsia="Arial" w:hAnsi="Arial"/>
          <w:sz w:val="16"/>
          <w:szCs w:val="16"/>
          <w:color w:val="231F20"/>
        </w:rPr>
        <w:t>The credit facility in the amount of €1 billion put in place on July 21, 2011 which may be drawn in Euros, in US dollars or in British pounds, as amended and extended on July 30, 2014. This facility is fully reimbursable at the maturity date on July 21, 2021 following the exercise in July 2016 of the second and last one-year extension at the borrowers’ option, subject to the lenders’ approval. The facility, in the event it is utilized, includes a floating interest rate and an applicable margin which varies according to a schedule of Technip’s credit rating.</w:t>
      </w:r>
    </w:p>
    <w:p>
      <w:pPr>
        <w:spacing w:after="0" w:line="16" w:lineRule="exact"/>
        <w:rPr>
          <w:rFonts w:ascii="Arial" w:cs="Arial" w:eastAsia="Arial" w:hAnsi="Arial"/>
          <w:sz w:val="18"/>
          <w:szCs w:val="18"/>
          <w:color w:val="006EBF"/>
        </w:rPr>
      </w:pPr>
    </w:p>
    <w:p>
      <w:pPr>
        <w:jc w:val="both"/>
        <w:ind w:left="180" w:hanging="172"/>
        <w:spacing w:after="0" w:line="268" w:lineRule="auto"/>
        <w:tabs>
          <w:tab w:leader="none" w:pos="180" w:val="left"/>
        </w:tabs>
        <w:numPr>
          <w:ilvl w:val="0"/>
          <w:numId w:val="70"/>
        </w:numPr>
        <w:rPr>
          <w:rFonts w:ascii="Arial" w:cs="Arial" w:eastAsia="Arial" w:hAnsi="Arial"/>
          <w:sz w:val="18"/>
          <w:szCs w:val="18"/>
          <w:color w:val="006EBF"/>
        </w:rPr>
      </w:pPr>
      <w:r>
        <w:rPr>
          <w:rFonts w:ascii="Arial" w:cs="Arial" w:eastAsia="Arial" w:hAnsi="Arial"/>
          <w:sz w:val="16"/>
          <w:szCs w:val="16"/>
          <w:color w:val="231F20"/>
        </w:rPr>
        <w:t>Four separate credit facilities totaling €340 million which may be drawn in Euros were granted to Technip and replaced the existing facilities before their respective expiry dates. Each facility has two one-year extensions on the first and second respective anniversaries of the signing dates at the borrowers’ option, subject to the lenders’ approval. Following the exercise of the second and last extension option in May and June 2016, the amounts and maturity dates are as follows:</w:t>
      </w:r>
    </w:p>
    <w:p>
      <w:pPr>
        <w:spacing w:after="0" w:line="4" w:lineRule="exact"/>
        <w:rPr>
          <w:rFonts w:ascii="Arial" w:cs="Arial" w:eastAsia="Arial" w:hAnsi="Arial"/>
          <w:sz w:val="18"/>
          <w:szCs w:val="18"/>
          <w:color w:val="006EBF"/>
        </w:rPr>
      </w:pPr>
    </w:p>
    <w:p>
      <w:pPr>
        <w:ind w:left="580" w:hanging="167"/>
        <w:spacing w:after="0"/>
        <w:tabs>
          <w:tab w:leader="none" w:pos="580" w:val="left"/>
        </w:tabs>
        <w:numPr>
          <w:ilvl w:val="1"/>
          <w:numId w:val="70"/>
        </w:numPr>
        <w:rPr>
          <w:rFonts w:ascii="Arial" w:cs="Arial" w:eastAsia="Arial" w:hAnsi="Arial"/>
          <w:sz w:val="18"/>
          <w:szCs w:val="18"/>
          <w:color w:val="auto"/>
        </w:rPr>
      </w:pPr>
      <w:r>
        <w:rPr>
          <w:rFonts w:ascii="Arial" w:cs="Arial" w:eastAsia="Arial" w:hAnsi="Arial"/>
          <w:sz w:val="16"/>
          <w:szCs w:val="16"/>
          <w:color w:val="auto"/>
        </w:rPr>
        <w:t>two credit facilities of €80 million each that mature on May 16, 2019;</w:t>
      </w:r>
    </w:p>
    <w:p>
      <w:pPr>
        <w:spacing w:after="0" w:line="9" w:lineRule="exact"/>
        <w:rPr>
          <w:rFonts w:ascii="Arial" w:cs="Arial" w:eastAsia="Arial" w:hAnsi="Arial"/>
          <w:sz w:val="18"/>
          <w:szCs w:val="18"/>
          <w:color w:val="auto"/>
        </w:rPr>
      </w:pPr>
    </w:p>
    <w:p>
      <w:pPr>
        <w:ind w:left="580" w:hanging="167"/>
        <w:spacing w:after="0"/>
        <w:tabs>
          <w:tab w:leader="none" w:pos="580" w:val="left"/>
        </w:tabs>
        <w:numPr>
          <w:ilvl w:val="1"/>
          <w:numId w:val="70"/>
        </w:numPr>
        <w:rPr>
          <w:rFonts w:ascii="Arial" w:cs="Arial" w:eastAsia="Arial" w:hAnsi="Arial"/>
          <w:sz w:val="18"/>
          <w:szCs w:val="18"/>
          <w:color w:val="auto"/>
        </w:rPr>
      </w:pPr>
      <w:r>
        <w:rPr>
          <w:rFonts w:ascii="Arial" w:cs="Arial" w:eastAsia="Arial" w:hAnsi="Arial"/>
          <w:sz w:val="16"/>
          <w:szCs w:val="16"/>
          <w:color w:val="auto"/>
        </w:rPr>
        <w:t>an €80 million credit facility that matures on June 10, 2019; and</w:t>
      </w:r>
    </w:p>
    <w:p>
      <w:pPr>
        <w:spacing w:after="0" w:line="9" w:lineRule="exact"/>
        <w:rPr>
          <w:rFonts w:ascii="Arial" w:cs="Arial" w:eastAsia="Arial" w:hAnsi="Arial"/>
          <w:sz w:val="18"/>
          <w:szCs w:val="18"/>
          <w:color w:val="auto"/>
        </w:rPr>
      </w:pPr>
    </w:p>
    <w:p>
      <w:pPr>
        <w:ind w:left="580" w:hanging="167"/>
        <w:spacing w:after="0"/>
        <w:tabs>
          <w:tab w:leader="none" w:pos="580" w:val="left"/>
        </w:tabs>
        <w:numPr>
          <w:ilvl w:val="1"/>
          <w:numId w:val="70"/>
        </w:numPr>
        <w:rPr>
          <w:rFonts w:ascii="Arial" w:cs="Arial" w:eastAsia="Arial" w:hAnsi="Arial"/>
          <w:sz w:val="18"/>
          <w:szCs w:val="18"/>
          <w:color w:val="auto"/>
        </w:rPr>
      </w:pPr>
      <w:r>
        <w:rPr>
          <w:rFonts w:ascii="Arial" w:cs="Arial" w:eastAsia="Arial" w:hAnsi="Arial"/>
          <w:sz w:val="16"/>
          <w:szCs w:val="16"/>
          <w:color w:val="auto"/>
        </w:rPr>
        <w:t>a €100 million credit facility that matures on May 16, 2021.</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70"/>
        </w:numPr>
        <w:rPr>
          <w:rFonts w:ascii="Arial" w:cs="Arial" w:eastAsia="Arial" w:hAnsi="Arial"/>
          <w:sz w:val="18"/>
          <w:szCs w:val="18"/>
          <w:color w:val="006EBF"/>
        </w:rPr>
      </w:pPr>
      <w:r>
        <w:rPr>
          <w:rFonts w:ascii="Arial" w:cs="Arial" w:eastAsia="Arial" w:hAnsi="Arial"/>
          <w:sz w:val="16"/>
          <w:szCs w:val="16"/>
          <w:color w:val="231F20"/>
        </w:rPr>
        <w:t>Different non-utilized credit facilities amounting to €5.5 million granted to various Technip subsidiaries.</w:t>
      </w:r>
    </w:p>
    <w:p>
      <w:pPr>
        <w:spacing w:after="0" w:line="116"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As of December 31, 2016, the credit facilities confirmed and available to the Group amounted to €1,345.5 million, of which €1,340 million is available after December 31, 2017. Out of the €1,345.5 million, €5.5 million is reserved for the financing of certain subsidiaries.</w:t>
      </w:r>
    </w:p>
    <w:p>
      <w:pPr>
        <w:spacing w:after="0" w:line="88"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 xml:space="preserve">In 2016, in light of favorable market conditions, Technip once again issued on the commercial paper market. As of December 31, 2016, the outstanding commercial paper amounted to €200 million. The Group continues to benefit from </w:t>
      </w:r>
      <w:r>
        <w:rPr>
          <w:rFonts w:ascii="Arial" w:cs="Arial" w:eastAsia="Arial" w:hAnsi="Arial"/>
          <w:sz w:val="16"/>
          <w:szCs w:val="16"/>
          <w:i w:val="1"/>
          <w:iCs w:val="1"/>
          <w:color w:val="231F20"/>
        </w:rPr>
        <w:t>Banque de France</w:t>
      </w:r>
      <w:r>
        <w:rPr>
          <w:rFonts w:ascii="Arial" w:cs="Arial" w:eastAsia="Arial" w:hAnsi="Arial"/>
          <w:sz w:val="16"/>
          <w:szCs w:val="16"/>
          <w:color w:val="231F20"/>
        </w:rPr>
        <w:t>’s authorization for a maximum amount of €1 billion.</w:t>
      </w:r>
    </w:p>
    <w:p>
      <w:pPr>
        <w:spacing w:after="0" w:line="8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231F20"/>
        </w:rPr>
        <w:t>As of December 31, 2016, debt falling due in 2017 and 2018 amounted to €890.4 million including €19.3 million of accrued interest and fees and €871.1 million of principal.</w:t>
      </w:r>
    </w:p>
    <w:p>
      <w:pPr>
        <w:sectPr>
          <w:pgSz w:w="11900" w:h="16838" w:orient="portrait"/>
          <w:cols w:equalWidth="0" w:num="1">
            <w:col w:w="11420"/>
          </w:cols>
          <w:pgMar w:left="240" w:top="688" w:right="239" w:bottom="1440" w:gutter="0" w:footer="0" w:header="0"/>
        </w:sectPr>
      </w:pPr>
    </w:p>
    <w:bookmarkStart w:id="170" w:name="page171"/>
    <w:bookmarkEnd w:id="170"/>
    <w:p>
      <w:pPr>
        <w:ind w:left="5"/>
        <w:spacing w:after="0"/>
        <w:rPr>
          <w:sz w:val="20"/>
          <w:szCs w:val="20"/>
          <w:color w:val="auto"/>
        </w:rPr>
      </w:pPr>
      <w:r>
        <w:rPr>
          <w:rFonts w:ascii="Arial" w:cs="Arial" w:eastAsia="Arial" w:hAnsi="Arial"/>
          <w:sz w:val="22"/>
          <w:szCs w:val="22"/>
          <w:b w:val="1"/>
          <w:bCs w:val="1"/>
          <w:color w:val="2360A6"/>
        </w:rPr>
        <w:t>As of December 31, 2015</w:t>
      </w:r>
    </w:p>
    <w:p>
      <w:pPr>
        <w:spacing w:after="0" w:line="133" w:lineRule="exact"/>
        <w:rPr>
          <w:sz w:val="20"/>
          <w:szCs w:val="20"/>
          <w:color w:val="auto"/>
        </w:rPr>
      </w:pPr>
    </w:p>
    <w:p>
      <w:pPr>
        <w:jc w:val="both"/>
        <w:ind w:left="5"/>
        <w:spacing w:after="0" w:line="245" w:lineRule="auto"/>
        <w:rPr>
          <w:sz w:val="20"/>
          <w:szCs w:val="20"/>
          <w:color w:val="auto"/>
        </w:rPr>
      </w:pPr>
      <w:r>
        <w:rPr>
          <w:rFonts w:ascii="Arial" w:cs="Arial" w:eastAsia="Arial" w:hAnsi="Arial"/>
          <w:sz w:val="16"/>
          <w:szCs w:val="16"/>
          <w:color w:val="231F20"/>
        </w:rPr>
        <w:t>As of December 31, 2015, the Group had various unutilized financing sources for an aggregate amount of €1,347.7 million that allowed it to meet its general financing needs. These facilities are not secured by any of the Group’s assets. As is standard for such financings, they contain covenants and default provisions from Technip and some of its affiliates, and do not include any financial covenant. These credit agreements do not include early payment provisions in the event of deterioration of the borrower’s credit rating.</w:t>
      </w:r>
    </w:p>
    <w:p>
      <w:pPr>
        <w:spacing w:after="0" w:line="19" w:lineRule="exact"/>
        <w:rPr>
          <w:sz w:val="20"/>
          <w:szCs w:val="20"/>
          <w:color w:val="auto"/>
        </w:rPr>
      </w:pPr>
    </w:p>
    <w:p>
      <w:pPr>
        <w:jc w:val="both"/>
        <w:ind w:left="285" w:hanging="272"/>
        <w:spacing w:after="0" w:line="271" w:lineRule="auto"/>
        <w:tabs>
          <w:tab w:leader="none" w:pos="285" w:val="left"/>
        </w:tabs>
        <w:numPr>
          <w:ilvl w:val="0"/>
          <w:numId w:val="71"/>
        </w:numPr>
        <w:rPr>
          <w:rFonts w:ascii="Arial" w:cs="Arial" w:eastAsia="Arial" w:hAnsi="Arial"/>
          <w:sz w:val="18"/>
          <w:szCs w:val="18"/>
          <w:color w:val="auto"/>
        </w:rPr>
      </w:pPr>
      <w:r>
        <w:rPr>
          <w:rFonts w:ascii="Arial" w:cs="Arial" w:eastAsia="Arial" w:hAnsi="Arial"/>
          <w:sz w:val="16"/>
          <w:szCs w:val="16"/>
          <w:color w:val="231F20"/>
        </w:rPr>
        <w:t>The credit facility in the amount of €1 billion put in place on July 21, 2011 which may be drawn in Euros, in US dollars or in British pounds, was amended and extended on July 30, 2014. The credit facility is fully reimbursable at the maturity date on July 21, 2020 following the exercise in July 2015 of the first of the two one-year extensions at the borrowers’ option, subject to the lenders’ approval.</w:t>
      </w:r>
    </w:p>
    <w:p>
      <w:pPr>
        <w:spacing w:after="0" w:line="94" w:lineRule="exact"/>
        <w:rPr>
          <w:sz w:val="20"/>
          <w:szCs w:val="20"/>
          <w:color w:val="auto"/>
        </w:rPr>
      </w:pPr>
    </w:p>
    <w:p>
      <w:pPr>
        <w:ind w:left="5"/>
        <w:spacing w:after="0"/>
        <w:rPr>
          <w:sz w:val="20"/>
          <w:szCs w:val="20"/>
          <w:color w:val="auto"/>
        </w:rPr>
      </w:pPr>
      <w:r>
        <w:rPr>
          <w:rFonts w:ascii="Arial" w:cs="Arial" w:eastAsia="Arial" w:hAnsi="Arial"/>
          <w:sz w:val="16"/>
          <w:szCs w:val="16"/>
          <w:color w:val="231F20"/>
        </w:rPr>
        <w:t>The facility, in the event it is utilized, includes a floating interest rate and an applicable margin which varies according to a schedule of Technip’s credit rating.</w:t>
      </w:r>
    </w:p>
    <w:p>
      <w:pPr>
        <w:spacing w:after="0" w:line="113" w:lineRule="exact"/>
        <w:rPr>
          <w:sz w:val="20"/>
          <w:szCs w:val="20"/>
          <w:color w:val="auto"/>
        </w:rPr>
      </w:pPr>
    </w:p>
    <w:p>
      <w:pPr>
        <w:jc w:val="both"/>
        <w:ind w:left="245" w:right="20" w:hanging="232"/>
        <w:spacing w:after="0" w:line="253" w:lineRule="auto"/>
        <w:tabs>
          <w:tab w:leader="none" w:pos="245" w:val="left"/>
        </w:tabs>
        <w:numPr>
          <w:ilvl w:val="0"/>
          <w:numId w:val="72"/>
        </w:numPr>
        <w:rPr>
          <w:rFonts w:ascii="Arial" w:cs="Arial" w:eastAsia="Arial" w:hAnsi="Arial"/>
          <w:sz w:val="16"/>
          <w:szCs w:val="16"/>
          <w:color w:val="231F20"/>
        </w:rPr>
      </w:pPr>
      <w:r>
        <w:rPr>
          <w:rFonts w:ascii="Arial" w:cs="Arial" w:eastAsia="Arial" w:hAnsi="Arial"/>
          <w:sz w:val="16"/>
          <w:szCs w:val="16"/>
          <w:color w:val="231F20"/>
        </w:rPr>
        <w:t>In 2014, four separate credit facilities totaling €340 million which may be drawn in Euros were granted to Technip and replaced the existing facilities before their respective expiry dates. The facilities each have two one-year extensions on the first and second respective anniversaries of the signing dates at the borrowers’ option, subject to the lenders’ approval.</w:t>
      </w:r>
    </w:p>
    <w:p>
      <w:pPr>
        <w:spacing w:after="0" w:line="282" w:lineRule="exact"/>
        <w:rPr>
          <w:rFonts w:ascii="Arial" w:cs="Arial" w:eastAsia="Arial" w:hAnsi="Arial"/>
          <w:sz w:val="16"/>
          <w:szCs w:val="16"/>
          <w:color w:val="231F20"/>
        </w:rPr>
      </w:pPr>
    </w:p>
    <w:p>
      <w:pPr>
        <w:ind w:left="265" w:right="2260"/>
        <w:spacing w:after="0" w:line="250" w:lineRule="auto"/>
        <w:rPr>
          <w:rFonts w:ascii="Arial" w:cs="Arial" w:eastAsia="Arial" w:hAnsi="Arial"/>
          <w:sz w:val="16"/>
          <w:szCs w:val="16"/>
          <w:color w:val="231F20"/>
        </w:rPr>
      </w:pPr>
      <w:r>
        <w:rPr>
          <w:rFonts w:ascii="Arial" w:cs="Arial" w:eastAsia="Arial" w:hAnsi="Arial"/>
          <w:sz w:val="16"/>
          <w:szCs w:val="16"/>
          <w:color w:val="231F20"/>
        </w:rPr>
        <w:t>Following the exercise of the first of the two extension options in May and June 2015, the amounts and maturity dates are as follows:</w:t>
      </w:r>
    </w:p>
    <w:p>
      <w:pPr>
        <w:ind w:left="425" w:hanging="88"/>
        <w:spacing w:after="0" w:line="234" w:lineRule="auto"/>
        <w:tabs>
          <w:tab w:leader="none" w:pos="425" w:val="left"/>
        </w:tabs>
        <w:numPr>
          <w:ilvl w:val="1"/>
          <w:numId w:val="72"/>
        </w:numPr>
        <w:rPr>
          <w:rFonts w:ascii="Arial" w:cs="Arial" w:eastAsia="Arial" w:hAnsi="Arial"/>
          <w:sz w:val="18"/>
          <w:szCs w:val="18"/>
          <w:color w:val="auto"/>
        </w:rPr>
      </w:pPr>
      <w:r>
        <w:rPr>
          <w:rFonts w:ascii="Arial" w:cs="Arial" w:eastAsia="Arial" w:hAnsi="Arial"/>
          <w:sz w:val="16"/>
          <w:szCs w:val="16"/>
          <w:color w:val="auto"/>
        </w:rPr>
        <w:t>two facilities of €80 million each that mature on May 16, 2018;</w:t>
      </w:r>
    </w:p>
    <w:p>
      <w:pPr>
        <w:spacing w:after="0" w:line="9" w:lineRule="exact"/>
        <w:rPr>
          <w:rFonts w:ascii="Arial" w:cs="Arial" w:eastAsia="Arial" w:hAnsi="Arial"/>
          <w:sz w:val="18"/>
          <w:szCs w:val="18"/>
          <w:color w:val="auto"/>
        </w:rPr>
      </w:pPr>
    </w:p>
    <w:p>
      <w:pPr>
        <w:ind w:left="425" w:hanging="88"/>
        <w:spacing w:after="0"/>
        <w:tabs>
          <w:tab w:leader="none" w:pos="425" w:val="left"/>
        </w:tabs>
        <w:numPr>
          <w:ilvl w:val="1"/>
          <w:numId w:val="72"/>
        </w:numPr>
        <w:rPr>
          <w:rFonts w:ascii="Arial" w:cs="Arial" w:eastAsia="Arial" w:hAnsi="Arial"/>
          <w:sz w:val="18"/>
          <w:szCs w:val="18"/>
          <w:color w:val="auto"/>
        </w:rPr>
      </w:pPr>
      <w:r>
        <w:rPr>
          <w:rFonts w:ascii="Arial" w:cs="Arial" w:eastAsia="Arial" w:hAnsi="Arial"/>
          <w:sz w:val="16"/>
          <w:szCs w:val="16"/>
          <w:color w:val="auto"/>
        </w:rPr>
        <w:t>an €80 million facility that matures on June 10, 2018; and</w:t>
      </w:r>
    </w:p>
    <w:p>
      <w:pPr>
        <w:spacing w:after="0" w:line="9" w:lineRule="exact"/>
        <w:rPr>
          <w:rFonts w:ascii="Arial" w:cs="Arial" w:eastAsia="Arial" w:hAnsi="Arial"/>
          <w:sz w:val="18"/>
          <w:szCs w:val="18"/>
          <w:color w:val="auto"/>
        </w:rPr>
      </w:pPr>
    </w:p>
    <w:p>
      <w:pPr>
        <w:ind w:left="425" w:hanging="88"/>
        <w:spacing w:after="0"/>
        <w:tabs>
          <w:tab w:leader="none" w:pos="425" w:val="left"/>
        </w:tabs>
        <w:numPr>
          <w:ilvl w:val="1"/>
          <w:numId w:val="72"/>
        </w:numPr>
        <w:rPr>
          <w:rFonts w:ascii="Arial" w:cs="Arial" w:eastAsia="Arial" w:hAnsi="Arial"/>
          <w:sz w:val="18"/>
          <w:szCs w:val="18"/>
          <w:color w:val="auto"/>
        </w:rPr>
      </w:pPr>
      <w:r>
        <w:rPr>
          <w:rFonts w:ascii="Arial" w:cs="Arial" w:eastAsia="Arial" w:hAnsi="Arial"/>
          <w:sz w:val="16"/>
          <w:szCs w:val="16"/>
          <w:color w:val="auto"/>
        </w:rPr>
        <w:t>a €100 million facility that matures on May 16, 2020.</w:t>
      </w:r>
    </w:p>
    <w:p>
      <w:pPr>
        <w:spacing w:after="0" w:line="115" w:lineRule="exact"/>
        <w:rPr>
          <w:rFonts w:ascii="Arial" w:cs="Arial" w:eastAsia="Arial" w:hAnsi="Arial"/>
          <w:sz w:val="18"/>
          <w:szCs w:val="18"/>
          <w:color w:val="auto"/>
        </w:rPr>
      </w:pPr>
    </w:p>
    <w:p>
      <w:pPr>
        <w:ind w:left="245" w:hanging="232"/>
        <w:spacing w:after="0"/>
        <w:tabs>
          <w:tab w:leader="none" w:pos="245" w:val="left"/>
        </w:tabs>
        <w:numPr>
          <w:ilvl w:val="0"/>
          <w:numId w:val="72"/>
        </w:numPr>
        <w:rPr>
          <w:rFonts w:ascii="Arial" w:cs="Arial" w:eastAsia="Arial" w:hAnsi="Arial"/>
          <w:sz w:val="16"/>
          <w:szCs w:val="16"/>
          <w:color w:val="231F20"/>
        </w:rPr>
      </w:pPr>
      <w:r>
        <w:rPr>
          <w:rFonts w:ascii="Arial" w:cs="Arial" w:eastAsia="Arial" w:hAnsi="Arial"/>
          <w:sz w:val="16"/>
          <w:szCs w:val="16"/>
          <w:color w:val="231F20"/>
        </w:rPr>
        <w:t>Different non-utilized credit facilities amounting to €7.7 million were granted to various Technip subsidiaries.</w:t>
      </w:r>
    </w:p>
    <w:p>
      <w:pPr>
        <w:spacing w:after="0" w:line="113" w:lineRule="exact"/>
        <w:rPr>
          <w:sz w:val="20"/>
          <w:szCs w:val="20"/>
          <w:color w:val="auto"/>
        </w:rPr>
      </w:pPr>
    </w:p>
    <w:p>
      <w:pPr>
        <w:jc w:val="both"/>
        <w:ind w:left="5"/>
        <w:spacing w:after="0" w:line="260" w:lineRule="auto"/>
        <w:rPr>
          <w:sz w:val="20"/>
          <w:szCs w:val="20"/>
          <w:color w:val="auto"/>
        </w:rPr>
      </w:pPr>
      <w:r>
        <w:rPr>
          <w:rFonts w:ascii="Arial" w:cs="Arial" w:eastAsia="Arial" w:hAnsi="Arial"/>
          <w:sz w:val="16"/>
          <w:szCs w:val="16"/>
          <w:color w:val="231F20"/>
        </w:rPr>
        <w:t>As of December 31, 2015, the credit facilities confirmed and available to the Group amounted to €1,347.7 million, of which €1,340.8 million is available after December 31, 2016. Out of a total of €1,347.7 million, €7.7 million is reserved for the financing of certain subsidiaries.</w:t>
      </w:r>
    </w:p>
    <w:p>
      <w:pPr>
        <w:spacing w:after="0" w:line="88" w:lineRule="exact"/>
        <w:rPr>
          <w:sz w:val="20"/>
          <w:szCs w:val="20"/>
          <w:color w:val="auto"/>
        </w:rPr>
      </w:pPr>
    </w:p>
    <w:p>
      <w:pPr>
        <w:jc w:val="both"/>
        <w:ind w:left="5"/>
        <w:spacing w:after="0" w:line="260" w:lineRule="auto"/>
        <w:rPr>
          <w:sz w:val="20"/>
          <w:szCs w:val="20"/>
          <w:color w:val="auto"/>
        </w:rPr>
      </w:pPr>
      <w:r>
        <w:rPr>
          <w:rFonts w:ascii="Arial" w:cs="Arial" w:eastAsia="Arial" w:hAnsi="Arial"/>
          <w:sz w:val="16"/>
          <w:szCs w:val="16"/>
          <w:color w:val="231F20"/>
        </w:rPr>
        <w:t xml:space="preserve">In 2015, in light of favorable market conditions, Technip once again issued on the commercial paper market. As of December 31, 2015, the outstanding commercial paper amounted to €200 million. The Group continues to benefit from </w:t>
      </w:r>
      <w:r>
        <w:rPr>
          <w:rFonts w:ascii="Arial" w:cs="Arial" w:eastAsia="Arial" w:hAnsi="Arial"/>
          <w:sz w:val="16"/>
          <w:szCs w:val="16"/>
          <w:i w:val="1"/>
          <w:iCs w:val="1"/>
          <w:color w:val="231F20"/>
        </w:rPr>
        <w:t>Banque de France</w:t>
      </w:r>
      <w:r>
        <w:rPr>
          <w:rFonts w:ascii="Arial" w:cs="Arial" w:eastAsia="Arial" w:hAnsi="Arial"/>
          <w:sz w:val="16"/>
          <w:szCs w:val="16"/>
          <w:color w:val="231F20"/>
        </w:rPr>
        <w:t>’s authorization for a maximum amount of €1 billion.</w:t>
      </w:r>
    </w:p>
    <w:p>
      <w:pPr>
        <w:spacing w:after="0" w:line="88" w:lineRule="exact"/>
        <w:rPr>
          <w:sz w:val="20"/>
          <w:szCs w:val="20"/>
          <w:color w:val="auto"/>
        </w:rPr>
      </w:pPr>
    </w:p>
    <w:p>
      <w:pPr>
        <w:jc w:val="both"/>
        <w:ind w:left="5"/>
        <w:spacing w:after="0" w:line="260" w:lineRule="auto"/>
        <w:rPr>
          <w:sz w:val="20"/>
          <w:szCs w:val="20"/>
          <w:color w:val="auto"/>
        </w:rPr>
      </w:pPr>
      <w:r>
        <w:rPr>
          <w:rFonts w:ascii="Arial" w:cs="Arial" w:eastAsia="Arial" w:hAnsi="Arial"/>
          <w:sz w:val="16"/>
          <w:szCs w:val="16"/>
          <w:color w:val="231F20"/>
        </w:rPr>
        <w:t>As of December 31, 2015, debt falling due in 2016 and 2017 amounted to €1,512.3 million including €27.9 million of accrued interest and fees and €1,484.4 million of principal.</w:t>
      </w:r>
    </w:p>
    <w:p>
      <w:pPr>
        <w:spacing w:after="0" w:line="67" w:lineRule="exact"/>
        <w:rPr>
          <w:sz w:val="20"/>
          <w:szCs w:val="20"/>
          <w:color w:val="auto"/>
        </w:rPr>
      </w:pPr>
    </w:p>
    <w:p>
      <w:pPr>
        <w:ind w:left="5"/>
        <w:spacing w:after="0"/>
        <w:rPr>
          <w:sz w:val="20"/>
          <w:szCs w:val="20"/>
          <w:color w:val="auto"/>
        </w:rPr>
      </w:pPr>
      <w:r>
        <w:rPr>
          <w:rFonts w:ascii="Arial" w:cs="Arial" w:eastAsia="Arial" w:hAnsi="Arial"/>
          <w:sz w:val="22"/>
          <w:szCs w:val="22"/>
          <w:b w:val="1"/>
          <w:bCs w:val="1"/>
          <w:color w:val="2360A6"/>
        </w:rPr>
        <w:t>As of December 31, 2014</w:t>
      </w:r>
    </w:p>
    <w:p>
      <w:pPr>
        <w:spacing w:after="0" w:line="133" w:lineRule="exact"/>
        <w:rPr>
          <w:sz w:val="20"/>
          <w:szCs w:val="20"/>
          <w:color w:val="auto"/>
        </w:rPr>
      </w:pPr>
    </w:p>
    <w:p>
      <w:pPr>
        <w:ind w:left="5"/>
        <w:spacing w:after="0"/>
        <w:rPr>
          <w:sz w:val="20"/>
          <w:szCs w:val="20"/>
          <w:color w:val="auto"/>
        </w:rPr>
      </w:pPr>
      <w:r>
        <w:rPr>
          <w:rFonts w:ascii="Arial" w:cs="Arial" w:eastAsia="Arial" w:hAnsi="Arial"/>
          <w:sz w:val="16"/>
          <w:szCs w:val="16"/>
          <w:color w:val="231F20"/>
        </w:rPr>
        <w:t>As of December 31, 2014, the Group had various unutilized financing sources for an aggregate amount of</w:t>
      </w:r>
    </w:p>
    <w:p>
      <w:pPr>
        <w:spacing w:after="0" w:line="113" w:lineRule="exact"/>
        <w:rPr>
          <w:sz w:val="20"/>
          <w:szCs w:val="20"/>
          <w:color w:val="auto"/>
        </w:rPr>
      </w:pPr>
    </w:p>
    <w:p>
      <w:pPr>
        <w:jc w:val="both"/>
        <w:ind w:left="5"/>
        <w:spacing w:after="0" w:line="253" w:lineRule="auto"/>
        <w:rPr>
          <w:sz w:val="20"/>
          <w:szCs w:val="20"/>
          <w:color w:val="auto"/>
        </w:rPr>
      </w:pPr>
      <w:r>
        <w:rPr>
          <w:rFonts w:ascii="Arial" w:cs="Arial" w:eastAsia="Arial" w:hAnsi="Arial"/>
          <w:sz w:val="16"/>
          <w:szCs w:val="16"/>
          <w:color w:val="231F20"/>
        </w:rPr>
        <w:t>€1,347.5 million that allow it to meet its general financing needs. These facilities are not secured by any of the Group’s assets. They contain covenant and default provisions that are standard for such financing, from Technip and some of its affiliates, and do not include any financial ratio. These credit agreements do not include early payment provisions in case of deterioration of the borrower’s credit rating.</w:t>
      </w:r>
    </w:p>
    <w:p>
      <w:pPr>
        <w:spacing w:after="0" w:line="93" w:lineRule="exact"/>
        <w:rPr>
          <w:sz w:val="20"/>
          <w:szCs w:val="20"/>
          <w:color w:val="auto"/>
        </w:rPr>
      </w:pPr>
    </w:p>
    <w:p>
      <w:pPr>
        <w:jc w:val="both"/>
        <w:ind w:left="245" w:hanging="245"/>
        <w:spacing w:after="0" w:line="253" w:lineRule="auto"/>
        <w:tabs>
          <w:tab w:leader="none" w:pos="193" w:val="left"/>
        </w:tabs>
        <w:numPr>
          <w:ilvl w:val="0"/>
          <w:numId w:val="73"/>
        </w:numPr>
        <w:rPr>
          <w:rFonts w:ascii="Arial" w:cs="Arial" w:eastAsia="Arial" w:hAnsi="Arial"/>
          <w:sz w:val="16"/>
          <w:szCs w:val="16"/>
          <w:color w:val="231F20"/>
        </w:rPr>
      </w:pPr>
      <w:r>
        <w:rPr>
          <w:rFonts w:ascii="Arial" w:cs="Arial" w:eastAsia="Arial" w:hAnsi="Arial"/>
          <w:sz w:val="16"/>
          <w:szCs w:val="16"/>
          <w:color w:val="231F20"/>
        </w:rPr>
        <w:t>The credit facility in the amount of €1 billion put in place on July 21, 2011 and which may be drawn in Euros, in US dollars or in British pounds, has been amended and extended on July 30, 2014. Subsequent to this amendment and extension, the final maturity date of the facility is July 30, 2019, with two one-year extensions on the first and second anniversary of the signing date at the borrowers’ option, subject to the lenders’ approval.</w:t>
      </w:r>
    </w:p>
    <w:p>
      <w:pPr>
        <w:spacing w:after="0" w:line="93" w:lineRule="exact"/>
        <w:rPr>
          <w:sz w:val="20"/>
          <w:szCs w:val="20"/>
          <w:color w:val="auto"/>
        </w:rPr>
      </w:pPr>
    </w:p>
    <w:p>
      <w:pPr>
        <w:ind w:left="5"/>
        <w:spacing w:after="0"/>
        <w:rPr>
          <w:sz w:val="20"/>
          <w:szCs w:val="20"/>
          <w:color w:val="auto"/>
        </w:rPr>
      </w:pPr>
      <w:r>
        <w:rPr>
          <w:rFonts w:ascii="Arial" w:cs="Arial" w:eastAsia="Arial" w:hAnsi="Arial"/>
          <w:sz w:val="16"/>
          <w:szCs w:val="16"/>
          <w:color w:val="231F20"/>
        </w:rPr>
        <w:t>The facility, in the event it is utilized, includes a floating interest rate and an applicable margin which varies according to a schedule of Technip’s credit rating.</w:t>
      </w:r>
    </w:p>
    <w:p>
      <w:pPr>
        <w:spacing w:after="0" w:line="113" w:lineRule="exact"/>
        <w:rPr>
          <w:sz w:val="20"/>
          <w:szCs w:val="20"/>
          <w:color w:val="auto"/>
        </w:rPr>
      </w:pPr>
    </w:p>
    <w:p>
      <w:pPr>
        <w:jc w:val="both"/>
        <w:ind w:left="245" w:right="20" w:hanging="232"/>
        <w:spacing w:after="0" w:line="249" w:lineRule="auto"/>
        <w:tabs>
          <w:tab w:leader="none" w:pos="245" w:val="left"/>
        </w:tabs>
        <w:numPr>
          <w:ilvl w:val="0"/>
          <w:numId w:val="74"/>
        </w:numPr>
        <w:rPr>
          <w:rFonts w:ascii="Arial" w:cs="Arial" w:eastAsia="Arial" w:hAnsi="Arial"/>
          <w:sz w:val="16"/>
          <w:szCs w:val="16"/>
          <w:color w:val="231F20"/>
        </w:rPr>
      </w:pPr>
      <w:r>
        <w:rPr>
          <w:rFonts w:ascii="Arial" w:cs="Arial" w:eastAsia="Arial" w:hAnsi="Arial"/>
          <w:sz w:val="16"/>
          <w:szCs w:val="16"/>
          <w:color w:val="231F20"/>
        </w:rPr>
        <w:t>In 2014, four separate credit facilities in a total amount of €340 million which may be drawn in Euros were granted to Technip and replaced before their respective expiry dates the existing facilities. The facilities have each two one-year extensions on the first and second respective anniversaries of the signing dates at the borrowers’ option, subject to the lenders’ approval. Following bilateral negotiations, the amounts and maturity dates are as follows:</w:t>
      </w:r>
    </w:p>
    <w:p>
      <w:pPr>
        <w:ind w:left="425" w:hanging="88"/>
        <w:spacing w:after="0" w:line="234" w:lineRule="auto"/>
        <w:tabs>
          <w:tab w:leader="none" w:pos="425" w:val="left"/>
        </w:tabs>
        <w:numPr>
          <w:ilvl w:val="1"/>
          <w:numId w:val="74"/>
        </w:numPr>
        <w:rPr>
          <w:rFonts w:ascii="Arial" w:cs="Arial" w:eastAsia="Arial" w:hAnsi="Arial"/>
          <w:sz w:val="18"/>
          <w:szCs w:val="18"/>
          <w:color w:val="auto"/>
        </w:rPr>
      </w:pPr>
      <w:r>
        <w:rPr>
          <w:rFonts w:ascii="Arial" w:cs="Arial" w:eastAsia="Arial" w:hAnsi="Arial"/>
          <w:sz w:val="16"/>
          <w:szCs w:val="16"/>
          <w:color w:val="auto"/>
        </w:rPr>
        <w:t>two facilities of €80 million each that mature on May 16, 2017;</w:t>
      </w:r>
    </w:p>
    <w:p>
      <w:pPr>
        <w:spacing w:after="0" w:line="9" w:lineRule="exact"/>
        <w:rPr>
          <w:rFonts w:ascii="Arial" w:cs="Arial" w:eastAsia="Arial" w:hAnsi="Arial"/>
          <w:sz w:val="18"/>
          <w:szCs w:val="18"/>
          <w:color w:val="auto"/>
        </w:rPr>
      </w:pPr>
    </w:p>
    <w:p>
      <w:pPr>
        <w:ind w:left="425" w:hanging="88"/>
        <w:spacing w:after="0"/>
        <w:tabs>
          <w:tab w:leader="none" w:pos="425" w:val="left"/>
        </w:tabs>
        <w:numPr>
          <w:ilvl w:val="1"/>
          <w:numId w:val="74"/>
        </w:numPr>
        <w:rPr>
          <w:rFonts w:ascii="Arial" w:cs="Arial" w:eastAsia="Arial" w:hAnsi="Arial"/>
          <w:sz w:val="18"/>
          <w:szCs w:val="18"/>
          <w:color w:val="auto"/>
        </w:rPr>
      </w:pPr>
      <w:r>
        <w:rPr>
          <w:rFonts w:ascii="Arial" w:cs="Arial" w:eastAsia="Arial" w:hAnsi="Arial"/>
          <w:sz w:val="16"/>
          <w:szCs w:val="16"/>
          <w:color w:val="auto"/>
        </w:rPr>
        <w:t>a €80 million facility that matures on June 10, 2017;</w:t>
      </w:r>
    </w:p>
    <w:p>
      <w:pPr>
        <w:spacing w:after="0" w:line="9" w:lineRule="exact"/>
        <w:rPr>
          <w:rFonts w:ascii="Arial" w:cs="Arial" w:eastAsia="Arial" w:hAnsi="Arial"/>
          <w:sz w:val="18"/>
          <w:szCs w:val="18"/>
          <w:color w:val="auto"/>
        </w:rPr>
      </w:pPr>
    </w:p>
    <w:p>
      <w:pPr>
        <w:ind w:left="425" w:hanging="88"/>
        <w:spacing w:after="0"/>
        <w:tabs>
          <w:tab w:leader="none" w:pos="425" w:val="left"/>
        </w:tabs>
        <w:numPr>
          <w:ilvl w:val="1"/>
          <w:numId w:val="74"/>
        </w:numPr>
        <w:rPr>
          <w:rFonts w:ascii="Arial" w:cs="Arial" w:eastAsia="Arial" w:hAnsi="Arial"/>
          <w:sz w:val="18"/>
          <w:szCs w:val="18"/>
          <w:color w:val="auto"/>
        </w:rPr>
      </w:pPr>
      <w:r>
        <w:rPr>
          <w:rFonts w:ascii="Arial" w:cs="Arial" w:eastAsia="Arial" w:hAnsi="Arial"/>
          <w:sz w:val="16"/>
          <w:szCs w:val="16"/>
          <w:color w:val="auto"/>
        </w:rPr>
        <w:t>a €100 million facility that matures on May 16, 2019.</w:t>
      </w:r>
    </w:p>
    <w:p>
      <w:pPr>
        <w:sectPr>
          <w:pgSz w:w="11900" w:h="16838" w:orient="portrait"/>
          <w:cols w:equalWidth="0" w:num="1">
            <w:col w:w="11425"/>
          </w:cols>
          <w:pgMar w:left="235" w:top="688" w:right="239" w:bottom="1440" w:gutter="0" w:footer="0" w:header="0"/>
        </w:sectPr>
      </w:pPr>
    </w:p>
    <w:bookmarkStart w:id="171" w:name="page172"/>
    <w:bookmarkEnd w:id="171"/>
    <w:p>
      <w:pPr>
        <w:spacing w:after="0"/>
        <w:rPr>
          <w:sz w:val="20"/>
          <w:szCs w:val="20"/>
          <w:color w:val="auto"/>
        </w:rPr>
      </w:pPr>
      <w:r>
        <w:rPr>
          <w:rFonts w:ascii="Arial" w:cs="Arial" w:eastAsia="Arial" w:hAnsi="Arial"/>
          <w:sz w:val="16"/>
          <w:szCs w:val="16"/>
          <w:color w:val="231F20"/>
        </w:rPr>
        <w:t>On September 3, 2014, Technip cancelled before its expiry date a €80 million bilateral facility. This facility was unused.</w:t>
      </w:r>
    </w:p>
    <w:p>
      <w:pPr>
        <w:spacing w:after="0" w:line="113" w:lineRule="exact"/>
        <w:rPr>
          <w:sz w:val="20"/>
          <w:szCs w:val="20"/>
          <w:color w:val="auto"/>
        </w:rPr>
      </w:pPr>
    </w:p>
    <w:p>
      <w:pPr>
        <w:ind w:left="240" w:right="20" w:hanging="232"/>
        <w:spacing w:after="0" w:line="260" w:lineRule="auto"/>
        <w:tabs>
          <w:tab w:leader="none" w:pos="240" w:val="left"/>
        </w:tabs>
        <w:numPr>
          <w:ilvl w:val="0"/>
          <w:numId w:val="75"/>
        </w:numPr>
        <w:rPr>
          <w:rFonts w:ascii="Arial" w:cs="Arial" w:eastAsia="Arial" w:hAnsi="Arial"/>
          <w:sz w:val="16"/>
          <w:szCs w:val="16"/>
          <w:color w:val="231F20"/>
        </w:rPr>
      </w:pPr>
      <w:r>
        <w:rPr>
          <w:rFonts w:ascii="Arial" w:cs="Arial" w:eastAsia="Arial" w:hAnsi="Arial"/>
          <w:sz w:val="16"/>
          <w:szCs w:val="16"/>
          <w:color w:val="231F20"/>
        </w:rPr>
        <w:t>An unutilized credit facility amounting to €7.5 million was granted to a Technip subsidiary. This credit agreement includes a floating interest rate in the event that it is utilized as well as standard default provisions.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of December 31, 2014, the credit facilities confirmed and available to the Group amounted to €1,374.1 million, of which €1,340.0 million is available after December 31, 2015. Out of this total of €1,374.1 million, €34.1 million is reserved for the financing of certain assets or for certain subsidiaries, such as €26.6 million related to the financing of the Açuflex plant.</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 xml:space="preserve">In 2014, Technip issued again on the commercial paper market in light of favourable market conditions. As of December 31, 2014, the outstanding commercial paper amounted to €156 million. The Group has an authorization from the </w:t>
      </w:r>
      <w:r>
        <w:rPr>
          <w:rFonts w:ascii="Arial" w:cs="Arial" w:eastAsia="Arial" w:hAnsi="Arial"/>
          <w:sz w:val="16"/>
          <w:szCs w:val="16"/>
          <w:i w:val="1"/>
          <w:iCs w:val="1"/>
          <w:color w:val="231F20"/>
        </w:rPr>
        <w:t>Banque de France</w:t>
      </w:r>
      <w:r>
        <w:rPr>
          <w:rFonts w:ascii="Arial" w:cs="Arial" w:eastAsia="Arial" w:hAnsi="Arial"/>
          <w:sz w:val="16"/>
          <w:szCs w:val="16"/>
          <w:color w:val="231F20"/>
        </w:rPr>
        <w:t xml:space="preserve"> for a maximum amount of €1 billion.</w:t>
      </w:r>
    </w:p>
    <w:p>
      <w:pPr>
        <w:spacing w:after="0" w:line="8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As of December 31, 2014, debt falling due in 2015 and 2016 amounted to €986.7 million including €20.1 million of accrued interest and fees and €966.6 million of principal.</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Schedule of contractual outstanding cash flows related to financial liabilities</w:t>
      </w:r>
    </w:p>
    <w:p>
      <w:pPr>
        <w:spacing w:after="0" w:line="138" w:lineRule="exact"/>
        <w:rPr>
          <w:sz w:val="20"/>
          <w:szCs w:val="20"/>
          <w:color w:val="auto"/>
        </w:rPr>
      </w:pPr>
    </w:p>
    <w:tbl>
      <w:tblPr>
        <w:tblLayout w:type="fixed"/>
        <w:tblInd w:w="430" w:type="dxa"/>
        <w:tblCellMar>
          <w:top w:w="0" w:type="dxa"/>
          <w:left w:w="0" w:type="dxa"/>
          <w:bottom w:w="0" w:type="dxa"/>
          <w:right w:w="0" w:type="dxa"/>
        </w:tblCellMar>
      </w:tblPr>
      <w:tr>
        <w:trPr>
          <w:trHeight w:val="223"/>
        </w:trPr>
        <w:tc>
          <w:tcPr>
            <w:tcW w:w="5420" w:type="dxa"/>
            <w:vAlign w:val="bottom"/>
            <w:tcBorders>
              <w:top w:val="single" w:sz="8" w:color="2360A6"/>
              <w:left w:val="single" w:sz="8" w:color="2360A6"/>
              <w:right w:val="single" w:sz="8" w:color="2360A6"/>
            </w:tcBorders>
          </w:tcPr>
          <w:p>
            <w:pPr>
              <w:spacing w:after="0"/>
              <w:rPr>
                <w:sz w:val="19"/>
                <w:szCs w:val="19"/>
                <w:color w:val="auto"/>
              </w:rPr>
            </w:pPr>
          </w:p>
        </w:tc>
        <w:tc>
          <w:tcPr>
            <w:tcW w:w="108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2480" w:type="dxa"/>
            <w:vAlign w:val="bottom"/>
            <w:tcBorders>
              <w:top w:val="single" w:sz="8" w:color="2360A6"/>
              <w:bottom w:val="single" w:sz="8" w:color="2360A6"/>
            </w:tcBorders>
            <w:gridSpan w:val="3"/>
            <w:shd w:val="clear" w:color="auto" w:fill="2360A6"/>
          </w:tcPr>
          <w:p>
            <w:pPr>
              <w:ind w:left="680"/>
              <w:spacing w:after="0"/>
              <w:rPr>
                <w:sz w:val="20"/>
                <w:szCs w:val="20"/>
                <w:color w:val="auto"/>
              </w:rPr>
            </w:pPr>
            <w:r>
              <w:rPr>
                <w:rFonts w:ascii="Arial" w:cs="Arial" w:eastAsia="Arial" w:hAnsi="Arial"/>
                <w:sz w:val="14"/>
                <w:szCs w:val="14"/>
                <w:b w:val="1"/>
                <w:bCs w:val="1"/>
                <w:color w:val="FFFFFF"/>
              </w:rPr>
              <w:t>As of December 31, 2016</w:t>
            </w:r>
          </w:p>
        </w:tc>
        <w:tc>
          <w:tcPr>
            <w:tcW w:w="72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92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r>
      <w:tr>
        <w:trPr>
          <w:trHeight w:val="176"/>
        </w:trPr>
        <w:tc>
          <w:tcPr>
            <w:tcW w:w="5420" w:type="dxa"/>
            <w:vAlign w:val="bottom"/>
            <w:tcBorders>
              <w:left w:val="single" w:sz="8" w:color="2360A6"/>
              <w:right w:val="single" w:sz="8" w:color="2360A6"/>
            </w:tcBorders>
          </w:tcPr>
          <w:p>
            <w:pPr>
              <w:spacing w:after="0"/>
              <w:rPr>
                <w:sz w:val="15"/>
                <w:szCs w:val="15"/>
                <w:color w:val="auto"/>
              </w:rPr>
            </w:pPr>
          </w:p>
        </w:tc>
        <w:tc>
          <w:tcPr>
            <w:tcW w:w="1080" w:type="dxa"/>
            <w:vAlign w:val="bottom"/>
            <w:tcBorders>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Less than</w:t>
            </w:r>
          </w:p>
        </w:tc>
        <w:tc>
          <w:tcPr>
            <w:tcW w:w="1180" w:type="dxa"/>
            <w:vAlign w:val="bottom"/>
            <w:tcBorders>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Between 1 and</w:t>
            </w:r>
          </w:p>
        </w:tc>
        <w:tc>
          <w:tcPr>
            <w:tcW w:w="1160" w:type="dxa"/>
            <w:vAlign w:val="bottom"/>
            <w:tcBorders>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Between 2 and</w:t>
            </w:r>
          </w:p>
        </w:tc>
        <w:tc>
          <w:tcPr>
            <w:tcW w:w="140" w:type="dxa"/>
            <w:vAlign w:val="bottom"/>
            <w:shd w:val="clear" w:color="auto" w:fill="EDEDEE"/>
          </w:tcPr>
          <w:p>
            <w:pPr>
              <w:spacing w:after="0"/>
              <w:rPr>
                <w:sz w:val="15"/>
                <w:szCs w:val="15"/>
                <w:color w:val="auto"/>
              </w:rPr>
            </w:pPr>
          </w:p>
        </w:tc>
        <w:tc>
          <w:tcPr>
            <w:tcW w:w="720" w:type="dxa"/>
            <w:vAlign w:val="bottom"/>
            <w:tcBorders>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Over</w:t>
            </w:r>
          </w:p>
        </w:tc>
        <w:tc>
          <w:tcPr>
            <w:tcW w:w="920" w:type="dxa"/>
            <w:vAlign w:val="bottom"/>
            <w:tcBorders>
              <w:right w:val="single" w:sz="8" w:color="2360A6"/>
            </w:tcBorders>
            <w:shd w:val="clear" w:color="auto" w:fill="EDEDEE"/>
          </w:tcPr>
          <w:p>
            <w:pPr>
              <w:spacing w:after="0"/>
              <w:rPr>
                <w:sz w:val="15"/>
                <w:szCs w:val="15"/>
                <w:color w:val="auto"/>
              </w:rPr>
            </w:pPr>
          </w:p>
        </w:tc>
      </w:tr>
      <w:tr>
        <w:trPr>
          <w:trHeight w:val="196"/>
        </w:trPr>
        <w:tc>
          <w:tcPr>
            <w:tcW w:w="54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10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1 year</w:t>
            </w:r>
          </w:p>
        </w:tc>
        <w:tc>
          <w:tcPr>
            <w:tcW w:w="11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2360A6"/>
              </w:rPr>
              <w:t>2 years</w:t>
            </w: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5 years</w:t>
            </w:r>
          </w:p>
        </w:tc>
        <w:tc>
          <w:tcPr>
            <w:tcW w:w="140" w:type="dxa"/>
            <w:vAlign w:val="bottom"/>
            <w:tcBorders>
              <w:bottom w:val="single" w:sz="8" w:color="2360A6"/>
            </w:tcBorders>
            <w:shd w:val="clear" w:color="auto" w:fill="EDEDEE"/>
          </w:tcPr>
          <w:p>
            <w:pPr>
              <w:spacing w:after="0"/>
              <w:rPr>
                <w:sz w:val="17"/>
                <w:szCs w:val="17"/>
                <w:color w:val="auto"/>
              </w:rPr>
            </w:pPr>
          </w:p>
        </w:tc>
        <w:tc>
          <w:tcPr>
            <w:tcW w:w="7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5 years</w:t>
            </w:r>
          </w:p>
        </w:tc>
        <w:tc>
          <w:tcPr>
            <w:tcW w:w="9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b w:val="1"/>
                <w:bCs w:val="1"/>
                <w:color w:val="2360A6"/>
              </w:rPr>
              <w:t>Total</w:t>
            </w:r>
          </w:p>
        </w:tc>
      </w:tr>
      <w:tr>
        <w:trPr>
          <w:trHeight w:val="210"/>
        </w:trPr>
        <w:tc>
          <w:tcPr>
            <w:tcW w:w="54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Synthetic Bonds</w:t>
            </w:r>
          </w:p>
        </w:tc>
        <w:tc>
          <w:tcPr>
            <w:tcW w:w="10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450.0</w:t>
            </w:r>
          </w:p>
        </w:tc>
        <w:tc>
          <w:tcPr>
            <w:tcW w:w="140" w:type="dxa"/>
            <w:vAlign w:val="bottom"/>
            <w:tcBorders>
              <w:bottom w:val="single" w:sz="8" w:color="2360A6"/>
            </w:tcBorders>
            <w:shd w:val="clear" w:color="auto" w:fill="EDEDEE"/>
          </w:tcPr>
          <w:p>
            <w:pPr>
              <w:spacing w:after="0"/>
              <w:rPr>
                <w:sz w:val="18"/>
                <w:szCs w:val="18"/>
                <w:color w:val="auto"/>
              </w:rPr>
            </w:pPr>
          </w:p>
        </w:tc>
        <w:tc>
          <w:tcPr>
            <w:tcW w:w="7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450.0</w:t>
            </w:r>
          </w:p>
        </w:tc>
      </w:tr>
      <w:tr>
        <w:trPr>
          <w:trHeight w:val="210"/>
        </w:trPr>
        <w:tc>
          <w:tcPr>
            <w:tcW w:w="54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Private Placements</w:t>
            </w:r>
          </w:p>
        </w:tc>
        <w:tc>
          <w:tcPr>
            <w:tcW w:w="10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200.0</w:t>
            </w:r>
          </w:p>
        </w:tc>
        <w:tc>
          <w:tcPr>
            <w:tcW w:w="140" w:type="dxa"/>
            <w:vAlign w:val="bottom"/>
            <w:tcBorders>
              <w:bottom w:val="single" w:sz="8" w:color="2360A6"/>
            </w:tcBorders>
            <w:shd w:val="clear" w:color="auto" w:fill="EDEDEE"/>
          </w:tcPr>
          <w:p>
            <w:pPr>
              <w:spacing w:after="0"/>
              <w:rPr>
                <w:sz w:val="18"/>
                <w:szCs w:val="18"/>
                <w:color w:val="auto"/>
              </w:rPr>
            </w:pPr>
          </w:p>
        </w:tc>
        <w:tc>
          <w:tcPr>
            <w:tcW w:w="7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680.0</w:t>
            </w:r>
          </w:p>
        </w:tc>
        <w:tc>
          <w:tcPr>
            <w:tcW w:w="9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880.0</w:t>
            </w:r>
          </w:p>
        </w:tc>
      </w:tr>
      <w:tr>
        <w:trPr>
          <w:trHeight w:val="210"/>
        </w:trPr>
        <w:tc>
          <w:tcPr>
            <w:tcW w:w="54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Bank Borrowings</w:t>
            </w:r>
          </w:p>
        </w:tc>
        <w:tc>
          <w:tcPr>
            <w:tcW w:w="10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41.9</w:t>
            </w: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128.0</w:t>
            </w:r>
          </w:p>
        </w:tc>
        <w:tc>
          <w:tcPr>
            <w:tcW w:w="140" w:type="dxa"/>
            <w:vAlign w:val="bottom"/>
            <w:tcBorders>
              <w:bottom w:val="single" w:sz="8" w:color="2360A6"/>
            </w:tcBorders>
            <w:shd w:val="clear" w:color="auto" w:fill="EDEDEE"/>
          </w:tcPr>
          <w:p>
            <w:pPr>
              <w:spacing w:after="0"/>
              <w:rPr>
                <w:sz w:val="18"/>
                <w:szCs w:val="18"/>
                <w:color w:val="auto"/>
              </w:rPr>
            </w:pPr>
          </w:p>
        </w:tc>
        <w:tc>
          <w:tcPr>
            <w:tcW w:w="7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127.4</w:t>
            </w:r>
          </w:p>
        </w:tc>
        <w:tc>
          <w:tcPr>
            <w:tcW w:w="9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297.3</w:t>
            </w:r>
          </w:p>
        </w:tc>
      </w:tr>
      <w:tr>
        <w:trPr>
          <w:trHeight w:val="210"/>
        </w:trPr>
        <w:tc>
          <w:tcPr>
            <w:tcW w:w="54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Accrued Interest Payables on Bond Loans</w:t>
            </w:r>
          </w:p>
        </w:tc>
        <w:tc>
          <w:tcPr>
            <w:tcW w:w="10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3.9</w:t>
            </w: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8.3</w:t>
            </w:r>
          </w:p>
        </w:tc>
        <w:tc>
          <w:tcPr>
            <w:tcW w:w="140" w:type="dxa"/>
            <w:vAlign w:val="bottom"/>
            <w:tcBorders>
              <w:bottom w:val="single" w:sz="8" w:color="2360A6"/>
            </w:tcBorders>
            <w:shd w:val="clear" w:color="auto" w:fill="EDEDEE"/>
          </w:tcPr>
          <w:p>
            <w:pPr>
              <w:spacing w:after="0"/>
              <w:rPr>
                <w:sz w:val="18"/>
                <w:szCs w:val="18"/>
                <w:color w:val="auto"/>
              </w:rPr>
            </w:pPr>
          </w:p>
        </w:tc>
        <w:tc>
          <w:tcPr>
            <w:tcW w:w="7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12.2</w:t>
            </w:r>
          </w:p>
        </w:tc>
      </w:tr>
      <w:tr>
        <w:trPr>
          <w:trHeight w:val="210"/>
        </w:trPr>
        <w:tc>
          <w:tcPr>
            <w:tcW w:w="54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Accrued Interest Payables</w:t>
            </w:r>
          </w:p>
        </w:tc>
        <w:tc>
          <w:tcPr>
            <w:tcW w:w="10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48.0</w:t>
            </w: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116.9</w:t>
            </w:r>
          </w:p>
        </w:tc>
        <w:tc>
          <w:tcPr>
            <w:tcW w:w="140" w:type="dxa"/>
            <w:vAlign w:val="bottom"/>
            <w:tcBorders>
              <w:bottom w:val="single" w:sz="8" w:color="2360A6"/>
            </w:tcBorders>
            <w:shd w:val="clear" w:color="auto" w:fill="EDEDEE"/>
          </w:tcPr>
          <w:p>
            <w:pPr>
              <w:spacing w:after="0"/>
              <w:rPr>
                <w:sz w:val="18"/>
                <w:szCs w:val="18"/>
                <w:color w:val="auto"/>
              </w:rPr>
            </w:pPr>
          </w:p>
        </w:tc>
        <w:tc>
          <w:tcPr>
            <w:tcW w:w="7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116.5</w:t>
            </w:r>
          </w:p>
        </w:tc>
        <w:tc>
          <w:tcPr>
            <w:tcW w:w="9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281.4</w:t>
            </w:r>
          </w:p>
        </w:tc>
      </w:tr>
      <w:tr>
        <w:trPr>
          <w:trHeight w:val="210"/>
        </w:trPr>
        <w:tc>
          <w:tcPr>
            <w:tcW w:w="5420" w:type="dxa"/>
            <w:vAlign w:val="bottom"/>
            <w:tcBorders>
              <w:left w:val="single" w:sz="8" w:color="2360A6"/>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NON-CURRENT FINANCIAL LIABILITIES</w:t>
            </w:r>
          </w:p>
        </w:tc>
        <w:tc>
          <w:tcPr>
            <w:tcW w:w="10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w:t>
            </w:r>
          </w:p>
        </w:tc>
        <w:tc>
          <w:tcPr>
            <w:tcW w:w="11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93.8</w:t>
            </w:r>
          </w:p>
        </w:tc>
        <w:tc>
          <w:tcPr>
            <w:tcW w:w="11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903.2</w:t>
            </w:r>
          </w:p>
        </w:tc>
        <w:tc>
          <w:tcPr>
            <w:tcW w:w="140" w:type="dxa"/>
            <w:vAlign w:val="bottom"/>
            <w:tcBorders>
              <w:bottom w:val="single" w:sz="8" w:color="2360A6"/>
            </w:tcBorders>
            <w:shd w:val="clear" w:color="auto" w:fill="D2DEEC"/>
          </w:tcPr>
          <w:p>
            <w:pPr>
              <w:spacing w:after="0"/>
              <w:rPr>
                <w:sz w:val="18"/>
                <w:szCs w:val="18"/>
                <w:color w:val="auto"/>
              </w:rPr>
            </w:pPr>
          </w:p>
        </w:tc>
        <w:tc>
          <w:tcPr>
            <w:tcW w:w="72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927.9</w:t>
            </w:r>
          </w:p>
        </w:tc>
        <w:tc>
          <w:tcPr>
            <w:tcW w:w="92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1,920.9</w:t>
            </w:r>
          </w:p>
        </w:tc>
      </w:tr>
      <w:tr>
        <w:trPr>
          <w:trHeight w:val="210"/>
        </w:trPr>
        <w:tc>
          <w:tcPr>
            <w:tcW w:w="54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Convertible Bond</w:t>
            </w:r>
          </w:p>
        </w:tc>
        <w:tc>
          <w:tcPr>
            <w:tcW w:w="10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497.6</w:t>
            </w:r>
          </w:p>
        </w:tc>
        <w:tc>
          <w:tcPr>
            <w:tcW w:w="11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tcBorders>
            <w:shd w:val="clear" w:color="auto" w:fill="EDEDEE"/>
          </w:tcPr>
          <w:p>
            <w:pPr>
              <w:spacing w:after="0"/>
              <w:rPr>
                <w:sz w:val="18"/>
                <w:szCs w:val="18"/>
                <w:color w:val="auto"/>
              </w:rPr>
            </w:pPr>
          </w:p>
        </w:tc>
        <w:tc>
          <w:tcPr>
            <w:tcW w:w="7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497.6</w:t>
            </w:r>
          </w:p>
        </w:tc>
      </w:tr>
      <w:tr>
        <w:trPr>
          <w:trHeight w:val="210"/>
        </w:trPr>
        <w:tc>
          <w:tcPr>
            <w:tcW w:w="54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Commercial Papers</w:t>
            </w:r>
          </w:p>
        </w:tc>
        <w:tc>
          <w:tcPr>
            <w:tcW w:w="10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200.0</w:t>
            </w:r>
          </w:p>
        </w:tc>
        <w:tc>
          <w:tcPr>
            <w:tcW w:w="11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tcBorders>
            <w:shd w:val="clear" w:color="auto" w:fill="EDEDEE"/>
          </w:tcPr>
          <w:p>
            <w:pPr>
              <w:spacing w:after="0"/>
              <w:rPr>
                <w:sz w:val="18"/>
                <w:szCs w:val="18"/>
                <w:color w:val="auto"/>
              </w:rPr>
            </w:pPr>
          </w:p>
        </w:tc>
        <w:tc>
          <w:tcPr>
            <w:tcW w:w="7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200.0</w:t>
            </w:r>
          </w:p>
        </w:tc>
      </w:tr>
      <w:tr>
        <w:trPr>
          <w:trHeight w:val="210"/>
        </w:trPr>
        <w:tc>
          <w:tcPr>
            <w:tcW w:w="54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Bank Overdrafts</w:t>
            </w:r>
          </w:p>
        </w:tc>
        <w:tc>
          <w:tcPr>
            <w:tcW w:w="10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0.1</w:t>
            </w:r>
          </w:p>
        </w:tc>
        <w:tc>
          <w:tcPr>
            <w:tcW w:w="11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tcBorders>
            <w:shd w:val="clear" w:color="auto" w:fill="EDEDEE"/>
          </w:tcPr>
          <w:p>
            <w:pPr>
              <w:spacing w:after="0"/>
              <w:rPr>
                <w:sz w:val="18"/>
                <w:szCs w:val="18"/>
                <w:color w:val="auto"/>
              </w:rPr>
            </w:pPr>
          </w:p>
        </w:tc>
        <w:tc>
          <w:tcPr>
            <w:tcW w:w="7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0.1</w:t>
            </w:r>
          </w:p>
        </w:tc>
      </w:tr>
      <w:tr>
        <w:trPr>
          <w:trHeight w:val="210"/>
        </w:trPr>
        <w:tc>
          <w:tcPr>
            <w:tcW w:w="54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Accrued Interest Payables on Bond Loans</w:t>
            </w:r>
          </w:p>
        </w:tc>
        <w:tc>
          <w:tcPr>
            <w:tcW w:w="10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5.1</w:t>
            </w:r>
          </w:p>
        </w:tc>
        <w:tc>
          <w:tcPr>
            <w:tcW w:w="11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tcBorders>
            <w:shd w:val="clear" w:color="auto" w:fill="EDEDEE"/>
          </w:tcPr>
          <w:p>
            <w:pPr>
              <w:spacing w:after="0"/>
              <w:rPr>
                <w:sz w:val="18"/>
                <w:szCs w:val="18"/>
                <w:color w:val="auto"/>
              </w:rPr>
            </w:pPr>
          </w:p>
        </w:tc>
        <w:tc>
          <w:tcPr>
            <w:tcW w:w="7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5.1</w:t>
            </w:r>
          </w:p>
        </w:tc>
      </w:tr>
      <w:tr>
        <w:trPr>
          <w:trHeight w:val="210"/>
        </w:trPr>
        <w:tc>
          <w:tcPr>
            <w:tcW w:w="54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Accrued Interest Payables</w:t>
            </w:r>
          </w:p>
        </w:tc>
        <w:tc>
          <w:tcPr>
            <w:tcW w:w="10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57.6</w:t>
            </w:r>
          </w:p>
        </w:tc>
        <w:tc>
          <w:tcPr>
            <w:tcW w:w="11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tcBorders>
            <w:shd w:val="clear" w:color="auto" w:fill="EDEDEE"/>
          </w:tcPr>
          <w:p>
            <w:pPr>
              <w:spacing w:after="0"/>
              <w:rPr>
                <w:sz w:val="18"/>
                <w:szCs w:val="18"/>
                <w:color w:val="auto"/>
              </w:rPr>
            </w:pPr>
          </w:p>
        </w:tc>
        <w:tc>
          <w:tcPr>
            <w:tcW w:w="7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57.6</w:t>
            </w:r>
          </w:p>
        </w:tc>
      </w:tr>
      <w:tr>
        <w:trPr>
          <w:trHeight w:val="210"/>
        </w:trPr>
        <w:tc>
          <w:tcPr>
            <w:tcW w:w="54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Bank Borrowings</w:t>
            </w:r>
          </w:p>
        </w:tc>
        <w:tc>
          <w:tcPr>
            <w:tcW w:w="10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131.5</w:t>
            </w:r>
          </w:p>
        </w:tc>
        <w:tc>
          <w:tcPr>
            <w:tcW w:w="11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w:t>
            </w: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140" w:type="dxa"/>
            <w:vAlign w:val="bottom"/>
            <w:tcBorders>
              <w:bottom w:val="single" w:sz="8" w:color="2360A6"/>
            </w:tcBorders>
            <w:shd w:val="clear" w:color="auto" w:fill="EDEDEE"/>
          </w:tcPr>
          <w:p>
            <w:pPr>
              <w:spacing w:after="0"/>
              <w:rPr>
                <w:sz w:val="18"/>
                <w:szCs w:val="18"/>
                <w:color w:val="auto"/>
              </w:rPr>
            </w:pPr>
          </w:p>
        </w:tc>
        <w:tc>
          <w:tcPr>
            <w:tcW w:w="7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131.5</w:t>
            </w:r>
          </w:p>
        </w:tc>
      </w:tr>
      <w:tr>
        <w:trPr>
          <w:trHeight w:val="210"/>
        </w:trPr>
        <w:tc>
          <w:tcPr>
            <w:tcW w:w="542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Instruments</w:t>
            </w:r>
          </w:p>
        </w:tc>
        <w:tc>
          <w:tcPr>
            <w:tcW w:w="10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211.4</w:t>
            </w:r>
          </w:p>
        </w:tc>
        <w:tc>
          <w:tcPr>
            <w:tcW w:w="118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109.2</w:t>
            </w:r>
          </w:p>
        </w:tc>
        <w:tc>
          <w:tcPr>
            <w:tcW w:w="116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236.0</w:t>
            </w:r>
          </w:p>
        </w:tc>
        <w:tc>
          <w:tcPr>
            <w:tcW w:w="140" w:type="dxa"/>
            <w:vAlign w:val="bottom"/>
            <w:tcBorders>
              <w:bottom w:val="single" w:sz="8" w:color="2360A6"/>
            </w:tcBorders>
            <w:shd w:val="clear" w:color="auto" w:fill="EDEDEE"/>
          </w:tcPr>
          <w:p>
            <w:pPr>
              <w:spacing w:after="0"/>
              <w:rPr>
                <w:sz w:val="18"/>
                <w:szCs w:val="18"/>
                <w:color w:val="auto"/>
              </w:rPr>
            </w:pPr>
          </w:p>
        </w:tc>
        <w:tc>
          <w:tcPr>
            <w:tcW w:w="7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w:t>
            </w:r>
          </w:p>
        </w:tc>
        <w:tc>
          <w:tcPr>
            <w:tcW w:w="920" w:type="dxa"/>
            <w:vAlign w:val="bottom"/>
            <w:tcBorders>
              <w:bottom w:val="single" w:sz="8" w:color="2360A6"/>
              <w:right w:val="single" w:sz="8" w:color="2360A6"/>
            </w:tcBorders>
            <w:shd w:val="clear" w:color="auto" w:fill="EDEDEE"/>
          </w:tcPr>
          <w:p>
            <w:pPr>
              <w:jc w:val="right"/>
              <w:ind w:right="48"/>
              <w:spacing w:after="0"/>
              <w:rPr>
                <w:sz w:val="20"/>
                <w:szCs w:val="20"/>
                <w:color w:val="auto"/>
              </w:rPr>
            </w:pPr>
            <w:r>
              <w:rPr>
                <w:rFonts w:ascii="Arial" w:cs="Arial" w:eastAsia="Arial" w:hAnsi="Arial"/>
                <w:sz w:val="14"/>
                <w:szCs w:val="14"/>
                <w:color w:val="231F20"/>
              </w:rPr>
              <w:t>556.6</w:t>
            </w:r>
          </w:p>
        </w:tc>
      </w:tr>
      <w:tr>
        <w:trPr>
          <w:trHeight w:val="210"/>
        </w:trPr>
        <w:tc>
          <w:tcPr>
            <w:tcW w:w="5420" w:type="dxa"/>
            <w:vAlign w:val="bottom"/>
            <w:tcBorders>
              <w:left w:val="single" w:sz="8" w:color="2360A6"/>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CURRENT FINANCIAL LIABILITIES</w:t>
            </w:r>
          </w:p>
        </w:tc>
        <w:tc>
          <w:tcPr>
            <w:tcW w:w="10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1,103.3</w:t>
            </w:r>
          </w:p>
        </w:tc>
        <w:tc>
          <w:tcPr>
            <w:tcW w:w="11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109.2</w:t>
            </w:r>
          </w:p>
        </w:tc>
        <w:tc>
          <w:tcPr>
            <w:tcW w:w="116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236.0</w:t>
            </w:r>
          </w:p>
        </w:tc>
        <w:tc>
          <w:tcPr>
            <w:tcW w:w="140" w:type="dxa"/>
            <w:vAlign w:val="bottom"/>
            <w:tcBorders>
              <w:bottom w:val="single" w:sz="8" w:color="2360A6"/>
            </w:tcBorders>
            <w:shd w:val="clear" w:color="auto" w:fill="D2DEEC"/>
          </w:tcPr>
          <w:p>
            <w:pPr>
              <w:spacing w:after="0"/>
              <w:rPr>
                <w:sz w:val="18"/>
                <w:szCs w:val="18"/>
                <w:color w:val="auto"/>
              </w:rPr>
            </w:pPr>
          </w:p>
        </w:tc>
        <w:tc>
          <w:tcPr>
            <w:tcW w:w="72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w:t>
            </w:r>
          </w:p>
        </w:tc>
        <w:tc>
          <w:tcPr>
            <w:tcW w:w="92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1,448.5</w:t>
            </w:r>
          </w:p>
        </w:tc>
      </w:tr>
    </w:tbl>
    <w:p>
      <w:pPr>
        <w:sectPr>
          <w:pgSz w:w="11900" w:h="16838" w:orient="portrait"/>
          <w:cols w:equalWidth="0" w:num="1">
            <w:col w:w="11420"/>
          </w:cols>
          <w:pgMar w:left="240" w:top="709" w:right="239" w:bottom="1440" w:gutter="0" w:footer="0" w:header="0"/>
        </w:sectPr>
      </w:pPr>
    </w:p>
    <w:bookmarkStart w:id="172" w:name="page173"/>
    <w:bookmarkEnd w:id="172"/>
    <w:p>
      <w:pPr>
        <w:ind w:right="20"/>
        <w:spacing w:after="0" w:line="260" w:lineRule="auto"/>
        <w:rPr>
          <w:sz w:val="20"/>
          <w:szCs w:val="20"/>
          <w:color w:val="auto"/>
        </w:rPr>
      </w:pPr>
      <w:r>
        <w:rPr>
          <w:rFonts w:ascii="Arial" w:cs="Arial" w:eastAsia="Arial" w:hAnsi="Arial"/>
          <w:sz w:val="16"/>
          <w:szCs w:val="16"/>
          <w:color w:val="231F20"/>
        </w:rPr>
        <w:t>Payment due dates related to debts include projected interest payments, even if they are not accrued on the closing date. Floating rates used to calculate projected interest payments are the rates in force as of December 31, 2016.</w:t>
      </w:r>
    </w:p>
    <w:p>
      <w:pPr>
        <w:spacing w:after="0" w:line="93" w:lineRule="exact"/>
        <w:rPr>
          <w:sz w:val="20"/>
          <w:szCs w:val="20"/>
          <w:color w:val="auto"/>
        </w:rPr>
      </w:pPr>
    </w:p>
    <w:tbl>
      <w:tblPr>
        <w:tblLayout w:type="fixed"/>
        <w:tblInd w:w="350" w:type="dxa"/>
        <w:tblCellMar>
          <w:top w:w="0" w:type="dxa"/>
          <w:left w:w="0" w:type="dxa"/>
          <w:bottom w:w="0" w:type="dxa"/>
          <w:right w:w="0" w:type="dxa"/>
        </w:tblCellMar>
      </w:tblPr>
      <w:tr>
        <w:trPr>
          <w:trHeight w:val="224"/>
        </w:trPr>
        <w:tc>
          <w:tcPr>
            <w:tcW w:w="5540" w:type="dxa"/>
            <w:vAlign w:val="bottom"/>
            <w:tcBorders>
              <w:top w:val="single" w:sz="8" w:color="2360A6"/>
              <w:left w:val="single" w:sz="8" w:color="2360A6"/>
              <w:right w:val="single" w:sz="8" w:color="2360A6"/>
            </w:tcBorders>
          </w:tcPr>
          <w:p>
            <w:pPr>
              <w:spacing w:after="0"/>
              <w:rPr>
                <w:sz w:val="19"/>
                <w:szCs w:val="19"/>
                <w:color w:val="auto"/>
              </w:rPr>
            </w:pPr>
          </w:p>
        </w:tc>
        <w:tc>
          <w:tcPr>
            <w:tcW w:w="1060" w:type="dxa"/>
            <w:vAlign w:val="bottom"/>
            <w:tcBorders>
              <w:top w:val="single" w:sz="8" w:color="2360A6"/>
              <w:bottom w:val="single" w:sz="8" w:color="2360A6"/>
            </w:tcBorders>
          </w:tcPr>
          <w:p>
            <w:pPr>
              <w:spacing w:after="0"/>
              <w:rPr>
                <w:sz w:val="19"/>
                <w:szCs w:val="19"/>
                <w:color w:val="auto"/>
              </w:rPr>
            </w:pPr>
          </w:p>
        </w:tc>
        <w:tc>
          <w:tcPr>
            <w:tcW w:w="2360" w:type="dxa"/>
            <w:vAlign w:val="bottom"/>
            <w:tcBorders>
              <w:top w:val="single" w:sz="8" w:color="2360A6"/>
              <w:bottom w:val="single" w:sz="8" w:color="2360A6"/>
            </w:tcBorders>
            <w:gridSpan w:val="2"/>
          </w:tcPr>
          <w:p>
            <w:pPr>
              <w:jc w:val="right"/>
              <w:spacing w:after="0"/>
              <w:rPr>
                <w:sz w:val="20"/>
                <w:szCs w:val="20"/>
                <w:color w:val="auto"/>
              </w:rPr>
            </w:pPr>
            <w:r>
              <w:rPr>
                <w:rFonts w:ascii="Arial" w:cs="Arial" w:eastAsia="Arial" w:hAnsi="Arial"/>
                <w:sz w:val="14"/>
                <w:szCs w:val="14"/>
                <w:b w:val="1"/>
                <w:bCs w:val="1"/>
                <w:color w:val="2360A6"/>
              </w:rPr>
              <w:t>As of December 31, 2015</w:t>
            </w:r>
          </w:p>
        </w:tc>
        <w:tc>
          <w:tcPr>
            <w:tcW w:w="840" w:type="dxa"/>
            <w:vAlign w:val="bottom"/>
            <w:tcBorders>
              <w:top w:val="single" w:sz="8" w:color="2360A6"/>
              <w:bottom w:val="single" w:sz="8" w:color="2360A6"/>
            </w:tcBorders>
          </w:tcPr>
          <w:p>
            <w:pPr>
              <w:spacing w:after="0"/>
              <w:rPr>
                <w:sz w:val="19"/>
                <w:szCs w:val="19"/>
                <w:color w:val="auto"/>
              </w:rPr>
            </w:pPr>
          </w:p>
        </w:tc>
        <w:tc>
          <w:tcPr>
            <w:tcW w:w="820" w:type="dxa"/>
            <w:vAlign w:val="bottom"/>
            <w:tcBorders>
              <w:top w:val="single" w:sz="8" w:color="2360A6"/>
              <w:bottom w:val="single" w:sz="8" w:color="2360A6"/>
              <w:right w:val="single" w:sz="8" w:color="2360A6"/>
            </w:tcBorders>
          </w:tcPr>
          <w:p>
            <w:pPr>
              <w:spacing w:after="0"/>
              <w:rPr>
                <w:sz w:val="19"/>
                <w:szCs w:val="19"/>
                <w:color w:val="auto"/>
              </w:rPr>
            </w:pPr>
          </w:p>
        </w:tc>
      </w:tr>
      <w:tr>
        <w:trPr>
          <w:trHeight w:val="216"/>
        </w:trPr>
        <w:tc>
          <w:tcPr>
            <w:tcW w:w="5540" w:type="dxa"/>
            <w:vAlign w:val="bottom"/>
            <w:tcBorders>
              <w:left w:val="single" w:sz="8" w:color="2360A6"/>
              <w:right w:val="single" w:sz="8" w:color="2360A6"/>
            </w:tcBorders>
          </w:tcPr>
          <w:p>
            <w:pPr>
              <w:spacing w:after="0"/>
              <w:rPr>
                <w:sz w:val="18"/>
                <w:szCs w:val="18"/>
                <w:color w:val="auto"/>
              </w:rPr>
            </w:pPr>
          </w:p>
        </w:tc>
        <w:tc>
          <w:tcPr>
            <w:tcW w:w="106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Less than</w:t>
            </w:r>
          </w:p>
        </w:tc>
        <w:tc>
          <w:tcPr>
            <w:tcW w:w="11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Between 1 and</w:t>
            </w:r>
          </w:p>
        </w:tc>
        <w:tc>
          <w:tcPr>
            <w:tcW w:w="11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Between 2 and</w:t>
            </w:r>
          </w:p>
        </w:tc>
        <w:tc>
          <w:tcPr>
            <w:tcW w:w="84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Over</w:t>
            </w:r>
          </w:p>
        </w:tc>
        <w:tc>
          <w:tcPr>
            <w:tcW w:w="820" w:type="dxa"/>
            <w:vAlign w:val="bottom"/>
            <w:tcBorders>
              <w:right w:val="single" w:sz="8" w:color="2360A6"/>
            </w:tcBorders>
          </w:tcPr>
          <w:p>
            <w:pPr>
              <w:spacing w:after="0"/>
              <w:rPr>
                <w:sz w:val="18"/>
                <w:szCs w:val="18"/>
                <w:color w:val="auto"/>
              </w:rPr>
            </w:pPr>
          </w:p>
        </w:tc>
      </w:tr>
      <w:tr>
        <w:trPr>
          <w:trHeight w:val="196"/>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1 year</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2 years</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5 years</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5 years</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Total</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Convertible Bonds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497.6</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2.2</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499.8</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Private Placements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200.0</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680.0</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880.0</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Bank Borrowings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92.8</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144.7</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34.8</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272.3</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Accrued Interest Payables on Bond Loans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1.2</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1.2</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Accrued Interest Payables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61.7</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125.2</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155.0</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341.9</w:t>
            </w:r>
          </w:p>
        </w:tc>
      </w:tr>
      <w:tr>
        <w:trPr>
          <w:trHeight w:val="210"/>
        </w:trPr>
        <w:tc>
          <w:tcPr>
            <w:tcW w:w="5540" w:type="dxa"/>
            <w:vAlign w:val="bottom"/>
            <w:tcBorders>
              <w:left w:val="single" w:sz="8" w:color="2360A6"/>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NON-CURRENT FINANCIAL LIABILITIES</w:t>
            </w:r>
          </w:p>
        </w:tc>
        <w:tc>
          <w:tcPr>
            <w:tcW w:w="106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w:t>
            </w:r>
          </w:p>
        </w:tc>
        <w:tc>
          <w:tcPr>
            <w:tcW w:w="11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653.3</w:t>
            </w:r>
          </w:p>
        </w:tc>
        <w:tc>
          <w:tcPr>
            <w:tcW w:w="11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469.9</w:t>
            </w:r>
          </w:p>
        </w:tc>
        <w:tc>
          <w:tcPr>
            <w:tcW w:w="84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872.0</w:t>
            </w:r>
          </w:p>
        </w:tc>
        <w:tc>
          <w:tcPr>
            <w:tcW w:w="82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1,995.2</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Convertible Bond</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550.0</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550.0</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Commercial Papers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200.0</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200.0</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Bank Overdrafts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0.1</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0.1</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Accrued Interest Payables on Bond Loans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4.0</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4.0</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Accrued Interest Payables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64.4</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64.4</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Bank Borrowings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160.4</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160.4</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Instruments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223.7</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auto"/>
              </w:rPr>
              <w:t>69.8</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auto"/>
              </w:rPr>
              <w:t>40.9</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auto"/>
              </w:rPr>
              <w:t>334.4</w:t>
            </w:r>
          </w:p>
        </w:tc>
      </w:tr>
      <w:tr>
        <w:trPr>
          <w:trHeight w:val="210"/>
        </w:trPr>
        <w:tc>
          <w:tcPr>
            <w:tcW w:w="5540" w:type="dxa"/>
            <w:vAlign w:val="bottom"/>
            <w:tcBorders>
              <w:left w:val="single" w:sz="8" w:color="2360A6"/>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CURRENT FINANCIAL LIABILITIES</w:t>
            </w:r>
          </w:p>
        </w:tc>
        <w:tc>
          <w:tcPr>
            <w:tcW w:w="106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1,202.6</w:t>
            </w:r>
          </w:p>
        </w:tc>
        <w:tc>
          <w:tcPr>
            <w:tcW w:w="11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69.8</w:t>
            </w:r>
          </w:p>
        </w:tc>
        <w:tc>
          <w:tcPr>
            <w:tcW w:w="11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40.9</w:t>
            </w:r>
          </w:p>
        </w:tc>
        <w:tc>
          <w:tcPr>
            <w:tcW w:w="84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w:t>
            </w:r>
          </w:p>
        </w:tc>
        <w:tc>
          <w:tcPr>
            <w:tcW w:w="82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1,313.3</w:t>
            </w:r>
          </w:p>
        </w:tc>
      </w:tr>
      <w:tr>
        <w:trPr>
          <w:trHeight w:val="351"/>
        </w:trPr>
        <w:tc>
          <w:tcPr>
            <w:tcW w:w="5540" w:type="dxa"/>
            <w:vAlign w:val="bottom"/>
            <w:tcBorders>
              <w:bottom w:val="single" w:sz="8" w:color="2360A6"/>
            </w:tcBorders>
          </w:tcPr>
          <w:p>
            <w:pPr>
              <w:spacing w:after="0"/>
              <w:rPr>
                <w:sz w:val="24"/>
                <w:szCs w:val="24"/>
                <w:color w:val="auto"/>
              </w:rPr>
            </w:pPr>
          </w:p>
        </w:tc>
        <w:tc>
          <w:tcPr>
            <w:tcW w:w="1060" w:type="dxa"/>
            <w:vAlign w:val="bottom"/>
            <w:tcBorders>
              <w:bottom w:val="single" w:sz="8" w:color="2360A6"/>
            </w:tcBorders>
          </w:tcPr>
          <w:p>
            <w:pPr>
              <w:spacing w:after="0"/>
              <w:rPr>
                <w:sz w:val="24"/>
                <w:szCs w:val="24"/>
                <w:color w:val="auto"/>
              </w:rPr>
            </w:pPr>
          </w:p>
        </w:tc>
        <w:tc>
          <w:tcPr>
            <w:tcW w:w="2360" w:type="dxa"/>
            <w:vAlign w:val="bottom"/>
            <w:tcBorders>
              <w:bottom w:val="single" w:sz="8" w:color="2360A6"/>
            </w:tcBorders>
            <w:gridSpan w:val="2"/>
          </w:tcPr>
          <w:p>
            <w:pPr>
              <w:spacing w:after="0"/>
              <w:rPr>
                <w:sz w:val="24"/>
                <w:szCs w:val="24"/>
                <w:color w:val="auto"/>
              </w:rPr>
            </w:pPr>
          </w:p>
        </w:tc>
        <w:tc>
          <w:tcPr>
            <w:tcW w:w="840" w:type="dxa"/>
            <w:vAlign w:val="bottom"/>
            <w:tcBorders>
              <w:bottom w:val="single" w:sz="8" w:color="2360A6"/>
            </w:tcBorders>
          </w:tcPr>
          <w:p>
            <w:pPr>
              <w:spacing w:after="0"/>
              <w:rPr>
                <w:sz w:val="24"/>
                <w:szCs w:val="24"/>
                <w:color w:val="auto"/>
              </w:rPr>
            </w:pPr>
          </w:p>
        </w:tc>
        <w:tc>
          <w:tcPr>
            <w:tcW w:w="820" w:type="dxa"/>
            <w:vAlign w:val="bottom"/>
            <w:tcBorders>
              <w:bottom w:val="single" w:sz="8" w:color="2360A6"/>
            </w:tcBorders>
          </w:tcPr>
          <w:p>
            <w:pPr>
              <w:spacing w:after="0"/>
              <w:rPr>
                <w:sz w:val="24"/>
                <w:szCs w:val="24"/>
                <w:color w:val="auto"/>
              </w:rPr>
            </w:pPr>
          </w:p>
        </w:tc>
      </w:tr>
      <w:tr>
        <w:trPr>
          <w:trHeight w:val="204"/>
        </w:trPr>
        <w:tc>
          <w:tcPr>
            <w:tcW w:w="5540" w:type="dxa"/>
            <w:vAlign w:val="bottom"/>
            <w:tcBorders>
              <w:left w:val="single" w:sz="8" w:color="2360A6"/>
              <w:right w:val="single" w:sz="8" w:color="2360A6"/>
            </w:tcBorders>
          </w:tcPr>
          <w:p>
            <w:pPr>
              <w:spacing w:after="0"/>
              <w:rPr>
                <w:sz w:val="17"/>
                <w:szCs w:val="17"/>
                <w:color w:val="auto"/>
              </w:rPr>
            </w:pPr>
          </w:p>
        </w:tc>
        <w:tc>
          <w:tcPr>
            <w:tcW w:w="1060" w:type="dxa"/>
            <w:vAlign w:val="bottom"/>
            <w:tcBorders>
              <w:bottom w:val="single" w:sz="8" w:color="2360A6"/>
            </w:tcBorders>
          </w:tcPr>
          <w:p>
            <w:pPr>
              <w:spacing w:after="0"/>
              <w:rPr>
                <w:sz w:val="17"/>
                <w:szCs w:val="17"/>
                <w:color w:val="auto"/>
              </w:rPr>
            </w:pPr>
          </w:p>
        </w:tc>
        <w:tc>
          <w:tcPr>
            <w:tcW w:w="2360" w:type="dxa"/>
            <w:vAlign w:val="bottom"/>
            <w:tcBorders>
              <w:bottom w:val="single" w:sz="8" w:color="2360A6"/>
            </w:tcBorders>
            <w:gridSpan w:val="2"/>
          </w:tcPr>
          <w:p>
            <w:pPr>
              <w:jc w:val="right"/>
              <w:spacing w:after="0"/>
              <w:rPr>
                <w:sz w:val="20"/>
                <w:szCs w:val="20"/>
                <w:color w:val="auto"/>
              </w:rPr>
            </w:pPr>
            <w:r>
              <w:rPr>
                <w:rFonts w:ascii="Arial" w:cs="Arial" w:eastAsia="Arial" w:hAnsi="Arial"/>
                <w:sz w:val="14"/>
                <w:szCs w:val="14"/>
                <w:b w:val="1"/>
                <w:bCs w:val="1"/>
                <w:color w:val="2360A6"/>
              </w:rPr>
              <w:t>As of December 31, 2014</w:t>
            </w:r>
          </w:p>
        </w:tc>
        <w:tc>
          <w:tcPr>
            <w:tcW w:w="840" w:type="dxa"/>
            <w:vAlign w:val="bottom"/>
            <w:tcBorders>
              <w:bottom w:val="single" w:sz="8" w:color="2360A6"/>
            </w:tcBorders>
          </w:tcPr>
          <w:p>
            <w:pPr>
              <w:spacing w:after="0"/>
              <w:rPr>
                <w:sz w:val="17"/>
                <w:szCs w:val="17"/>
                <w:color w:val="auto"/>
              </w:rPr>
            </w:pPr>
          </w:p>
        </w:tc>
        <w:tc>
          <w:tcPr>
            <w:tcW w:w="820" w:type="dxa"/>
            <w:vAlign w:val="bottom"/>
            <w:tcBorders>
              <w:bottom w:val="single" w:sz="8" w:color="2360A6"/>
              <w:right w:val="single" w:sz="8" w:color="2360A6"/>
            </w:tcBorders>
          </w:tcPr>
          <w:p>
            <w:pPr>
              <w:spacing w:after="0"/>
              <w:rPr>
                <w:sz w:val="17"/>
                <w:szCs w:val="17"/>
                <w:color w:val="auto"/>
              </w:rPr>
            </w:pPr>
          </w:p>
        </w:tc>
      </w:tr>
      <w:tr>
        <w:trPr>
          <w:trHeight w:val="216"/>
        </w:trPr>
        <w:tc>
          <w:tcPr>
            <w:tcW w:w="5540" w:type="dxa"/>
            <w:vAlign w:val="bottom"/>
            <w:tcBorders>
              <w:left w:val="single" w:sz="8" w:color="2360A6"/>
              <w:right w:val="single" w:sz="8" w:color="2360A6"/>
            </w:tcBorders>
          </w:tcPr>
          <w:p>
            <w:pPr>
              <w:spacing w:after="0"/>
              <w:rPr>
                <w:sz w:val="18"/>
                <w:szCs w:val="18"/>
                <w:color w:val="auto"/>
              </w:rPr>
            </w:pPr>
          </w:p>
        </w:tc>
        <w:tc>
          <w:tcPr>
            <w:tcW w:w="106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Less than</w:t>
            </w:r>
          </w:p>
        </w:tc>
        <w:tc>
          <w:tcPr>
            <w:tcW w:w="11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Between 1 and</w:t>
            </w:r>
          </w:p>
        </w:tc>
        <w:tc>
          <w:tcPr>
            <w:tcW w:w="118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Between 2 and</w:t>
            </w:r>
          </w:p>
        </w:tc>
        <w:tc>
          <w:tcPr>
            <w:tcW w:w="840" w:type="dxa"/>
            <w:vAlign w:val="bottom"/>
            <w:tcBorders>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Over</w:t>
            </w:r>
          </w:p>
        </w:tc>
        <w:tc>
          <w:tcPr>
            <w:tcW w:w="820" w:type="dxa"/>
            <w:vAlign w:val="bottom"/>
            <w:tcBorders>
              <w:right w:val="single" w:sz="8" w:color="2360A6"/>
            </w:tcBorders>
          </w:tcPr>
          <w:p>
            <w:pPr>
              <w:spacing w:after="0"/>
              <w:rPr>
                <w:sz w:val="18"/>
                <w:szCs w:val="18"/>
                <w:color w:val="auto"/>
              </w:rPr>
            </w:pPr>
          </w:p>
        </w:tc>
      </w:tr>
      <w:tr>
        <w:trPr>
          <w:trHeight w:val="196"/>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1 year</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2 years</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5 years</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b w:val="1"/>
                <w:bCs w:val="1"/>
                <w:color w:val="2360A6"/>
              </w:rPr>
              <w:t>5 years</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b w:val="1"/>
                <w:bCs w:val="1"/>
                <w:color w:val="2360A6"/>
              </w:rPr>
              <w:t>Total</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Convertible Bonds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550.0</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497.6</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2.0</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1,049.6</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Private Placements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880.0</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880.0</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Bank Borrowings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194.7</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240.9</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48.8</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484.4</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Accrued Interest Payables on Bond Loans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4.0</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1.2</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5.2</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Accrued Interest Payables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67.5</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149.5</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177.0</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394.0</w:t>
            </w:r>
          </w:p>
        </w:tc>
      </w:tr>
      <w:tr>
        <w:trPr>
          <w:trHeight w:val="210"/>
        </w:trPr>
        <w:tc>
          <w:tcPr>
            <w:tcW w:w="5540" w:type="dxa"/>
            <w:vAlign w:val="bottom"/>
            <w:tcBorders>
              <w:left w:val="single" w:sz="8" w:color="2360A6"/>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NON-CURRENT FINANCIAL LIABILITIES</w:t>
            </w:r>
          </w:p>
        </w:tc>
        <w:tc>
          <w:tcPr>
            <w:tcW w:w="106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w:t>
            </w:r>
          </w:p>
        </w:tc>
        <w:tc>
          <w:tcPr>
            <w:tcW w:w="11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816.2</w:t>
            </w:r>
          </w:p>
        </w:tc>
        <w:tc>
          <w:tcPr>
            <w:tcW w:w="11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889.2</w:t>
            </w:r>
          </w:p>
        </w:tc>
        <w:tc>
          <w:tcPr>
            <w:tcW w:w="84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1,107.8</w:t>
            </w:r>
          </w:p>
        </w:tc>
        <w:tc>
          <w:tcPr>
            <w:tcW w:w="82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2,813.2</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Commercial Papers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156.0</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156.0</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Bank Overdrafts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0.9</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0.9</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Accrued Interest Payables on Bond Loans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4.0</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4.0</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Accrued Interest Payables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71.2</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71.2</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Other Bank Borrowings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79.4</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79.4</w:t>
            </w:r>
          </w:p>
        </w:tc>
      </w:tr>
      <w:tr>
        <w:trPr>
          <w:trHeight w:val="210"/>
        </w:trPr>
        <w:tc>
          <w:tcPr>
            <w:tcW w:w="554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Financial Instruments</w:t>
            </w:r>
          </w:p>
        </w:tc>
        <w:tc>
          <w:tcPr>
            <w:tcW w:w="106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161.6</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119.1</w:t>
            </w:r>
          </w:p>
        </w:tc>
        <w:tc>
          <w:tcPr>
            <w:tcW w:w="118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19.8</w:t>
            </w:r>
          </w:p>
        </w:tc>
        <w:tc>
          <w:tcPr>
            <w:tcW w:w="840" w:type="dxa"/>
            <w:vAlign w:val="bottom"/>
            <w:tcBorders>
              <w:bottom w:val="single" w:sz="8" w:color="2360A6"/>
              <w:right w:val="single" w:sz="8" w:color="2360A6"/>
            </w:tcBorders>
          </w:tcPr>
          <w:p>
            <w:pPr>
              <w:jc w:val="right"/>
              <w:ind w:right="68"/>
              <w:spacing w:after="0"/>
              <w:rPr>
                <w:sz w:val="20"/>
                <w:szCs w:val="20"/>
                <w:color w:val="auto"/>
              </w:rPr>
            </w:pPr>
            <w:r>
              <w:rPr>
                <w:rFonts w:ascii="Arial" w:cs="Arial" w:eastAsia="Arial" w:hAnsi="Arial"/>
                <w:sz w:val="14"/>
                <w:szCs w:val="14"/>
                <w:color w:val="231F20"/>
              </w:rPr>
              <w:t>—</w:t>
            </w:r>
          </w:p>
        </w:tc>
        <w:tc>
          <w:tcPr>
            <w:tcW w:w="820" w:type="dxa"/>
            <w:vAlign w:val="bottom"/>
            <w:tcBorders>
              <w:bottom w:val="single" w:sz="8" w:color="2360A6"/>
              <w:right w:val="single" w:sz="8" w:color="2360A6"/>
            </w:tcBorders>
          </w:tcPr>
          <w:p>
            <w:pPr>
              <w:jc w:val="right"/>
              <w:ind w:right="48"/>
              <w:spacing w:after="0"/>
              <w:rPr>
                <w:sz w:val="20"/>
                <w:szCs w:val="20"/>
                <w:color w:val="auto"/>
              </w:rPr>
            </w:pPr>
            <w:r>
              <w:rPr>
                <w:rFonts w:ascii="Arial" w:cs="Arial" w:eastAsia="Arial" w:hAnsi="Arial"/>
                <w:sz w:val="14"/>
                <w:szCs w:val="14"/>
                <w:color w:val="231F20"/>
              </w:rPr>
              <w:t>300.5</w:t>
            </w:r>
          </w:p>
        </w:tc>
      </w:tr>
      <w:tr>
        <w:trPr>
          <w:trHeight w:val="210"/>
        </w:trPr>
        <w:tc>
          <w:tcPr>
            <w:tcW w:w="5540" w:type="dxa"/>
            <w:vAlign w:val="bottom"/>
            <w:tcBorders>
              <w:left w:val="single" w:sz="8" w:color="2360A6"/>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CURRENT FINANCIAL LIABILITIES</w:t>
            </w:r>
          </w:p>
        </w:tc>
        <w:tc>
          <w:tcPr>
            <w:tcW w:w="106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473.1</w:t>
            </w:r>
          </w:p>
        </w:tc>
        <w:tc>
          <w:tcPr>
            <w:tcW w:w="11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119.1</w:t>
            </w:r>
          </w:p>
        </w:tc>
        <w:tc>
          <w:tcPr>
            <w:tcW w:w="118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19.8</w:t>
            </w:r>
          </w:p>
        </w:tc>
        <w:tc>
          <w:tcPr>
            <w:tcW w:w="84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w:t>
            </w:r>
          </w:p>
        </w:tc>
        <w:tc>
          <w:tcPr>
            <w:tcW w:w="820" w:type="dxa"/>
            <w:vAlign w:val="bottom"/>
            <w:tcBorders>
              <w:bottom w:val="single" w:sz="8" w:color="2360A6"/>
              <w:right w:val="single" w:sz="8" w:color="2360A6"/>
            </w:tcBorders>
            <w:shd w:val="clear" w:color="auto" w:fill="D2DEEC"/>
          </w:tcPr>
          <w:p>
            <w:pPr>
              <w:jc w:val="right"/>
              <w:ind w:right="48"/>
              <w:spacing w:after="0"/>
              <w:rPr>
                <w:sz w:val="20"/>
                <w:szCs w:val="20"/>
                <w:color w:val="auto"/>
              </w:rPr>
            </w:pPr>
            <w:r>
              <w:rPr>
                <w:rFonts w:ascii="Arial" w:cs="Arial" w:eastAsia="Arial" w:hAnsi="Arial"/>
                <w:sz w:val="14"/>
                <w:szCs w:val="14"/>
                <w:b w:val="1"/>
                <w:bCs w:val="1"/>
                <w:color w:val="2360A6"/>
              </w:rPr>
              <w:t>612.0</w:t>
            </w:r>
          </w:p>
        </w:tc>
      </w:tr>
    </w:tbl>
    <w:p>
      <w:pPr>
        <w:spacing w:after="0" w:line="258"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Contractual amounts as stated in the analysis of maturities relate to undiscounted contractual cash flows. These undiscounted cash flows may differ from the amounts as recognized in the statement of financial position which are based on discounted cash flows.</w:t>
      </w:r>
    </w:p>
    <w:p>
      <w:pPr>
        <w:sectPr>
          <w:pgSz w:w="11900" w:h="16838" w:orient="portrait"/>
          <w:cols w:equalWidth="0" w:num="1">
            <w:col w:w="11340"/>
          </w:cols>
          <w:pgMar w:left="320" w:top="641" w:right="239" w:bottom="1440" w:gutter="0" w:footer="0" w:header="0"/>
        </w:sectPr>
      </w:pPr>
    </w:p>
    <w:bookmarkStart w:id="173" w:name="page174"/>
    <w:bookmarkEnd w:id="173"/>
    <w:p>
      <w:pPr>
        <w:spacing w:after="0"/>
        <w:rPr>
          <w:sz w:val="20"/>
          <w:szCs w:val="20"/>
          <w:color w:val="auto"/>
        </w:rPr>
      </w:pPr>
      <w:r>
        <w:rPr>
          <w:rFonts w:ascii="Arial" w:cs="Arial" w:eastAsia="Arial" w:hAnsi="Arial"/>
          <w:sz w:val="25"/>
          <w:szCs w:val="25"/>
          <w:b w:val="1"/>
          <w:bCs w:val="1"/>
          <w:color w:val="231F20"/>
        </w:rPr>
        <w:t>(B) Currency Risk</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indicated in Note 1-C (c) - Foreign currency transactions and financial instruments, Technip uses financial instruments to protect itself against currency risks incurred in the normal course of its business. The Group does not use financial instruments for trading or speculative purposes. The exchange hedging contracts are divided across several counterparties who have been selected after due consideration.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231F20"/>
        </w:rPr>
        <w:t>The primary hedging instruments used to manage Technip’s exposure to currency risks are as follows:</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224"/>
        </w:trPr>
        <w:tc>
          <w:tcPr>
            <w:tcW w:w="6080" w:type="dxa"/>
            <w:vAlign w:val="bottom"/>
            <w:tcBorders>
              <w:top w:val="single" w:sz="8" w:color="2360A6"/>
              <w:left w:val="single" w:sz="8" w:color="2360A6"/>
              <w:right w:val="single" w:sz="8" w:color="2360A6"/>
            </w:tcBorders>
          </w:tcPr>
          <w:p>
            <w:pPr>
              <w:spacing w:after="0"/>
              <w:rPr>
                <w:sz w:val="19"/>
                <w:szCs w:val="19"/>
                <w:color w:val="auto"/>
              </w:rPr>
            </w:pPr>
          </w:p>
        </w:tc>
        <w:tc>
          <w:tcPr>
            <w:tcW w:w="840" w:type="dxa"/>
            <w:vAlign w:val="bottom"/>
            <w:tcBorders>
              <w:top w:val="single" w:sz="8" w:color="2360A6"/>
              <w:bottom w:val="single" w:sz="8" w:color="2360A6"/>
            </w:tcBorders>
          </w:tcPr>
          <w:p>
            <w:pPr>
              <w:spacing w:after="0"/>
              <w:rPr>
                <w:sz w:val="19"/>
                <w:szCs w:val="19"/>
                <w:color w:val="auto"/>
              </w:rPr>
            </w:pPr>
          </w:p>
        </w:tc>
        <w:tc>
          <w:tcPr>
            <w:tcW w:w="2080" w:type="dxa"/>
            <w:vAlign w:val="bottom"/>
            <w:tcBorders>
              <w:top w:val="single" w:sz="8" w:color="2360A6"/>
              <w:bottom w:val="single" w:sz="8" w:color="2360A6"/>
            </w:tcBorders>
            <w:gridSpan w:val="3"/>
          </w:tcPr>
          <w:p>
            <w:pPr>
              <w:ind w:left="760"/>
              <w:spacing w:after="0"/>
              <w:rPr>
                <w:sz w:val="20"/>
                <w:szCs w:val="20"/>
                <w:color w:val="auto"/>
              </w:rPr>
            </w:pPr>
            <w:r>
              <w:rPr>
                <w:rFonts w:ascii="Arial" w:cs="Arial" w:eastAsia="Arial" w:hAnsi="Arial"/>
                <w:sz w:val="14"/>
                <w:szCs w:val="14"/>
                <w:b w:val="1"/>
                <w:bCs w:val="1"/>
                <w:color w:val="2360A6"/>
              </w:rPr>
              <w:t>As of December 31</w:t>
            </w:r>
          </w:p>
        </w:tc>
        <w:tc>
          <w:tcPr>
            <w:tcW w:w="680" w:type="dxa"/>
            <w:vAlign w:val="bottom"/>
            <w:tcBorders>
              <w:top w:val="single" w:sz="8" w:color="2360A6"/>
              <w:bottom w:val="single" w:sz="8" w:color="2360A6"/>
            </w:tcBorders>
          </w:tcPr>
          <w:p>
            <w:pPr>
              <w:spacing w:after="0"/>
              <w:rPr>
                <w:sz w:val="19"/>
                <w:szCs w:val="19"/>
                <w:color w:val="auto"/>
              </w:rPr>
            </w:pPr>
          </w:p>
        </w:tc>
        <w:tc>
          <w:tcPr>
            <w:tcW w:w="940" w:type="dxa"/>
            <w:vAlign w:val="bottom"/>
            <w:tcBorders>
              <w:top w:val="single" w:sz="8" w:color="2360A6"/>
              <w:bottom w:val="single" w:sz="8" w:color="2360A6"/>
              <w:right w:val="single" w:sz="8" w:color="2360A6"/>
            </w:tcBorders>
          </w:tcPr>
          <w:p>
            <w:pPr>
              <w:spacing w:after="0"/>
              <w:rPr>
                <w:sz w:val="19"/>
                <w:szCs w:val="19"/>
                <w:color w:val="auto"/>
              </w:rPr>
            </w:pPr>
          </w:p>
        </w:tc>
      </w:tr>
      <w:tr>
        <w:trPr>
          <w:trHeight w:val="210"/>
        </w:trPr>
        <w:tc>
          <w:tcPr>
            <w:tcW w:w="6080" w:type="dxa"/>
            <w:vAlign w:val="bottom"/>
            <w:tcBorders>
              <w:left w:val="single" w:sz="8" w:color="2360A6"/>
              <w:right w:val="single" w:sz="8" w:color="2360A6"/>
            </w:tcBorders>
          </w:tcPr>
          <w:p>
            <w:pPr>
              <w:spacing w:after="0"/>
              <w:rPr>
                <w:sz w:val="18"/>
                <w:szCs w:val="18"/>
                <w:color w:val="auto"/>
              </w:rPr>
            </w:pPr>
          </w:p>
        </w:tc>
        <w:tc>
          <w:tcPr>
            <w:tcW w:w="840" w:type="dxa"/>
            <w:vAlign w:val="bottom"/>
            <w:tcBorders>
              <w:bottom w:val="single" w:sz="8" w:color="2360A6"/>
              <w:right w:val="single" w:sz="8" w:color="2360A6"/>
            </w:tcBorders>
            <w:shd w:val="clear" w:color="auto" w:fill="2360A6"/>
          </w:tcPr>
          <w:p>
            <w:pPr>
              <w:spacing w:after="0"/>
              <w:rPr>
                <w:sz w:val="18"/>
                <w:szCs w:val="18"/>
                <w:color w:val="auto"/>
              </w:rPr>
            </w:pPr>
          </w:p>
        </w:tc>
        <w:tc>
          <w:tcPr>
            <w:tcW w:w="860" w:type="dxa"/>
            <w:vAlign w:val="bottom"/>
            <w:tcBorders>
              <w:bottom w:val="single" w:sz="8" w:color="2360A6"/>
              <w:right w:val="single" w:sz="8" w:color="2360A6"/>
            </w:tcBorders>
            <w:shd w:val="clear" w:color="auto" w:fill="2360A6"/>
          </w:tcPr>
          <w:p>
            <w:pPr>
              <w:jc w:val="right"/>
              <w:ind w:right="168"/>
              <w:spacing w:after="0"/>
              <w:rPr>
                <w:sz w:val="20"/>
                <w:szCs w:val="20"/>
                <w:color w:val="auto"/>
              </w:rPr>
            </w:pPr>
            <w:r>
              <w:rPr>
                <w:rFonts w:ascii="Arial" w:cs="Arial" w:eastAsia="Arial" w:hAnsi="Arial"/>
                <w:sz w:val="14"/>
                <w:szCs w:val="14"/>
                <w:b w:val="1"/>
                <w:bCs w:val="1"/>
                <w:color w:val="FFFFFF"/>
              </w:rPr>
              <w:t>2016</w:t>
            </w:r>
          </w:p>
        </w:tc>
        <w:tc>
          <w:tcPr>
            <w:tcW w:w="960" w:type="dxa"/>
            <w:vAlign w:val="bottom"/>
            <w:tcBorders>
              <w:bottom w:val="single" w:sz="8" w:color="2360A6"/>
              <w:right w:val="single" w:sz="8" w:color="2360A6"/>
            </w:tcBorders>
            <w:shd w:val="clear" w:color="auto" w:fill="2360A6"/>
          </w:tcPr>
          <w:p>
            <w:pPr>
              <w:spacing w:after="0"/>
              <w:rPr>
                <w:sz w:val="18"/>
                <w:szCs w:val="18"/>
                <w:color w:val="auto"/>
              </w:rPr>
            </w:pPr>
          </w:p>
        </w:tc>
        <w:tc>
          <w:tcPr>
            <w:tcW w:w="260" w:type="dxa"/>
            <w:vAlign w:val="bottom"/>
            <w:tcBorders>
              <w:bottom w:val="single" w:sz="8" w:color="2360A6"/>
            </w:tcBorders>
          </w:tcPr>
          <w:p>
            <w:pPr>
              <w:spacing w:after="0"/>
              <w:rPr>
                <w:sz w:val="18"/>
                <w:szCs w:val="18"/>
                <w:color w:val="auto"/>
              </w:rPr>
            </w:pPr>
          </w:p>
        </w:tc>
        <w:tc>
          <w:tcPr>
            <w:tcW w:w="680" w:type="dxa"/>
            <w:vAlign w:val="bottom"/>
            <w:tcBorders>
              <w:bottom w:val="single" w:sz="8" w:color="2360A6"/>
              <w:right w:val="single" w:sz="8" w:color="2360A6"/>
            </w:tcBorders>
          </w:tcPr>
          <w:p>
            <w:pPr>
              <w:jc w:val="right"/>
              <w:ind w:right="248"/>
              <w:spacing w:after="0"/>
              <w:rPr>
                <w:sz w:val="20"/>
                <w:szCs w:val="20"/>
                <w:color w:val="auto"/>
              </w:rPr>
            </w:pPr>
            <w:r>
              <w:rPr>
                <w:rFonts w:ascii="Arial" w:cs="Arial" w:eastAsia="Arial" w:hAnsi="Arial"/>
                <w:sz w:val="14"/>
                <w:szCs w:val="14"/>
                <w:b w:val="1"/>
                <w:bCs w:val="1"/>
                <w:color w:val="2360A6"/>
              </w:rPr>
              <w:t>2015</w:t>
            </w:r>
          </w:p>
        </w:tc>
        <w:tc>
          <w:tcPr>
            <w:tcW w:w="940" w:type="dxa"/>
            <w:vAlign w:val="bottom"/>
            <w:tcBorders>
              <w:bottom w:val="single" w:sz="8" w:color="2360A6"/>
              <w:right w:val="single" w:sz="8" w:color="2360A6"/>
            </w:tcBorders>
          </w:tcPr>
          <w:p>
            <w:pPr>
              <w:jc w:val="right"/>
              <w:ind w:right="248"/>
              <w:spacing w:after="0"/>
              <w:rPr>
                <w:sz w:val="20"/>
                <w:szCs w:val="20"/>
                <w:color w:val="auto"/>
              </w:rPr>
            </w:pPr>
            <w:r>
              <w:rPr>
                <w:rFonts w:ascii="Arial" w:cs="Arial" w:eastAsia="Arial" w:hAnsi="Arial"/>
                <w:sz w:val="14"/>
                <w:szCs w:val="14"/>
                <w:b w:val="1"/>
                <w:bCs w:val="1"/>
                <w:color w:val="2360A6"/>
              </w:rPr>
              <w:t>2014</w:t>
            </w:r>
          </w:p>
        </w:tc>
      </w:tr>
      <w:tr>
        <w:trPr>
          <w:trHeight w:val="210"/>
        </w:trPr>
        <w:tc>
          <w:tcPr>
            <w:tcW w:w="6080" w:type="dxa"/>
            <w:vAlign w:val="bottom"/>
            <w:tcBorders>
              <w:left w:val="single" w:sz="8" w:color="2360A6"/>
              <w:right w:val="single" w:sz="8" w:color="2360A6"/>
            </w:tcBorders>
          </w:tcPr>
          <w:p>
            <w:pPr>
              <w:spacing w:after="0"/>
              <w:rPr>
                <w:sz w:val="18"/>
                <w:szCs w:val="18"/>
                <w:color w:val="auto"/>
              </w:rPr>
            </w:pPr>
          </w:p>
        </w:tc>
        <w:tc>
          <w:tcPr>
            <w:tcW w:w="1700" w:type="dxa"/>
            <w:vAlign w:val="bottom"/>
            <w:tcBorders>
              <w:bottom w:val="single" w:sz="8" w:color="2360A6"/>
              <w:right w:val="single" w:sz="8" w:color="2360A6"/>
            </w:tcBorders>
            <w:gridSpan w:val="2"/>
            <w:shd w:val="clear" w:color="auto" w:fill="EDEDEE"/>
          </w:tcPr>
          <w:p>
            <w:pPr>
              <w:jc w:val="right"/>
              <w:ind w:right="528"/>
              <w:spacing w:after="0"/>
              <w:rPr>
                <w:sz w:val="20"/>
                <w:szCs w:val="20"/>
                <w:color w:val="auto"/>
              </w:rPr>
            </w:pPr>
            <w:r>
              <w:rPr>
                <w:rFonts w:ascii="Arial" w:cs="Arial" w:eastAsia="Arial" w:hAnsi="Arial"/>
                <w:sz w:val="14"/>
                <w:szCs w:val="14"/>
                <w:b w:val="1"/>
                <w:bCs w:val="1"/>
                <w:color w:val="2360A6"/>
              </w:rPr>
              <w:t>Maturity</w:t>
            </w:r>
          </w:p>
        </w:tc>
        <w:tc>
          <w:tcPr>
            <w:tcW w:w="960" w:type="dxa"/>
            <w:vAlign w:val="bottom"/>
            <w:tcBorders>
              <w:bottom w:val="single" w:sz="8" w:color="EDEDEE"/>
              <w:right w:val="single" w:sz="8" w:color="2360A6"/>
            </w:tcBorders>
            <w:shd w:val="clear" w:color="auto" w:fill="EDEDE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right w:val="single" w:sz="8" w:color="2360A6"/>
            </w:tcBorders>
          </w:tcPr>
          <w:p>
            <w:pPr>
              <w:spacing w:after="0"/>
              <w:rPr>
                <w:sz w:val="18"/>
                <w:szCs w:val="18"/>
                <w:color w:val="auto"/>
              </w:rPr>
            </w:pPr>
          </w:p>
        </w:tc>
        <w:tc>
          <w:tcPr>
            <w:tcW w:w="940" w:type="dxa"/>
            <w:vAlign w:val="bottom"/>
            <w:tcBorders>
              <w:right w:val="single" w:sz="8" w:color="2360A6"/>
            </w:tcBorders>
          </w:tcPr>
          <w:p>
            <w:pPr>
              <w:spacing w:after="0"/>
              <w:rPr>
                <w:sz w:val="18"/>
                <w:szCs w:val="18"/>
                <w:color w:val="auto"/>
              </w:rPr>
            </w:pPr>
          </w:p>
        </w:tc>
      </w:tr>
      <w:tr>
        <w:trPr>
          <w:trHeight w:val="175"/>
        </w:trPr>
        <w:tc>
          <w:tcPr>
            <w:tcW w:w="6080" w:type="dxa"/>
            <w:vAlign w:val="bottom"/>
            <w:tcBorders>
              <w:left w:val="single" w:sz="8" w:color="2360A6"/>
              <w:right w:val="single" w:sz="8" w:color="2360A6"/>
            </w:tcBorders>
          </w:tcPr>
          <w:p>
            <w:pPr>
              <w:spacing w:after="0"/>
              <w:rPr>
                <w:sz w:val="15"/>
                <w:szCs w:val="15"/>
                <w:color w:val="auto"/>
              </w:rPr>
            </w:pPr>
          </w:p>
        </w:tc>
        <w:tc>
          <w:tcPr>
            <w:tcW w:w="840" w:type="dxa"/>
            <w:vAlign w:val="bottom"/>
            <w:tcBorders>
              <w:right w:val="single" w:sz="8" w:color="2360A6"/>
            </w:tcBorders>
            <w:shd w:val="clear" w:color="auto" w:fill="EDEDEE"/>
          </w:tcPr>
          <w:p>
            <w:pPr>
              <w:spacing w:after="0"/>
              <w:rPr>
                <w:sz w:val="15"/>
                <w:szCs w:val="15"/>
                <w:color w:val="auto"/>
              </w:rPr>
            </w:pPr>
          </w:p>
        </w:tc>
        <w:tc>
          <w:tcPr>
            <w:tcW w:w="860" w:type="dxa"/>
            <w:vAlign w:val="bottom"/>
            <w:tcBorders>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2018 and</w:t>
            </w:r>
          </w:p>
        </w:tc>
        <w:tc>
          <w:tcPr>
            <w:tcW w:w="960" w:type="dxa"/>
            <w:vAlign w:val="bottom"/>
            <w:tcBorders>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006EBF"/>
              </w:rPr>
              <w:t>Nominal</w:t>
            </w:r>
          </w:p>
        </w:tc>
        <w:tc>
          <w:tcPr>
            <w:tcW w:w="260" w:type="dxa"/>
            <w:vAlign w:val="bottom"/>
          </w:tcPr>
          <w:p>
            <w:pPr>
              <w:spacing w:after="0"/>
              <w:rPr>
                <w:sz w:val="15"/>
                <w:szCs w:val="15"/>
                <w:color w:val="auto"/>
              </w:rPr>
            </w:pPr>
          </w:p>
        </w:tc>
        <w:tc>
          <w:tcPr>
            <w:tcW w:w="68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006EBF"/>
              </w:rPr>
              <w:t>Nominal</w:t>
            </w:r>
          </w:p>
        </w:tc>
        <w:tc>
          <w:tcPr>
            <w:tcW w:w="94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006EBF"/>
              </w:rPr>
              <w:t>Nominal</w:t>
            </w:r>
          </w:p>
        </w:tc>
      </w:tr>
      <w:tr>
        <w:trPr>
          <w:trHeight w:val="196"/>
        </w:trPr>
        <w:tc>
          <w:tcPr>
            <w:tcW w:w="608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i w:val="1"/>
                <w:iCs w:val="1"/>
                <w:color w:val="231F20"/>
              </w:rPr>
              <w:t>In millions of Euro</w:t>
            </w:r>
          </w:p>
        </w:tc>
        <w:tc>
          <w:tcPr>
            <w:tcW w:w="84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2017</w:t>
            </w:r>
          </w:p>
        </w:tc>
        <w:tc>
          <w:tcPr>
            <w:tcW w:w="8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beyond</w:t>
            </w:r>
          </w:p>
        </w:tc>
        <w:tc>
          <w:tcPr>
            <w:tcW w:w="96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b w:val="1"/>
                <w:bCs w:val="1"/>
                <w:color w:val="006EBF"/>
              </w:rPr>
              <w:t>value</w:t>
            </w:r>
          </w:p>
        </w:tc>
        <w:tc>
          <w:tcPr>
            <w:tcW w:w="260" w:type="dxa"/>
            <w:vAlign w:val="bottom"/>
            <w:tcBorders>
              <w:bottom w:val="single" w:sz="8" w:color="2360A6"/>
            </w:tcBorders>
          </w:tcPr>
          <w:p>
            <w:pPr>
              <w:spacing w:after="0"/>
              <w:rPr>
                <w:sz w:val="17"/>
                <w:szCs w:val="17"/>
                <w:color w:val="auto"/>
              </w:rPr>
            </w:pP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006EBF"/>
              </w:rPr>
              <w:t>value</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006EBF"/>
              </w:rPr>
              <w:t>value</w:t>
            </w:r>
          </w:p>
        </w:tc>
      </w:tr>
      <w:tr>
        <w:trPr>
          <w:trHeight w:val="210"/>
        </w:trPr>
        <w:tc>
          <w:tcPr>
            <w:tcW w:w="608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Buy Foreign Currencies/Sell Euros</w:t>
            </w:r>
          </w:p>
        </w:tc>
        <w:tc>
          <w:tcPr>
            <w:tcW w:w="84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664.3</w:t>
            </w:r>
          </w:p>
        </w:tc>
        <w:tc>
          <w:tcPr>
            <w:tcW w:w="8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6.2</w:t>
            </w:r>
          </w:p>
        </w:tc>
        <w:tc>
          <w:tcPr>
            <w:tcW w:w="96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670.5</w:t>
            </w:r>
          </w:p>
        </w:tc>
        <w:tc>
          <w:tcPr>
            <w:tcW w:w="260" w:type="dxa"/>
            <w:vAlign w:val="bottom"/>
            <w:tcBorders>
              <w:bottom w:val="single" w:sz="8" w:color="2360A6"/>
            </w:tcBorders>
          </w:tcPr>
          <w:p>
            <w:pPr>
              <w:spacing w:after="0"/>
              <w:rPr>
                <w:sz w:val="18"/>
                <w:szCs w:val="18"/>
                <w:color w:val="auto"/>
              </w:rPr>
            </w:pP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380.0</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243.8</w:t>
            </w:r>
          </w:p>
        </w:tc>
      </w:tr>
      <w:tr>
        <w:trPr>
          <w:trHeight w:val="264"/>
        </w:trPr>
        <w:tc>
          <w:tcPr>
            <w:tcW w:w="608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Sell Foreign Currencies/Buy Euros</w:t>
            </w:r>
          </w:p>
        </w:tc>
        <w:tc>
          <w:tcPr>
            <w:tcW w:w="84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1,381.0</w:t>
            </w:r>
          </w:p>
        </w:tc>
        <w:tc>
          <w:tcPr>
            <w:tcW w:w="8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217.5</w:t>
            </w:r>
          </w:p>
        </w:tc>
        <w:tc>
          <w:tcPr>
            <w:tcW w:w="96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1,598.5</w:t>
            </w:r>
          </w:p>
        </w:tc>
        <w:tc>
          <w:tcPr>
            <w:tcW w:w="260" w:type="dxa"/>
            <w:vAlign w:val="bottom"/>
            <w:tcBorders>
              <w:bottom w:val="single" w:sz="8" w:color="2360A6"/>
            </w:tcBorders>
          </w:tcPr>
          <w:p>
            <w:pPr>
              <w:spacing w:after="0"/>
              <w:rPr>
                <w:sz w:val="22"/>
                <w:szCs w:val="22"/>
                <w:color w:val="auto"/>
              </w:rPr>
            </w:pP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1,656.4</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2,577.4</w:t>
            </w:r>
          </w:p>
        </w:tc>
      </w:tr>
      <w:tr>
        <w:trPr>
          <w:trHeight w:val="264"/>
        </w:trPr>
        <w:tc>
          <w:tcPr>
            <w:tcW w:w="6080" w:type="dxa"/>
            <w:vAlign w:val="bottom"/>
            <w:tcBorders>
              <w:left w:val="single" w:sz="8" w:color="2360A6"/>
              <w:bottom w:val="single" w:sz="8" w:color="2360A6"/>
              <w:right w:val="single" w:sz="8" w:color="2360A6"/>
            </w:tcBorders>
          </w:tcPr>
          <w:p>
            <w:pPr>
              <w:ind w:left="20"/>
              <w:spacing w:after="0"/>
              <w:rPr>
                <w:sz w:val="20"/>
                <w:szCs w:val="20"/>
                <w:color w:val="auto"/>
              </w:rPr>
            </w:pPr>
            <w:r>
              <w:rPr>
                <w:rFonts w:ascii="Arial" w:cs="Arial" w:eastAsia="Arial" w:hAnsi="Arial"/>
                <w:sz w:val="14"/>
                <w:szCs w:val="14"/>
                <w:color w:val="231F20"/>
              </w:rPr>
              <w:t>Buy/Sell Foreign Currencies</w:t>
            </w:r>
          </w:p>
        </w:tc>
        <w:tc>
          <w:tcPr>
            <w:tcW w:w="84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846.7</w:t>
            </w:r>
          </w:p>
        </w:tc>
        <w:tc>
          <w:tcPr>
            <w:tcW w:w="8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207.2</w:t>
            </w:r>
          </w:p>
        </w:tc>
        <w:tc>
          <w:tcPr>
            <w:tcW w:w="960" w:type="dxa"/>
            <w:vAlign w:val="bottom"/>
            <w:tcBorders>
              <w:bottom w:val="single" w:sz="8" w:color="2360A6"/>
              <w:right w:val="single" w:sz="8" w:color="2360A6"/>
            </w:tcBorders>
            <w:shd w:val="clear" w:color="auto" w:fill="EDEDEE"/>
          </w:tcPr>
          <w:p>
            <w:pPr>
              <w:jc w:val="right"/>
              <w:ind w:right="68"/>
              <w:spacing w:after="0"/>
              <w:rPr>
                <w:sz w:val="20"/>
                <w:szCs w:val="20"/>
                <w:color w:val="auto"/>
              </w:rPr>
            </w:pPr>
            <w:r>
              <w:rPr>
                <w:rFonts w:ascii="Arial" w:cs="Arial" w:eastAsia="Arial" w:hAnsi="Arial"/>
                <w:sz w:val="14"/>
                <w:szCs w:val="14"/>
                <w:color w:val="231F20"/>
              </w:rPr>
              <w:t>1,053.9</w:t>
            </w:r>
          </w:p>
        </w:tc>
        <w:tc>
          <w:tcPr>
            <w:tcW w:w="260" w:type="dxa"/>
            <w:vAlign w:val="bottom"/>
            <w:tcBorders>
              <w:bottom w:val="single" w:sz="8" w:color="2360A6"/>
            </w:tcBorders>
          </w:tcPr>
          <w:p>
            <w:pPr>
              <w:spacing w:after="0"/>
              <w:rPr>
                <w:sz w:val="22"/>
                <w:szCs w:val="22"/>
                <w:color w:val="auto"/>
              </w:rPr>
            </w:pPr>
          </w:p>
        </w:tc>
        <w:tc>
          <w:tcPr>
            <w:tcW w:w="68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1,721.0</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1,899.2</w:t>
            </w:r>
          </w:p>
        </w:tc>
      </w:tr>
      <w:tr>
        <w:trPr>
          <w:trHeight w:val="210"/>
        </w:trPr>
        <w:tc>
          <w:tcPr>
            <w:tcW w:w="6080" w:type="dxa"/>
            <w:vAlign w:val="bottom"/>
            <w:tcBorders>
              <w:left w:val="single" w:sz="8" w:color="2360A6"/>
              <w:bottom w:val="single" w:sz="8" w:color="2360A6"/>
              <w:right w:val="single" w:sz="8" w:color="2360A6"/>
            </w:tcBorders>
            <w:shd w:val="clear" w:color="auto" w:fill="D2DEEC"/>
          </w:tcPr>
          <w:p>
            <w:pPr>
              <w:ind w:left="20"/>
              <w:spacing w:after="0"/>
              <w:rPr>
                <w:sz w:val="20"/>
                <w:szCs w:val="20"/>
                <w:color w:val="auto"/>
              </w:rPr>
            </w:pPr>
            <w:r>
              <w:rPr>
                <w:rFonts w:ascii="Arial" w:cs="Arial" w:eastAsia="Arial" w:hAnsi="Arial"/>
                <w:sz w:val="14"/>
                <w:szCs w:val="14"/>
                <w:b w:val="1"/>
                <w:bCs w:val="1"/>
                <w:color w:val="2360A6"/>
              </w:rPr>
              <w:t>TOTAL HEDGING INSTRUMENTS</w:t>
            </w:r>
          </w:p>
        </w:tc>
        <w:tc>
          <w:tcPr>
            <w:tcW w:w="84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2,892.0</w:t>
            </w:r>
          </w:p>
        </w:tc>
        <w:tc>
          <w:tcPr>
            <w:tcW w:w="86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430.9</w:t>
            </w:r>
          </w:p>
        </w:tc>
        <w:tc>
          <w:tcPr>
            <w:tcW w:w="960" w:type="dxa"/>
            <w:vAlign w:val="bottom"/>
            <w:tcBorders>
              <w:bottom w:val="single" w:sz="8" w:color="2360A6"/>
              <w:right w:val="single" w:sz="8" w:color="2360A6"/>
            </w:tcBorders>
            <w:shd w:val="clear" w:color="auto" w:fill="D2DEEC"/>
          </w:tcPr>
          <w:p>
            <w:pPr>
              <w:jc w:val="right"/>
              <w:ind w:right="68"/>
              <w:spacing w:after="0"/>
              <w:rPr>
                <w:sz w:val="20"/>
                <w:szCs w:val="20"/>
                <w:color w:val="auto"/>
              </w:rPr>
            </w:pPr>
            <w:r>
              <w:rPr>
                <w:rFonts w:ascii="Arial" w:cs="Arial" w:eastAsia="Arial" w:hAnsi="Arial"/>
                <w:sz w:val="14"/>
                <w:szCs w:val="14"/>
                <w:b w:val="1"/>
                <w:bCs w:val="1"/>
                <w:color w:val="2360A6"/>
              </w:rPr>
              <w:t>3,322.9</w:t>
            </w:r>
          </w:p>
        </w:tc>
        <w:tc>
          <w:tcPr>
            <w:tcW w:w="260" w:type="dxa"/>
            <w:vAlign w:val="bottom"/>
            <w:tcBorders>
              <w:bottom w:val="single" w:sz="8" w:color="2360A6"/>
            </w:tcBorders>
            <w:shd w:val="clear" w:color="auto" w:fill="D2DEEC"/>
          </w:tcPr>
          <w:p>
            <w:pPr>
              <w:spacing w:after="0"/>
              <w:rPr>
                <w:sz w:val="18"/>
                <w:szCs w:val="18"/>
                <w:color w:val="auto"/>
              </w:rPr>
            </w:pPr>
          </w:p>
        </w:tc>
        <w:tc>
          <w:tcPr>
            <w:tcW w:w="68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3,757.4</w:t>
            </w:r>
          </w:p>
        </w:tc>
        <w:tc>
          <w:tcPr>
            <w:tcW w:w="940" w:type="dxa"/>
            <w:vAlign w:val="bottom"/>
            <w:tcBorders>
              <w:bottom w:val="single" w:sz="8" w:color="2360A6"/>
              <w:right w:val="single" w:sz="8" w:color="2360A6"/>
            </w:tcBorders>
            <w:shd w:val="clear" w:color="auto" w:fill="D2DEEC"/>
          </w:tcPr>
          <w:p>
            <w:pPr>
              <w:jc w:val="right"/>
              <w:spacing w:after="0"/>
              <w:rPr>
                <w:sz w:val="20"/>
                <w:szCs w:val="20"/>
                <w:color w:val="auto"/>
              </w:rPr>
            </w:pPr>
            <w:r>
              <w:rPr>
                <w:rFonts w:ascii="Arial" w:cs="Arial" w:eastAsia="Arial" w:hAnsi="Arial"/>
                <w:sz w:val="14"/>
                <w:szCs w:val="14"/>
                <w:b w:val="1"/>
                <w:bCs w:val="1"/>
                <w:color w:val="2360A6"/>
              </w:rPr>
              <w:t>4,720.4</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231F20"/>
        </w:rPr>
        <w:t>Exchange risk is mainly related to the US dollar and the Pound Sterling.</w:t>
      </w:r>
    </w:p>
    <w:p>
      <w:pPr>
        <w:spacing w:after="0" w:line="221"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231F20"/>
        </w:rPr>
        <w:t>In 2016, a change in the US dollar spot price by plus or minus 10% at closing date, calculated on the entire portfolio of Euro/US dollar derivatives, would generate a change of plus or minus €27.8 million in the result before tax and plus or minus €141.3 million in fair value reserves in equity.</w:t>
      </w:r>
    </w:p>
    <w:p>
      <w:pPr>
        <w:spacing w:after="0" w:line="47"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231F20"/>
        </w:rPr>
        <w:t>In 2016, a change in the Pound Sterling spot price by plus or minus 10% at closing date, calculated on the entire portfolio of Euro/Pound Sterling derivatives, would generate a change of plus or minus €11.4 million in the result before tax and plus or minus €33.4 million in fair value reserves in equity.</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(C) Interest Rate Risk</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2360A6"/>
        </w:rPr>
        <w:t>Analysis of the sensitivity of the situation</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2360A6"/>
        </w:rPr>
        <w:t>As of December 31, 2016</w:t>
      </w:r>
    </w:p>
    <w:p>
      <w:pPr>
        <w:spacing w:after="0" w:line="241"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Technip’s floating rate debt amounted to €102.0 million compared to an aggregate total debt of €2,421.9 million.</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To ensure liquidity, cash is invested on a short-term basis. Financial products are subject to fluctuations in currency interest rates.</w:t>
      </w:r>
    </w:p>
    <w:p>
      <w:pPr>
        <w:spacing w:after="0" w:line="221"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231F20"/>
        </w:rPr>
        <w:t>As of December 31, 2016, the net short-term cash position of the Group (cash and cash equivalents, less short-term financial debts) amounted to €5,099.1 million.</w:t>
      </w:r>
    </w:p>
    <w:p>
      <w:pPr>
        <w:spacing w:after="0" w:line="196"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231F20"/>
        </w:rPr>
        <w:t>As of December 31, 2016, a 1% (100 basis points) increase in interest rates would lower the fair value of the fixed rate synthetic bonds, convertible bonds and private placements by €73.8 million before tax. A 1% (100 basis points) decrease in interest rates would raise the fair value by €80.4 million before tax.</w:t>
      </w:r>
    </w:p>
    <w:p>
      <w:pPr>
        <w:spacing w:after="0" w:line="196" w:lineRule="exact"/>
        <w:rPr>
          <w:sz w:val="20"/>
          <w:szCs w:val="20"/>
          <w:color w:val="auto"/>
        </w:rPr>
      </w:pPr>
    </w:p>
    <w:p>
      <w:pPr>
        <w:ind w:left="40"/>
        <w:spacing w:after="0" w:line="260" w:lineRule="auto"/>
        <w:rPr>
          <w:sz w:val="20"/>
          <w:szCs w:val="20"/>
          <w:color w:val="auto"/>
        </w:rPr>
      </w:pPr>
      <w:r>
        <w:rPr>
          <w:rFonts w:ascii="Arial" w:cs="Arial" w:eastAsia="Arial" w:hAnsi="Arial"/>
          <w:sz w:val="16"/>
          <w:szCs w:val="16"/>
          <w:color w:val="231F20"/>
        </w:rPr>
        <w:t>A 1% (100 basis points) increase in interest rates would generate an additional profit of €50.1 million before tax in the net cash position. A 1% (100 basis points) decrease in interest rates would generate a loss of the same amount.</w:t>
      </w:r>
    </w:p>
    <w:p>
      <w:pPr>
        <w:sectPr>
          <w:pgSz w:w="11900" w:h="16838" w:orient="portrait"/>
          <w:cols w:equalWidth="0" w:num="1">
            <w:col w:w="11340"/>
          </w:cols>
          <w:pgMar w:left="320" w:top="676" w:right="23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b w:val="1"/>
          <w:bCs w:val="1"/>
          <w:color w:val="2360A6"/>
        </w:rPr>
        <w:t>As of December 31, 2015</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231F20"/>
        </w:rPr>
        <w:t>Technip’s floating rate debt amounted to €177.8 million compared to an aggregate total debt of €2,563.1 million.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231F20"/>
        </w:rPr>
        <w:t>To ensure liquidity, cash is invested on a short-term basis. Financial products are subject to fluctuations in currency interest rates.</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As of December 31, 2015, the net short-term cash position of the Group (cash and cash equivalents, less short-term financial debts) amounted to €1,982.0 million.</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As of December 31, 2015, a 1% (100 basis points) increase in interest rates would lower the fair value of the fixed rate convertible bonds (OCEANE) and private placements by €71.7 million before tax. A 1% (100 basis points) decrease in interest rates would raise the fair value by €78.4 million before tax.</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 1% (100 basis points) increase in interest rates would generate an additional profit of €18.3 million before tax in the net cash position. A 1% (100 basis points) decrease in interest rates would generate a loss of the same amount.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2360A6"/>
        </w:rPr>
        <w:t>As of December 31, 2014</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231F20"/>
        </w:rPr>
        <w:t>Technip’s floating rate debt amounted to €193.3 million compared to an aggregate total debt of €2,613.0 million.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231F20"/>
        </w:rPr>
        <w:t>Cash is invested short-term to ensure liquidity. Financial products are subject to fluctuations in currency interest rates.</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As of December 31, 2014, the net short-term cash position of the Group (cash and cash equivalents, less short-term financial debts) amounted to €2,429.2 million.</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As of December 31, 2014, a 1% (100 basis points) increase in interest rates would lower the fair value of the fixed rate convertible bonds (OCEANE) and private placements by €93.2 million before tax. A 1% (100 basis points) decrease in interest rates would raise the fair value by €102.4 million before tax.</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A 1% (100 basis points) increase in interest rates would generate an additional profit of €22.4 million before tax in the net cash position. A 1% (100 basis points) decrease in interest rates would generate a loss of the same amount.</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2360A6"/>
        </w:rPr>
        <w:t>Interest rate risk monitoring method</w:t>
      </w:r>
    </w:p>
    <w:p>
      <w:pPr>
        <w:spacing w:after="0" w:line="241" w:lineRule="exact"/>
        <w:rPr>
          <w:sz w:val="20"/>
          <w:szCs w:val="20"/>
          <w:color w:val="auto"/>
        </w:rPr>
      </w:pPr>
    </w:p>
    <w:p>
      <w:pPr>
        <w:spacing w:after="0" w:line="260" w:lineRule="auto"/>
        <w:rPr>
          <w:sz w:val="20"/>
          <w:szCs w:val="20"/>
          <w:color w:val="auto"/>
        </w:rPr>
      </w:pPr>
      <w:r>
        <w:rPr>
          <w:rFonts w:ascii="Arial" w:cs="Arial" w:eastAsia="Arial" w:hAnsi="Arial"/>
          <w:sz w:val="16"/>
          <w:szCs w:val="16"/>
          <w:color w:val="231F20"/>
        </w:rPr>
        <w:t>Technip regularly analyses its exposure to interest rate risk. This is the responsibility of the Treasury Department, which reports directly to the Chief Financial Officer.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231F20"/>
        </w:rPr>
        <w:t>The Group does not use financial instruments for speculative purposes.</w:t>
      </w:r>
    </w:p>
    <w:p>
      <w:pPr>
        <w:sectPr>
          <w:pgSz w:w="11900" w:h="16838" w:orient="portrait"/>
          <w:cols w:equalWidth="0" w:num="1">
            <w:col w:w="11300"/>
          </w:cols>
          <w:pgMar w:left="360" w:top="580" w:right="239" w:bottom="1440" w:gutter="0" w:footer="0" w:header="0"/>
        </w:sectPr>
      </w:pPr>
    </w:p>
    <w:bookmarkStart w:id="175" w:name="page176"/>
    <w:bookmarkEnd w:id="175"/>
    <w:p>
      <w:pPr>
        <w:spacing w:after="0"/>
        <w:rPr>
          <w:sz w:val="20"/>
          <w:szCs w:val="20"/>
          <w:color w:val="auto"/>
        </w:rPr>
      </w:pPr>
      <w:r>
        <w:rPr>
          <w:rFonts w:ascii="Arial" w:cs="Arial" w:eastAsia="Arial" w:hAnsi="Arial"/>
          <w:sz w:val="25"/>
          <w:szCs w:val="25"/>
          <w:b w:val="1"/>
          <w:bCs w:val="1"/>
          <w:color w:val="231F20"/>
        </w:rPr>
        <w:t>(D) Credit Risk</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 significant portion of the Group’s activity is concentrated with a limited number of clients because the worldwide market is dominated by a small number of major oil and gas companies. Consequently, the Group regularly performs credit risk analysis before entering into contracts and has set up procedures for monitoring payments made by customers.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231F20"/>
        </w:rPr>
        <w:t>The schedule of past due but not impaired trade receivables is the following:</w:t>
      </w:r>
    </w:p>
    <w:p>
      <w:pPr>
        <w:spacing w:after="0" w:line="118" w:lineRule="exact"/>
        <w:rPr>
          <w:sz w:val="20"/>
          <w:szCs w:val="20"/>
          <w:color w:val="auto"/>
        </w:rPr>
      </w:pPr>
    </w:p>
    <w:tbl>
      <w:tblPr>
        <w:tblLayout w:type="fixed"/>
        <w:tblInd w:w="350" w:type="dxa"/>
        <w:tblCellMar>
          <w:top w:w="0" w:type="dxa"/>
          <w:left w:w="0" w:type="dxa"/>
          <w:bottom w:w="0" w:type="dxa"/>
          <w:right w:w="0" w:type="dxa"/>
        </w:tblCellMar>
      </w:tblPr>
      <w:tr>
        <w:trPr>
          <w:trHeight w:val="223"/>
        </w:trPr>
        <w:tc>
          <w:tcPr>
            <w:tcW w:w="2580" w:type="dxa"/>
            <w:vAlign w:val="bottom"/>
            <w:tcBorders>
              <w:top w:val="single" w:sz="8" w:color="2360A6"/>
              <w:left w:val="single" w:sz="8" w:color="2360A6"/>
              <w:right w:val="single" w:sz="8" w:color="2360A6"/>
            </w:tcBorders>
          </w:tcPr>
          <w:p>
            <w:pPr>
              <w:spacing w:after="0"/>
              <w:rPr>
                <w:sz w:val="19"/>
                <w:szCs w:val="19"/>
                <w:color w:val="auto"/>
              </w:rPr>
            </w:pPr>
          </w:p>
        </w:tc>
        <w:tc>
          <w:tcPr>
            <w:tcW w:w="212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3180" w:type="dxa"/>
            <w:vAlign w:val="bottom"/>
            <w:tcBorders>
              <w:top w:val="single" w:sz="8" w:color="2360A6"/>
              <w:bottom w:val="single" w:sz="8" w:color="2360A6"/>
              <w:right w:val="single" w:sz="8" w:color="2360A6"/>
            </w:tcBorders>
            <w:gridSpan w:val="3"/>
            <w:shd w:val="clear" w:color="auto" w:fill="2360A6"/>
          </w:tcPr>
          <w:p>
            <w:pPr>
              <w:jc w:val="right"/>
              <w:ind w:right="388"/>
              <w:spacing w:after="0"/>
              <w:rPr>
                <w:sz w:val="20"/>
                <w:szCs w:val="20"/>
                <w:color w:val="auto"/>
              </w:rPr>
            </w:pPr>
            <w:r>
              <w:rPr>
                <w:rFonts w:ascii="Arial" w:cs="Arial" w:eastAsia="Arial" w:hAnsi="Arial"/>
                <w:sz w:val="14"/>
                <w:szCs w:val="14"/>
                <w:b w:val="1"/>
                <w:bCs w:val="1"/>
                <w:color w:val="FFFFFF"/>
              </w:rPr>
              <w:t>As of December 31, 2016</w:t>
            </w:r>
          </w:p>
        </w:tc>
        <w:tc>
          <w:tcPr>
            <w:tcW w:w="94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c>
          <w:tcPr>
            <w:tcW w:w="1800" w:type="dxa"/>
            <w:vAlign w:val="bottom"/>
            <w:tcBorders>
              <w:top w:val="single" w:sz="8" w:color="2360A6"/>
              <w:bottom w:val="single" w:sz="8" w:color="2360A6"/>
              <w:right w:val="single" w:sz="8" w:color="2360A6"/>
            </w:tcBorders>
            <w:shd w:val="clear" w:color="auto" w:fill="2360A6"/>
          </w:tcPr>
          <w:p>
            <w:pPr>
              <w:spacing w:after="0"/>
              <w:rPr>
                <w:sz w:val="19"/>
                <w:szCs w:val="19"/>
                <w:color w:val="auto"/>
              </w:rPr>
            </w:pPr>
          </w:p>
        </w:tc>
      </w:tr>
      <w:tr>
        <w:trPr>
          <w:trHeight w:val="176"/>
        </w:trPr>
        <w:tc>
          <w:tcPr>
            <w:tcW w:w="2580" w:type="dxa"/>
            <w:vAlign w:val="bottom"/>
            <w:tcBorders>
              <w:left w:val="single" w:sz="8" w:color="2360A6"/>
              <w:right w:val="single" w:sz="8" w:color="2360A6"/>
            </w:tcBorders>
          </w:tcPr>
          <w:p>
            <w:pPr>
              <w:spacing w:after="0"/>
              <w:rPr>
                <w:sz w:val="15"/>
                <w:szCs w:val="15"/>
                <w:color w:val="auto"/>
              </w:rPr>
            </w:pPr>
          </w:p>
        </w:tc>
        <w:tc>
          <w:tcPr>
            <w:tcW w:w="4440" w:type="dxa"/>
            <w:vAlign w:val="bottom"/>
            <w:gridSpan w:val="3"/>
            <w:shd w:val="clear" w:color="auto" w:fill="EDEDEE"/>
          </w:tcPr>
          <w:p>
            <w:pPr>
              <w:jc w:val="center"/>
              <w:ind w:left="1748"/>
              <w:spacing w:after="0"/>
              <w:rPr>
                <w:sz w:val="20"/>
                <w:szCs w:val="20"/>
                <w:color w:val="auto"/>
              </w:rPr>
            </w:pPr>
            <w:r>
              <w:rPr>
                <w:rFonts w:ascii="Arial" w:cs="Arial" w:eastAsia="Arial" w:hAnsi="Arial"/>
                <w:sz w:val="14"/>
                <w:szCs w:val="14"/>
                <w:b w:val="1"/>
                <w:bCs w:val="1"/>
                <w:color w:val="2360A6"/>
              </w:rPr>
              <w:t>Not impaired on the Reporting Date</w:t>
            </w:r>
          </w:p>
        </w:tc>
        <w:tc>
          <w:tcPr>
            <w:tcW w:w="860" w:type="dxa"/>
            <w:vAlign w:val="bottom"/>
            <w:tcBorders>
              <w:right w:val="single" w:sz="8" w:color="EDEDEE"/>
            </w:tcBorders>
            <w:shd w:val="clear" w:color="auto" w:fill="EDEDEE"/>
          </w:tcPr>
          <w:p>
            <w:pPr>
              <w:spacing w:after="0"/>
              <w:rPr>
                <w:sz w:val="15"/>
                <w:szCs w:val="15"/>
                <w:color w:val="auto"/>
              </w:rPr>
            </w:pPr>
          </w:p>
        </w:tc>
        <w:tc>
          <w:tcPr>
            <w:tcW w:w="940" w:type="dxa"/>
            <w:vAlign w:val="bottom"/>
            <w:tcBorders>
              <w:right w:val="single" w:sz="8" w:color="2360A6"/>
            </w:tcBorders>
            <w:shd w:val="clear" w:color="auto" w:fill="EDEDEE"/>
          </w:tcPr>
          <w:p>
            <w:pPr>
              <w:spacing w:after="0"/>
              <w:rPr>
                <w:sz w:val="15"/>
                <w:szCs w:val="15"/>
                <w:color w:val="auto"/>
              </w:rPr>
            </w:pPr>
          </w:p>
        </w:tc>
        <w:tc>
          <w:tcPr>
            <w:tcW w:w="1800" w:type="dxa"/>
            <w:vAlign w:val="bottom"/>
            <w:tcBorders>
              <w:right w:val="single" w:sz="8" w:color="2360A6"/>
            </w:tcBorders>
            <w:shd w:val="clear" w:color="auto" w:fill="EDEDEE"/>
          </w:tcPr>
          <w:p>
            <w:pPr>
              <w:spacing w:after="0"/>
              <w:rPr>
                <w:sz w:val="15"/>
                <w:szCs w:val="15"/>
                <w:color w:val="auto"/>
              </w:rPr>
            </w:pPr>
          </w:p>
        </w:tc>
      </w:tr>
      <w:tr>
        <w:trPr>
          <w:trHeight w:val="196"/>
        </w:trPr>
        <w:tc>
          <w:tcPr>
            <w:tcW w:w="2580" w:type="dxa"/>
            <w:vAlign w:val="bottom"/>
            <w:tcBorders>
              <w:left w:val="single" w:sz="8" w:color="2360A6"/>
              <w:right w:val="single" w:sz="8" w:color="2360A6"/>
            </w:tcBorders>
          </w:tcPr>
          <w:p>
            <w:pPr>
              <w:spacing w:after="0"/>
              <w:rPr>
                <w:sz w:val="17"/>
                <w:szCs w:val="17"/>
                <w:color w:val="auto"/>
              </w:rPr>
            </w:pPr>
          </w:p>
        </w:tc>
        <w:tc>
          <w:tcPr>
            <w:tcW w:w="4440" w:type="dxa"/>
            <w:vAlign w:val="bottom"/>
            <w:tcBorders>
              <w:bottom w:val="single" w:sz="8" w:color="2360A6"/>
            </w:tcBorders>
            <w:gridSpan w:val="3"/>
            <w:shd w:val="clear" w:color="auto" w:fill="EDEDEE"/>
          </w:tcPr>
          <w:p>
            <w:pPr>
              <w:jc w:val="center"/>
              <w:ind w:left="1748"/>
              <w:spacing w:after="0"/>
              <w:rPr>
                <w:sz w:val="20"/>
                <w:szCs w:val="20"/>
                <w:color w:val="auto"/>
              </w:rPr>
            </w:pPr>
            <w:r>
              <w:rPr>
                <w:rFonts w:ascii="Arial" w:cs="Arial" w:eastAsia="Arial" w:hAnsi="Arial"/>
                <w:sz w:val="14"/>
                <w:szCs w:val="14"/>
                <w:b w:val="1"/>
                <w:bCs w:val="1"/>
                <w:color w:val="2360A6"/>
              </w:rPr>
              <w:t>and Past Due in the Following Periods</w:t>
            </w:r>
          </w:p>
        </w:tc>
        <w:tc>
          <w:tcPr>
            <w:tcW w:w="860" w:type="dxa"/>
            <w:vAlign w:val="bottom"/>
            <w:tcBorders>
              <w:bottom w:val="single" w:sz="8" w:color="2360A6"/>
              <w:right w:val="single" w:sz="8" w:color="EDEDEE"/>
            </w:tcBorders>
            <w:shd w:val="clear" w:color="auto" w:fill="EDEDEE"/>
          </w:tcPr>
          <w:p>
            <w:pPr>
              <w:spacing w:after="0"/>
              <w:rPr>
                <w:sz w:val="17"/>
                <w:szCs w:val="17"/>
                <w:color w:val="auto"/>
              </w:rPr>
            </w:pPr>
          </w:p>
        </w:tc>
        <w:tc>
          <w:tcPr>
            <w:tcW w:w="940" w:type="dxa"/>
            <w:vAlign w:val="bottom"/>
            <w:tcBorders>
              <w:bottom w:val="single" w:sz="8" w:color="2360A6"/>
              <w:right w:val="single" w:sz="8" w:color="2360A6"/>
            </w:tcBorders>
            <w:shd w:val="clear" w:color="auto" w:fill="EDEDEE"/>
          </w:tcPr>
          <w:p>
            <w:pPr>
              <w:spacing w:after="0"/>
              <w:rPr>
                <w:sz w:val="17"/>
                <w:szCs w:val="17"/>
                <w:color w:val="auto"/>
              </w:rPr>
            </w:pPr>
          </w:p>
        </w:tc>
        <w:tc>
          <w:tcPr>
            <w:tcW w:w="1800" w:type="dxa"/>
            <w:vAlign w:val="bottom"/>
            <w:tcBorders>
              <w:bottom w:val="single" w:sz="8" w:color="2360A6"/>
              <w:right w:val="single" w:sz="8" w:color="2360A6"/>
            </w:tcBorders>
            <w:shd w:val="clear" w:color="auto" w:fill="EDEDEE"/>
          </w:tcPr>
          <w:p>
            <w:pPr>
              <w:spacing w:after="0"/>
              <w:rPr>
                <w:sz w:val="17"/>
                <w:szCs w:val="17"/>
                <w:color w:val="auto"/>
              </w:rPr>
            </w:pPr>
          </w:p>
        </w:tc>
      </w:tr>
      <w:tr>
        <w:trPr>
          <w:trHeight w:val="216"/>
        </w:trPr>
        <w:tc>
          <w:tcPr>
            <w:tcW w:w="2580" w:type="dxa"/>
            <w:vAlign w:val="bottom"/>
            <w:tcBorders>
              <w:left w:val="single" w:sz="8" w:color="2360A6"/>
              <w:right w:val="single" w:sz="8" w:color="2360A6"/>
            </w:tcBorders>
          </w:tcPr>
          <w:p>
            <w:pPr>
              <w:spacing w:after="0"/>
              <w:rPr>
                <w:sz w:val="18"/>
                <w:szCs w:val="18"/>
                <w:color w:val="auto"/>
              </w:rPr>
            </w:pPr>
          </w:p>
        </w:tc>
        <w:tc>
          <w:tcPr>
            <w:tcW w:w="2120" w:type="dxa"/>
            <w:vAlign w:val="bottom"/>
            <w:tcBorders>
              <w:right w:val="single" w:sz="8" w:color="2360A6"/>
            </w:tcBorders>
            <w:shd w:val="clear" w:color="auto" w:fill="EDEDEE"/>
          </w:tcPr>
          <w:p>
            <w:pPr>
              <w:spacing w:after="0"/>
              <w:rPr>
                <w:sz w:val="18"/>
                <w:szCs w:val="18"/>
                <w:color w:val="auto"/>
              </w:rPr>
            </w:pPr>
          </w:p>
        </w:tc>
        <w:tc>
          <w:tcPr>
            <w:tcW w:w="1700" w:type="dxa"/>
            <w:vAlign w:val="bottom"/>
            <w:tcBorders>
              <w:right w:val="single" w:sz="8" w:color="2360A6"/>
            </w:tcBorders>
            <w:shd w:val="clear" w:color="auto" w:fill="EDEDEE"/>
          </w:tcPr>
          <w:p>
            <w:pPr>
              <w:spacing w:after="0"/>
              <w:rPr>
                <w:sz w:val="18"/>
                <w:szCs w:val="18"/>
                <w:color w:val="auto"/>
              </w:rPr>
            </w:pPr>
          </w:p>
        </w:tc>
        <w:tc>
          <w:tcPr>
            <w:tcW w:w="620" w:type="dxa"/>
            <w:vAlign w:val="bottom"/>
            <w:shd w:val="clear" w:color="auto" w:fill="EDEDEE"/>
          </w:tcPr>
          <w:p>
            <w:pPr>
              <w:spacing w:after="0"/>
              <w:rPr>
                <w:sz w:val="18"/>
                <w:szCs w:val="18"/>
                <w:color w:val="auto"/>
              </w:rPr>
            </w:pPr>
          </w:p>
        </w:tc>
        <w:tc>
          <w:tcPr>
            <w:tcW w:w="860" w:type="dxa"/>
            <w:vAlign w:val="bottom"/>
            <w:tcBorders>
              <w:right w:val="single" w:sz="8" w:color="2360A6"/>
            </w:tcBorders>
            <w:shd w:val="clear" w:color="auto" w:fill="EDEDEE"/>
          </w:tcPr>
          <w:p>
            <w:pPr>
              <w:spacing w:after="0"/>
              <w:rPr>
                <w:sz w:val="18"/>
                <w:szCs w:val="18"/>
                <w:color w:val="auto"/>
              </w:rPr>
            </w:pPr>
          </w:p>
        </w:tc>
        <w:tc>
          <w:tcPr>
            <w:tcW w:w="940" w:type="dxa"/>
            <w:vAlign w:val="bottom"/>
            <w:tcBorders>
              <w:right w:val="single" w:sz="8" w:color="2360A6"/>
            </w:tcBorders>
            <w:shd w:val="clear" w:color="auto" w:fill="EDEDEE"/>
          </w:tcPr>
          <w:p>
            <w:pPr>
              <w:spacing w:after="0"/>
              <w:rPr>
                <w:sz w:val="18"/>
                <w:szCs w:val="18"/>
                <w:color w:val="auto"/>
              </w:rPr>
            </w:pPr>
          </w:p>
        </w:tc>
        <w:tc>
          <w:tcPr>
            <w:tcW w:w="1800" w:type="dxa"/>
            <w:vAlign w:val="bottom"/>
            <w:tcBorders>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Total Trade</w:t>
            </w:r>
          </w:p>
        </w:tc>
      </w:tr>
      <w:tr>
        <w:trPr>
          <w:trHeight w:val="196"/>
        </w:trPr>
        <w:tc>
          <w:tcPr>
            <w:tcW w:w="2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Less than 3 months</w:t>
            </w:r>
          </w:p>
        </w:tc>
        <w:tc>
          <w:tcPr>
            <w:tcW w:w="17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3 to 12 months</w:t>
            </w:r>
          </w:p>
        </w:tc>
        <w:tc>
          <w:tcPr>
            <w:tcW w:w="620" w:type="dxa"/>
            <w:vAlign w:val="bottom"/>
            <w:tcBorders>
              <w:bottom w:val="single" w:sz="8" w:color="2360A6"/>
            </w:tcBorders>
            <w:shd w:val="clear" w:color="auto" w:fill="EDEDEE"/>
          </w:tcPr>
          <w:p>
            <w:pPr>
              <w:spacing w:after="0"/>
              <w:rPr>
                <w:sz w:val="17"/>
                <w:szCs w:val="17"/>
                <w:color w:val="auto"/>
              </w:rPr>
            </w:pPr>
          </w:p>
        </w:tc>
        <w:tc>
          <w:tcPr>
            <w:tcW w:w="8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Over 1 year</w:t>
            </w:r>
          </w:p>
        </w:tc>
        <w:tc>
          <w:tcPr>
            <w:tcW w:w="94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Total</w:t>
            </w:r>
          </w:p>
        </w:tc>
        <w:tc>
          <w:tcPr>
            <w:tcW w:w="18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b w:val="1"/>
                <w:bCs w:val="1"/>
                <w:color w:val="2360A6"/>
              </w:rPr>
              <w:t>Receivables</w:t>
            </w:r>
          </w:p>
        </w:tc>
      </w:tr>
      <w:tr>
        <w:trPr>
          <w:trHeight w:val="210"/>
        </w:trPr>
        <w:tc>
          <w:tcPr>
            <w:tcW w:w="2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Trade Receivables</w:t>
            </w:r>
          </w:p>
        </w:tc>
        <w:tc>
          <w:tcPr>
            <w:tcW w:w="212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355.8</w:t>
            </w:r>
          </w:p>
        </w:tc>
        <w:tc>
          <w:tcPr>
            <w:tcW w:w="17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381.0</w:t>
            </w:r>
          </w:p>
        </w:tc>
        <w:tc>
          <w:tcPr>
            <w:tcW w:w="620" w:type="dxa"/>
            <w:vAlign w:val="bottom"/>
            <w:tcBorders>
              <w:bottom w:val="single" w:sz="8" w:color="2360A6"/>
            </w:tcBorders>
            <w:shd w:val="clear" w:color="auto" w:fill="EDEDEE"/>
          </w:tcPr>
          <w:p>
            <w:pPr>
              <w:spacing w:after="0"/>
              <w:rPr>
                <w:sz w:val="18"/>
                <w:szCs w:val="18"/>
                <w:color w:val="auto"/>
              </w:rPr>
            </w:pPr>
          </w:p>
        </w:tc>
        <w:tc>
          <w:tcPr>
            <w:tcW w:w="86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79.4</w:t>
            </w:r>
          </w:p>
        </w:tc>
        <w:tc>
          <w:tcPr>
            <w:tcW w:w="94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816.2</w:t>
            </w:r>
          </w:p>
        </w:tc>
        <w:tc>
          <w:tcPr>
            <w:tcW w:w="1800" w:type="dxa"/>
            <w:vAlign w:val="bottom"/>
            <w:tcBorders>
              <w:bottom w:val="single" w:sz="8" w:color="2360A6"/>
              <w:right w:val="single" w:sz="8" w:color="2360A6"/>
            </w:tcBorders>
            <w:shd w:val="clear" w:color="auto" w:fill="EDEDEE"/>
          </w:tcPr>
          <w:p>
            <w:pPr>
              <w:jc w:val="right"/>
              <w:spacing w:after="0"/>
              <w:rPr>
                <w:sz w:val="20"/>
                <w:szCs w:val="20"/>
                <w:color w:val="auto"/>
              </w:rPr>
            </w:pPr>
            <w:r>
              <w:rPr>
                <w:rFonts w:ascii="Arial" w:cs="Arial" w:eastAsia="Arial" w:hAnsi="Arial"/>
                <w:sz w:val="14"/>
                <w:szCs w:val="14"/>
                <w:color w:val="231F20"/>
              </w:rPr>
              <w:t>1,920.6</w:t>
            </w:r>
          </w:p>
        </w:tc>
      </w:tr>
      <w:tr>
        <w:trPr>
          <w:trHeight w:val="135"/>
        </w:trPr>
        <w:tc>
          <w:tcPr>
            <w:tcW w:w="2580" w:type="dxa"/>
            <w:vAlign w:val="bottom"/>
            <w:tcBorders>
              <w:bottom w:val="single" w:sz="8" w:color="2360A6"/>
            </w:tcBorders>
          </w:tcPr>
          <w:p>
            <w:pPr>
              <w:spacing w:after="0"/>
              <w:rPr>
                <w:sz w:val="11"/>
                <w:szCs w:val="11"/>
                <w:color w:val="auto"/>
              </w:rPr>
            </w:pPr>
          </w:p>
        </w:tc>
        <w:tc>
          <w:tcPr>
            <w:tcW w:w="2120" w:type="dxa"/>
            <w:vAlign w:val="bottom"/>
            <w:tcBorders>
              <w:bottom w:val="single" w:sz="8" w:color="2360A6"/>
            </w:tcBorders>
          </w:tcPr>
          <w:p>
            <w:pPr>
              <w:spacing w:after="0"/>
              <w:rPr>
                <w:sz w:val="11"/>
                <w:szCs w:val="11"/>
                <w:color w:val="auto"/>
              </w:rPr>
            </w:pPr>
          </w:p>
        </w:tc>
        <w:tc>
          <w:tcPr>
            <w:tcW w:w="3180" w:type="dxa"/>
            <w:vAlign w:val="bottom"/>
            <w:tcBorders>
              <w:bottom w:val="single" w:sz="8" w:color="2360A6"/>
            </w:tcBorders>
            <w:gridSpan w:val="3"/>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1800" w:type="dxa"/>
            <w:vAlign w:val="bottom"/>
            <w:tcBorders>
              <w:bottom w:val="single" w:sz="8" w:color="2360A6"/>
            </w:tcBorders>
          </w:tcPr>
          <w:p>
            <w:pPr>
              <w:spacing w:after="0"/>
              <w:rPr>
                <w:sz w:val="11"/>
                <w:szCs w:val="11"/>
                <w:color w:val="auto"/>
              </w:rPr>
            </w:pPr>
          </w:p>
        </w:tc>
      </w:tr>
      <w:tr>
        <w:trPr>
          <w:trHeight w:val="204"/>
        </w:trPr>
        <w:tc>
          <w:tcPr>
            <w:tcW w:w="2580" w:type="dxa"/>
            <w:vAlign w:val="bottom"/>
            <w:tcBorders>
              <w:left w:val="single" w:sz="8" w:color="2360A6"/>
              <w:right w:val="single" w:sz="8" w:color="2360A6"/>
            </w:tcBorders>
          </w:tcPr>
          <w:p>
            <w:pPr>
              <w:spacing w:after="0"/>
              <w:rPr>
                <w:sz w:val="17"/>
                <w:szCs w:val="17"/>
                <w:color w:val="auto"/>
              </w:rPr>
            </w:pPr>
          </w:p>
        </w:tc>
        <w:tc>
          <w:tcPr>
            <w:tcW w:w="2120" w:type="dxa"/>
            <w:vAlign w:val="bottom"/>
            <w:tcBorders>
              <w:bottom w:val="single" w:sz="8" w:color="2360A6"/>
            </w:tcBorders>
          </w:tcPr>
          <w:p>
            <w:pPr>
              <w:spacing w:after="0"/>
              <w:rPr>
                <w:sz w:val="17"/>
                <w:szCs w:val="17"/>
                <w:color w:val="auto"/>
              </w:rPr>
            </w:pPr>
          </w:p>
        </w:tc>
        <w:tc>
          <w:tcPr>
            <w:tcW w:w="3180" w:type="dxa"/>
            <w:vAlign w:val="bottom"/>
            <w:tcBorders>
              <w:bottom w:val="single" w:sz="8" w:color="2360A6"/>
            </w:tcBorders>
            <w:gridSpan w:val="3"/>
          </w:tcPr>
          <w:p>
            <w:pPr>
              <w:jc w:val="right"/>
              <w:ind w:right="388"/>
              <w:spacing w:after="0"/>
              <w:rPr>
                <w:sz w:val="20"/>
                <w:szCs w:val="20"/>
                <w:color w:val="auto"/>
              </w:rPr>
            </w:pPr>
            <w:r>
              <w:rPr>
                <w:rFonts w:ascii="Arial" w:cs="Arial" w:eastAsia="Arial" w:hAnsi="Arial"/>
                <w:sz w:val="14"/>
                <w:szCs w:val="14"/>
                <w:b w:val="1"/>
                <w:bCs w:val="1"/>
                <w:color w:val="2360A6"/>
              </w:rPr>
              <w:t>As of December 31, 2015</w:t>
            </w:r>
          </w:p>
        </w:tc>
        <w:tc>
          <w:tcPr>
            <w:tcW w:w="940" w:type="dxa"/>
            <w:vAlign w:val="bottom"/>
            <w:tcBorders>
              <w:bottom w:val="single" w:sz="8" w:color="2360A6"/>
            </w:tcBorders>
          </w:tcPr>
          <w:p>
            <w:pPr>
              <w:spacing w:after="0"/>
              <w:rPr>
                <w:sz w:val="17"/>
                <w:szCs w:val="17"/>
                <w:color w:val="auto"/>
              </w:rPr>
            </w:pPr>
          </w:p>
        </w:tc>
        <w:tc>
          <w:tcPr>
            <w:tcW w:w="1800" w:type="dxa"/>
            <w:vAlign w:val="bottom"/>
            <w:tcBorders>
              <w:bottom w:val="single" w:sz="8" w:color="2360A6"/>
              <w:right w:val="single" w:sz="8" w:color="2360A6"/>
            </w:tcBorders>
          </w:tcPr>
          <w:p>
            <w:pPr>
              <w:spacing w:after="0"/>
              <w:rPr>
                <w:sz w:val="17"/>
                <w:szCs w:val="17"/>
                <w:color w:val="auto"/>
              </w:rPr>
            </w:pPr>
          </w:p>
        </w:tc>
      </w:tr>
      <w:tr>
        <w:trPr>
          <w:trHeight w:val="175"/>
        </w:trPr>
        <w:tc>
          <w:tcPr>
            <w:tcW w:w="2580" w:type="dxa"/>
            <w:vAlign w:val="bottom"/>
            <w:tcBorders>
              <w:left w:val="single" w:sz="8" w:color="2360A6"/>
              <w:right w:val="single" w:sz="8" w:color="2360A6"/>
            </w:tcBorders>
          </w:tcPr>
          <w:p>
            <w:pPr>
              <w:spacing w:after="0"/>
              <w:rPr>
                <w:sz w:val="15"/>
                <w:szCs w:val="15"/>
                <w:color w:val="auto"/>
              </w:rPr>
            </w:pPr>
          </w:p>
        </w:tc>
        <w:tc>
          <w:tcPr>
            <w:tcW w:w="4440" w:type="dxa"/>
            <w:vAlign w:val="bottom"/>
            <w:gridSpan w:val="3"/>
          </w:tcPr>
          <w:p>
            <w:pPr>
              <w:jc w:val="center"/>
              <w:ind w:left="1748"/>
              <w:spacing w:after="0"/>
              <w:rPr>
                <w:sz w:val="20"/>
                <w:szCs w:val="20"/>
                <w:color w:val="auto"/>
              </w:rPr>
            </w:pPr>
            <w:r>
              <w:rPr>
                <w:rFonts w:ascii="Arial" w:cs="Arial" w:eastAsia="Arial" w:hAnsi="Arial"/>
                <w:sz w:val="14"/>
                <w:szCs w:val="14"/>
                <w:b w:val="1"/>
                <w:bCs w:val="1"/>
                <w:color w:val="2360A6"/>
              </w:rPr>
              <w:t>Not impaired on the Reporting Date</w:t>
            </w:r>
          </w:p>
        </w:tc>
        <w:tc>
          <w:tcPr>
            <w:tcW w:w="860" w:type="dxa"/>
            <w:vAlign w:val="bottom"/>
          </w:tcPr>
          <w:p>
            <w:pPr>
              <w:spacing w:after="0"/>
              <w:rPr>
                <w:sz w:val="15"/>
                <w:szCs w:val="15"/>
                <w:color w:val="auto"/>
              </w:rPr>
            </w:pPr>
          </w:p>
        </w:tc>
        <w:tc>
          <w:tcPr>
            <w:tcW w:w="940" w:type="dxa"/>
            <w:vAlign w:val="bottom"/>
            <w:tcBorders>
              <w:right w:val="single" w:sz="8" w:color="2360A6"/>
            </w:tcBorders>
          </w:tcPr>
          <w:p>
            <w:pPr>
              <w:spacing w:after="0"/>
              <w:rPr>
                <w:sz w:val="15"/>
                <w:szCs w:val="15"/>
                <w:color w:val="auto"/>
              </w:rPr>
            </w:pPr>
          </w:p>
        </w:tc>
        <w:tc>
          <w:tcPr>
            <w:tcW w:w="1800" w:type="dxa"/>
            <w:vAlign w:val="bottom"/>
            <w:tcBorders>
              <w:right w:val="single" w:sz="8" w:color="2360A6"/>
            </w:tcBorders>
          </w:tcPr>
          <w:p>
            <w:pPr>
              <w:spacing w:after="0"/>
              <w:rPr>
                <w:sz w:val="15"/>
                <w:szCs w:val="15"/>
                <w:color w:val="auto"/>
              </w:rPr>
            </w:pPr>
          </w:p>
        </w:tc>
      </w:tr>
      <w:tr>
        <w:trPr>
          <w:trHeight w:val="196"/>
        </w:trPr>
        <w:tc>
          <w:tcPr>
            <w:tcW w:w="2580" w:type="dxa"/>
            <w:vAlign w:val="bottom"/>
            <w:tcBorders>
              <w:left w:val="single" w:sz="8" w:color="2360A6"/>
              <w:right w:val="single" w:sz="8" w:color="2360A6"/>
            </w:tcBorders>
          </w:tcPr>
          <w:p>
            <w:pPr>
              <w:spacing w:after="0"/>
              <w:rPr>
                <w:sz w:val="17"/>
                <w:szCs w:val="17"/>
                <w:color w:val="auto"/>
              </w:rPr>
            </w:pPr>
          </w:p>
        </w:tc>
        <w:tc>
          <w:tcPr>
            <w:tcW w:w="4440" w:type="dxa"/>
            <w:vAlign w:val="bottom"/>
            <w:tcBorders>
              <w:bottom w:val="single" w:sz="8" w:color="2360A6"/>
            </w:tcBorders>
            <w:gridSpan w:val="3"/>
          </w:tcPr>
          <w:p>
            <w:pPr>
              <w:jc w:val="center"/>
              <w:ind w:left="1748"/>
              <w:spacing w:after="0"/>
              <w:rPr>
                <w:sz w:val="20"/>
                <w:szCs w:val="20"/>
                <w:color w:val="auto"/>
              </w:rPr>
            </w:pPr>
            <w:r>
              <w:rPr>
                <w:rFonts w:ascii="Arial" w:cs="Arial" w:eastAsia="Arial" w:hAnsi="Arial"/>
                <w:sz w:val="14"/>
                <w:szCs w:val="14"/>
                <w:b w:val="1"/>
                <w:bCs w:val="1"/>
                <w:color w:val="2360A6"/>
              </w:rPr>
              <w:t>and Past Due in the Following Periods</w:t>
            </w:r>
          </w:p>
        </w:tc>
        <w:tc>
          <w:tcPr>
            <w:tcW w:w="860" w:type="dxa"/>
            <w:vAlign w:val="bottom"/>
            <w:tcBorders>
              <w:bottom w:val="single" w:sz="8" w:color="2360A6"/>
            </w:tcBorders>
          </w:tcPr>
          <w:p>
            <w:pPr>
              <w:spacing w:after="0"/>
              <w:rPr>
                <w:sz w:val="17"/>
                <w:szCs w:val="17"/>
                <w:color w:val="auto"/>
              </w:rPr>
            </w:pPr>
          </w:p>
        </w:tc>
        <w:tc>
          <w:tcPr>
            <w:tcW w:w="940" w:type="dxa"/>
            <w:vAlign w:val="bottom"/>
            <w:tcBorders>
              <w:bottom w:val="single" w:sz="8" w:color="2360A6"/>
              <w:right w:val="single" w:sz="8" w:color="2360A6"/>
            </w:tcBorders>
          </w:tcPr>
          <w:p>
            <w:pPr>
              <w:spacing w:after="0"/>
              <w:rPr>
                <w:sz w:val="17"/>
                <w:szCs w:val="17"/>
                <w:color w:val="auto"/>
              </w:rPr>
            </w:pPr>
          </w:p>
        </w:tc>
        <w:tc>
          <w:tcPr>
            <w:tcW w:w="1800" w:type="dxa"/>
            <w:vAlign w:val="bottom"/>
            <w:tcBorders>
              <w:bottom w:val="single" w:sz="8" w:color="2360A6"/>
              <w:right w:val="single" w:sz="8" w:color="2360A6"/>
            </w:tcBorders>
          </w:tcPr>
          <w:p>
            <w:pPr>
              <w:spacing w:after="0"/>
              <w:rPr>
                <w:sz w:val="17"/>
                <w:szCs w:val="17"/>
                <w:color w:val="auto"/>
              </w:rPr>
            </w:pPr>
          </w:p>
        </w:tc>
      </w:tr>
      <w:tr>
        <w:trPr>
          <w:trHeight w:val="175"/>
        </w:trPr>
        <w:tc>
          <w:tcPr>
            <w:tcW w:w="2580" w:type="dxa"/>
            <w:vAlign w:val="bottom"/>
            <w:tcBorders>
              <w:left w:val="single" w:sz="8" w:color="2360A6"/>
              <w:right w:val="single" w:sz="8" w:color="2360A6"/>
            </w:tcBorders>
          </w:tcPr>
          <w:p>
            <w:pPr>
              <w:spacing w:after="0"/>
              <w:rPr>
                <w:sz w:val="15"/>
                <w:szCs w:val="15"/>
                <w:color w:val="auto"/>
              </w:rPr>
            </w:pPr>
          </w:p>
        </w:tc>
        <w:tc>
          <w:tcPr>
            <w:tcW w:w="2120" w:type="dxa"/>
            <w:vAlign w:val="bottom"/>
            <w:tcBorders>
              <w:right w:val="single" w:sz="8" w:color="2360A6"/>
            </w:tcBorders>
          </w:tcPr>
          <w:p>
            <w:pPr>
              <w:spacing w:after="0"/>
              <w:rPr>
                <w:sz w:val="15"/>
                <w:szCs w:val="15"/>
                <w:color w:val="auto"/>
              </w:rPr>
            </w:pPr>
          </w:p>
        </w:tc>
        <w:tc>
          <w:tcPr>
            <w:tcW w:w="1700" w:type="dxa"/>
            <w:vAlign w:val="bottom"/>
            <w:tcBorders>
              <w:right w:val="single" w:sz="8" w:color="2360A6"/>
            </w:tcBorders>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Borders>
              <w:right w:val="single" w:sz="8" w:color="2360A6"/>
            </w:tcBorders>
          </w:tcPr>
          <w:p>
            <w:pPr>
              <w:spacing w:after="0"/>
              <w:rPr>
                <w:sz w:val="15"/>
                <w:szCs w:val="15"/>
                <w:color w:val="auto"/>
              </w:rPr>
            </w:pPr>
          </w:p>
        </w:tc>
        <w:tc>
          <w:tcPr>
            <w:tcW w:w="940" w:type="dxa"/>
            <w:vAlign w:val="bottom"/>
            <w:tcBorders>
              <w:right w:val="single" w:sz="8" w:color="2360A6"/>
            </w:tcBorders>
          </w:tcPr>
          <w:p>
            <w:pPr>
              <w:spacing w:after="0"/>
              <w:rPr>
                <w:sz w:val="15"/>
                <w:szCs w:val="15"/>
                <w:color w:val="auto"/>
              </w:rPr>
            </w:pPr>
          </w:p>
        </w:tc>
        <w:tc>
          <w:tcPr>
            <w:tcW w:w="180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Total Trade</w:t>
            </w:r>
          </w:p>
        </w:tc>
      </w:tr>
      <w:tr>
        <w:trPr>
          <w:trHeight w:val="196"/>
        </w:trPr>
        <w:tc>
          <w:tcPr>
            <w:tcW w:w="2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21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Less than 3 months</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3 to 12 months</w:t>
            </w:r>
          </w:p>
        </w:tc>
        <w:tc>
          <w:tcPr>
            <w:tcW w:w="620" w:type="dxa"/>
            <w:vAlign w:val="bottom"/>
            <w:tcBorders>
              <w:bottom w:val="single" w:sz="8" w:color="2360A6"/>
            </w:tcBorders>
          </w:tcPr>
          <w:p>
            <w:pPr>
              <w:spacing w:after="0"/>
              <w:rPr>
                <w:sz w:val="17"/>
                <w:szCs w:val="17"/>
                <w:color w:val="auto"/>
              </w:rPr>
            </w:pP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Over 1 year</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Total</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Receivables</w:t>
            </w:r>
          </w:p>
        </w:tc>
      </w:tr>
      <w:tr>
        <w:trPr>
          <w:trHeight w:val="210"/>
        </w:trPr>
        <w:tc>
          <w:tcPr>
            <w:tcW w:w="2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Trade Receivables</w:t>
            </w:r>
          </w:p>
        </w:tc>
        <w:tc>
          <w:tcPr>
            <w:tcW w:w="21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330.4</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195.8</w:t>
            </w:r>
          </w:p>
        </w:tc>
        <w:tc>
          <w:tcPr>
            <w:tcW w:w="620" w:type="dxa"/>
            <w:vAlign w:val="bottom"/>
            <w:tcBorders>
              <w:bottom w:val="single" w:sz="8" w:color="2360A6"/>
            </w:tcBorders>
          </w:tcPr>
          <w:p>
            <w:pPr>
              <w:spacing w:after="0"/>
              <w:rPr>
                <w:sz w:val="18"/>
                <w:szCs w:val="18"/>
                <w:color w:val="auto"/>
              </w:rPr>
            </w:pP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44.4</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570.6</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1,668.2</w:t>
            </w:r>
          </w:p>
        </w:tc>
      </w:tr>
      <w:tr>
        <w:trPr>
          <w:trHeight w:val="135"/>
        </w:trPr>
        <w:tc>
          <w:tcPr>
            <w:tcW w:w="2580" w:type="dxa"/>
            <w:vAlign w:val="bottom"/>
            <w:tcBorders>
              <w:bottom w:val="single" w:sz="8" w:color="2360A6"/>
            </w:tcBorders>
          </w:tcPr>
          <w:p>
            <w:pPr>
              <w:spacing w:after="0"/>
              <w:rPr>
                <w:sz w:val="11"/>
                <w:szCs w:val="11"/>
                <w:color w:val="auto"/>
              </w:rPr>
            </w:pPr>
          </w:p>
        </w:tc>
        <w:tc>
          <w:tcPr>
            <w:tcW w:w="2120" w:type="dxa"/>
            <w:vAlign w:val="bottom"/>
            <w:tcBorders>
              <w:bottom w:val="single" w:sz="8" w:color="2360A6"/>
            </w:tcBorders>
          </w:tcPr>
          <w:p>
            <w:pPr>
              <w:spacing w:after="0"/>
              <w:rPr>
                <w:sz w:val="11"/>
                <w:szCs w:val="11"/>
                <w:color w:val="auto"/>
              </w:rPr>
            </w:pPr>
          </w:p>
        </w:tc>
        <w:tc>
          <w:tcPr>
            <w:tcW w:w="3180" w:type="dxa"/>
            <w:vAlign w:val="bottom"/>
            <w:tcBorders>
              <w:bottom w:val="single" w:sz="8" w:color="2360A6"/>
            </w:tcBorders>
            <w:gridSpan w:val="3"/>
          </w:tcPr>
          <w:p>
            <w:pPr>
              <w:spacing w:after="0"/>
              <w:rPr>
                <w:sz w:val="11"/>
                <w:szCs w:val="11"/>
                <w:color w:val="auto"/>
              </w:rPr>
            </w:pPr>
          </w:p>
        </w:tc>
        <w:tc>
          <w:tcPr>
            <w:tcW w:w="940" w:type="dxa"/>
            <w:vAlign w:val="bottom"/>
            <w:tcBorders>
              <w:bottom w:val="single" w:sz="8" w:color="2360A6"/>
            </w:tcBorders>
          </w:tcPr>
          <w:p>
            <w:pPr>
              <w:spacing w:after="0"/>
              <w:rPr>
                <w:sz w:val="11"/>
                <w:szCs w:val="11"/>
                <w:color w:val="auto"/>
              </w:rPr>
            </w:pPr>
          </w:p>
        </w:tc>
        <w:tc>
          <w:tcPr>
            <w:tcW w:w="1800" w:type="dxa"/>
            <w:vAlign w:val="bottom"/>
            <w:tcBorders>
              <w:bottom w:val="single" w:sz="8" w:color="2360A6"/>
            </w:tcBorders>
          </w:tcPr>
          <w:p>
            <w:pPr>
              <w:spacing w:after="0"/>
              <w:rPr>
                <w:sz w:val="11"/>
                <w:szCs w:val="11"/>
                <w:color w:val="auto"/>
              </w:rPr>
            </w:pPr>
          </w:p>
        </w:tc>
      </w:tr>
      <w:tr>
        <w:trPr>
          <w:trHeight w:val="204"/>
        </w:trPr>
        <w:tc>
          <w:tcPr>
            <w:tcW w:w="2580" w:type="dxa"/>
            <w:vAlign w:val="bottom"/>
            <w:tcBorders>
              <w:left w:val="single" w:sz="8" w:color="2360A6"/>
              <w:right w:val="single" w:sz="8" w:color="2360A6"/>
            </w:tcBorders>
          </w:tcPr>
          <w:p>
            <w:pPr>
              <w:spacing w:after="0"/>
              <w:rPr>
                <w:sz w:val="17"/>
                <w:szCs w:val="17"/>
                <w:color w:val="auto"/>
              </w:rPr>
            </w:pPr>
          </w:p>
        </w:tc>
        <w:tc>
          <w:tcPr>
            <w:tcW w:w="2120" w:type="dxa"/>
            <w:vAlign w:val="bottom"/>
            <w:tcBorders>
              <w:bottom w:val="single" w:sz="8" w:color="2360A6"/>
            </w:tcBorders>
          </w:tcPr>
          <w:p>
            <w:pPr>
              <w:spacing w:after="0"/>
              <w:rPr>
                <w:sz w:val="17"/>
                <w:szCs w:val="17"/>
                <w:color w:val="auto"/>
              </w:rPr>
            </w:pPr>
          </w:p>
        </w:tc>
        <w:tc>
          <w:tcPr>
            <w:tcW w:w="3180" w:type="dxa"/>
            <w:vAlign w:val="bottom"/>
            <w:tcBorders>
              <w:bottom w:val="single" w:sz="8" w:color="2360A6"/>
            </w:tcBorders>
            <w:gridSpan w:val="3"/>
          </w:tcPr>
          <w:p>
            <w:pPr>
              <w:jc w:val="right"/>
              <w:ind w:right="388"/>
              <w:spacing w:after="0"/>
              <w:rPr>
                <w:sz w:val="20"/>
                <w:szCs w:val="20"/>
                <w:color w:val="auto"/>
              </w:rPr>
            </w:pPr>
            <w:r>
              <w:rPr>
                <w:rFonts w:ascii="Arial" w:cs="Arial" w:eastAsia="Arial" w:hAnsi="Arial"/>
                <w:sz w:val="14"/>
                <w:szCs w:val="14"/>
                <w:b w:val="1"/>
                <w:bCs w:val="1"/>
                <w:color w:val="2360A6"/>
              </w:rPr>
              <w:t>As of December 31, 2014</w:t>
            </w:r>
          </w:p>
        </w:tc>
        <w:tc>
          <w:tcPr>
            <w:tcW w:w="940" w:type="dxa"/>
            <w:vAlign w:val="bottom"/>
            <w:tcBorders>
              <w:bottom w:val="single" w:sz="8" w:color="2360A6"/>
            </w:tcBorders>
          </w:tcPr>
          <w:p>
            <w:pPr>
              <w:spacing w:after="0"/>
              <w:rPr>
                <w:sz w:val="17"/>
                <w:szCs w:val="17"/>
                <w:color w:val="auto"/>
              </w:rPr>
            </w:pPr>
          </w:p>
        </w:tc>
        <w:tc>
          <w:tcPr>
            <w:tcW w:w="1800" w:type="dxa"/>
            <w:vAlign w:val="bottom"/>
            <w:tcBorders>
              <w:bottom w:val="single" w:sz="8" w:color="2360A6"/>
              <w:right w:val="single" w:sz="8" w:color="2360A6"/>
            </w:tcBorders>
          </w:tcPr>
          <w:p>
            <w:pPr>
              <w:spacing w:after="0"/>
              <w:rPr>
                <w:sz w:val="17"/>
                <w:szCs w:val="17"/>
                <w:color w:val="auto"/>
              </w:rPr>
            </w:pPr>
          </w:p>
        </w:tc>
      </w:tr>
      <w:tr>
        <w:trPr>
          <w:trHeight w:val="175"/>
        </w:trPr>
        <w:tc>
          <w:tcPr>
            <w:tcW w:w="2580" w:type="dxa"/>
            <w:vAlign w:val="bottom"/>
            <w:tcBorders>
              <w:left w:val="single" w:sz="8" w:color="2360A6"/>
              <w:right w:val="single" w:sz="8" w:color="2360A6"/>
            </w:tcBorders>
          </w:tcPr>
          <w:p>
            <w:pPr>
              <w:spacing w:after="0"/>
              <w:rPr>
                <w:sz w:val="15"/>
                <w:szCs w:val="15"/>
                <w:color w:val="auto"/>
              </w:rPr>
            </w:pPr>
          </w:p>
        </w:tc>
        <w:tc>
          <w:tcPr>
            <w:tcW w:w="4440" w:type="dxa"/>
            <w:vAlign w:val="bottom"/>
            <w:gridSpan w:val="3"/>
          </w:tcPr>
          <w:p>
            <w:pPr>
              <w:jc w:val="center"/>
              <w:ind w:left="1748"/>
              <w:spacing w:after="0"/>
              <w:rPr>
                <w:sz w:val="20"/>
                <w:szCs w:val="20"/>
                <w:color w:val="auto"/>
              </w:rPr>
            </w:pPr>
            <w:r>
              <w:rPr>
                <w:rFonts w:ascii="Arial" w:cs="Arial" w:eastAsia="Arial" w:hAnsi="Arial"/>
                <w:sz w:val="14"/>
                <w:szCs w:val="14"/>
                <w:b w:val="1"/>
                <w:bCs w:val="1"/>
                <w:color w:val="2360A6"/>
              </w:rPr>
              <w:t>Not impaired on the Reporting Date</w:t>
            </w:r>
          </w:p>
        </w:tc>
        <w:tc>
          <w:tcPr>
            <w:tcW w:w="860" w:type="dxa"/>
            <w:vAlign w:val="bottom"/>
          </w:tcPr>
          <w:p>
            <w:pPr>
              <w:spacing w:after="0"/>
              <w:rPr>
                <w:sz w:val="15"/>
                <w:szCs w:val="15"/>
                <w:color w:val="auto"/>
              </w:rPr>
            </w:pPr>
          </w:p>
        </w:tc>
        <w:tc>
          <w:tcPr>
            <w:tcW w:w="940" w:type="dxa"/>
            <w:vAlign w:val="bottom"/>
            <w:tcBorders>
              <w:right w:val="single" w:sz="8" w:color="2360A6"/>
            </w:tcBorders>
          </w:tcPr>
          <w:p>
            <w:pPr>
              <w:spacing w:after="0"/>
              <w:rPr>
                <w:sz w:val="15"/>
                <w:szCs w:val="15"/>
                <w:color w:val="auto"/>
              </w:rPr>
            </w:pPr>
          </w:p>
        </w:tc>
        <w:tc>
          <w:tcPr>
            <w:tcW w:w="1800" w:type="dxa"/>
            <w:vAlign w:val="bottom"/>
            <w:tcBorders>
              <w:right w:val="single" w:sz="8" w:color="2360A6"/>
            </w:tcBorders>
          </w:tcPr>
          <w:p>
            <w:pPr>
              <w:spacing w:after="0"/>
              <w:rPr>
                <w:sz w:val="15"/>
                <w:szCs w:val="15"/>
                <w:color w:val="auto"/>
              </w:rPr>
            </w:pPr>
          </w:p>
        </w:tc>
      </w:tr>
      <w:tr>
        <w:trPr>
          <w:trHeight w:val="196"/>
        </w:trPr>
        <w:tc>
          <w:tcPr>
            <w:tcW w:w="2580" w:type="dxa"/>
            <w:vAlign w:val="bottom"/>
            <w:tcBorders>
              <w:left w:val="single" w:sz="8" w:color="2360A6"/>
              <w:right w:val="single" w:sz="8" w:color="2360A6"/>
            </w:tcBorders>
          </w:tcPr>
          <w:p>
            <w:pPr>
              <w:spacing w:after="0"/>
              <w:rPr>
                <w:sz w:val="17"/>
                <w:szCs w:val="17"/>
                <w:color w:val="auto"/>
              </w:rPr>
            </w:pPr>
          </w:p>
        </w:tc>
        <w:tc>
          <w:tcPr>
            <w:tcW w:w="4440" w:type="dxa"/>
            <w:vAlign w:val="bottom"/>
            <w:tcBorders>
              <w:bottom w:val="single" w:sz="8" w:color="2360A6"/>
            </w:tcBorders>
            <w:gridSpan w:val="3"/>
          </w:tcPr>
          <w:p>
            <w:pPr>
              <w:jc w:val="center"/>
              <w:ind w:left="1748"/>
              <w:spacing w:after="0"/>
              <w:rPr>
                <w:sz w:val="20"/>
                <w:szCs w:val="20"/>
                <w:color w:val="auto"/>
              </w:rPr>
            </w:pPr>
            <w:r>
              <w:rPr>
                <w:rFonts w:ascii="Arial" w:cs="Arial" w:eastAsia="Arial" w:hAnsi="Arial"/>
                <w:sz w:val="14"/>
                <w:szCs w:val="14"/>
                <w:b w:val="1"/>
                <w:bCs w:val="1"/>
                <w:color w:val="2360A6"/>
              </w:rPr>
              <w:t>and Past Due in the Following Periods</w:t>
            </w:r>
          </w:p>
        </w:tc>
        <w:tc>
          <w:tcPr>
            <w:tcW w:w="860" w:type="dxa"/>
            <w:vAlign w:val="bottom"/>
            <w:tcBorders>
              <w:bottom w:val="single" w:sz="8" w:color="2360A6"/>
            </w:tcBorders>
          </w:tcPr>
          <w:p>
            <w:pPr>
              <w:spacing w:after="0"/>
              <w:rPr>
                <w:sz w:val="17"/>
                <w:szCs w:val="17"/>
                <w:color w:val="auto"/>
              </w:rPr>
            </w:pPr>
          </w:p>
        </w:tc>
        <w:tc>
          <w:tcPr>
            <w:tcW w:w="940" w:type="dxa"/>
            <w:vAlign w:val="bottom"/>
            <w:tcBorders>
              <w:bottom w:val="single" w:sz="8" w:color="2360A6"/>
              <w:right w:val="single" w:sz="8" w:color="2360A6"/>
            </w:tcBorders>
          </w:tcPr>
          <w:p>
            <w:pPr>
              <w:spacing w:after="0"/>
              <w:rPr>
                <w:sz w:val="17"/>
                <w:szCs w:val="17"/>
                <w:color w:val="auto"/>
              </w:rPr>
            </w:pPr>
          </w:p>
        </w:tc>
        <w:tc>
          <w:tcPr>
            <w:tcW w:w="1800" w:type="dxa"/>
            <w:vAlign w:val="bottom"/>
            <w:tcBorders>
              <w:bottom w:val="single" w:sz="8" w:color="2360A6"/>
              <w:right w:val="single" w:sz="8" w:color="2360A6"/>
            </w:tcBorders>
          </w:tcPr>
          <w:p>
            <w:pPr>
              <w:spacing w:after="0"/>
              <w:rPr>
                <w:sz w:val="17"/>
                <w:szCs w:val="17"/>
                <w:color w:val="auto"/>
              </w:rPr>
            </w:pPr>
          </w:p>
        </w:tc>
      </w:tr>
      <w:tr>
        <w:trPr>
          <w:trHeight w:val="175"/>
        </w:trPr>
        <w:tc>
          <w:tcPr>
            <w:tcW w:w="2580" w:type="dxa"/>
            <w:vAlign w:val="bottom"/>
            <w:tcBorders>
              <w:left w:val="single" w:sz="8" w:color="2360A6"/>
              <w:right w:val="single" w:sz="8" w:color="2360A6"/>
            </w:tcBorders>
          </w:tcPr>
          <w:p>
            <w:pPr>
              <w:spacing w:after="0"/>
              <w:rPr>
                <w:sz w:val="15"/>
                <w:szCs w:val="15"/>
                <w:color w:val="auto"/>
              </w:rPr>
            </w:pPr>
          </w:p>
        </w:tc>
        <w:tc>
          <w:tcPr>
            <w:tcW w:w="2120" w:type="dxa"/>
            <w:vAlign w:val="bottom"/>
            <w:tcBorders>
              <w:right w:val="single" w:sz="8" w:color="2360A6"/>
            </w:tcBorders>
          </w:tcPr>
          <w:p>
            <w:pPr>
              <w:spacing w:after="0"/>
              <w:rPr>
                <w:sz w:val="15"/>
                <w:szCs w:val="15"/>
                <w:color w:val="auto"/>
              </w:rPr>
            </w:pPr>
          </w:p>
        </w:tc>
        <w:tc>
          <w:tcPr>
            <w:tcW w:w="1700" w:type="dxa"/>
            <w:vAlign w:val="bottom"/>
            <w:tcBorders>
              <w:right w:val="single" w:sz="8" w:color="2360A6"/>
            </w:tcBorders>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Borders>
              <w:right w:val="single" w:sz="8" w:color="2360A6"/>
            </w:tcBorders>
          </w:tcPr>
          <w:p>
            <w:pPr>
              <w:spacing w:after="0"/>
              <w:rPr>
                <w:sz w:val="15"/>
                <w:szCs w:val="15"/>
                <w:color w:val="auto"/>
              </w:rPr>
            </w:pPr>
          </w:p>
        </w:tc>
        <w:tc>
          <w:tcPr>
            <w:tcW w:w="940" w:type="dxa"/>
            <w:vAlign w:val="bottom"/>
            <w:tcBorders>
              <w:right w:val="single" w:sz="8" w:color="2360A6"/>
            </w:tcBorders>
          </w:tcPr>
          <w:p>
            <w:pPr>
              <w:spacing w:after="0"/>
              <w:rPr>
                <w:sz w:val="15"/>
                <w:szCs w:val="15"/>
                <w:color w:val="auto"/>
              </w:rPr>
            </w:pPr>
          </w:p>
        </w:tc>
        <w:tc>
          <w:tcPr>
            <w:tcW w:w="1800" w:type="dxa"/>
            <w:vAlign w:val="bottom"/>
            <w:tcBorders>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Total Trade</w:t>
            </w:r>
          </w:p>
        </w:tc>
      </w:tr>
      <w:tr>
        <w:trPr>
          <w:trHeight w:val="196"/>
        </w:trPr>
        <w:tc>
          <w:tcPr>
            <w:tcW w:w="2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i w:val="1"/>
                <w:iCs w:val="1"/>
                <w:color w:val="231F20"/>
              </w:rPr>
              <w:t>In millions of Euro</w:t>
            </w:r>
          </w:p>
        </w:tc>
        <w:tc>
          <w:tcPr>
            <w:tcW w:w="21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Less than 3 months</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3 to 12 months</w:t>
            </w:r>
          </w:p>
        </w:tc>
        <w:tc>
          <w:tcPr>
            <w:tcW w:w="620" w:type="dxa"/>
            <w:vAlign w:val="bottom"/>
            <w:tcBorders>
              <w:bottom w:val="single" w:sz="8" w:color="2360A6"/>
            </w:tcBorders>
          </w:tcPr>
          <w:p>
            <w:pPr>
              <w:spacing w:after="0"/>
              <w:rPr>
                <w:sz w:val="17"/>
                <w:szCs w:val="17"/>
                <w:color w:val="auto"/>
              </w:rPr>
            </w:pP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Over 1 year</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Total</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b w:val="1"/>
                <w:bCs w:val="1"/>
                <w:color w:val="2360A6"/>
              </w:rPr>
              <w:t>Receivables</w:t>
            </w:r>
          </w:p>
        </w:tc>
      </w:tr>
      <w:tr>
        <w:trPr>
          <w:trHeight w:val="210"/>
        </w:trPr>
        <w:tc>
          <w:tcPr>
            <w:tcW w:w="2580" w:type="dxa"/>
            <w:vAlign w:val="bottom"/>
            <w:tcBorders>
              <w:left w:val="single" w:sz="8" w:color="2360A6"/>
              <w:bottom w:val="single" w:sz="8" w:color="2360A6"/>
              <w:right w:val="single" w:sz="8" w:color="2360A6"/>
            </w:tcBorders>
          </w:tcPr>
          <w:p>
            <w:pPr>
              <w:ind w:left="40"/>
              <w:spacing w:after="0"/>
              <w:rPr>
                <w:sz w:val="20"/>
                <w:szCs w:val="20"/>
                <w:color w:val="auto"/>
              </w:rPr>
            </w:pPr>
            <w:r>
              <w:rPr>
                <w:rFonts w:ascii="Arial" w:cs="Arial" w:eastAsia="Arial" w:hAnsi="Arial"/>
                <w:sz w:val="14"/>
                <w:szCs w:val="14"/>
                <w:color w:val="231F20"/>
              </w:rPr>
              <w:t>Trade Receivables</w:t>
            </w:r>
          </w:p>
        </w:tc>
        <w:tc>
          <w:tcPr>
            <w:tcW w:w="212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406.9</w:t>
            </w:r>
          </w:p>
        </w:tc>
        <w:tc>
          <w:tcPr>
            <w:tcW w:w="17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150.4</w:t>
            </w:r>
          </w:p>
        </w:tc>
        <w:tc>
          <w:tcPr>
            <w:tcW w:w="620" w:type="dxa"/>
            <w:vAlign w:val="bottom"/>
            <w:tcBorders>
              <w:bottom w:val="single" w:sz="8" w:color="2360A6"/>
            </w:tcBorders>
          </w:tcPr>
          <w:p>
            <w:pPr>
              <w:spacing w:after="0"/>
              <w:rPr>
                <w:sz w:val="18"/>
                <w:szCs w:val="18"/>
                <w:color w:val="auto"/>
              </w:rPr>
            </w:pPr>
          </w:p>
        </w:tc>
        <w:tc>
          <w:tcPr>
            <w:tcW w:w="86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107.5</w:t>
            </w:r>
          </w:p>
        </w:tc>
        <w:tc>
          <w:tcPr>
            <w:tcW w:w="94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664.8</w:t>
            </w:r>
          </w:p>
        </w:tc>
        <w:tc>
          <w:tcPr>
            <w:tcW w:w="1800" w:type="dxa"/>
            <w:vAlign w:val="bottom"/>
            <w:tcBorders>
              <w:bottom w:val="single" w:sz="8" w:color="2360A6"/>
              <w:right w:val="single" w:sz="8" w:color="2360A6"/>
            </w:tcBorders>
          </w:tcPr>
          <w:p>
            <w:pPr>
              <w:jc w:val="right"/>
              <w:spacing w:after="0"/>
              <w:rPr>
                <w:sz w:val="20"/>
                <w:szCs w:val="20"/>
                <w:color w:val="auto"/>
              </w:rPr>
            </w:pPr>
            <w:r>
              <w:rPr>
                <w:rFonts w:ascii="Arial" w:cs="Arial" w:eastAsia="Arial" w:hAnsi="Arial"/>
                <w:sz w:val="14"/>
                <w:szCs w:val="14"/>
                <w:color w:val="231F20"/>
              </w:rPr>
              <w:t>1,719.9</w:t>
            </w:r>
          </w:p>
        </w:tc>
      </w:tr>
    </w:tbl>
    <w:p>
      <w:pPr>
        <w:spacing w:after="0" w:line="2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of December 31, 2016, the main counterparty for cash and cash equivalents represents 14% of total net cash position. The principal counterparty for derivative financial instruments represents 14% of the Group’s total derivative financial instruments. The set of counterparties for the Group’s operations was limited to bank institutions that were considered as the safest, mostly noted AA and A.</w:t>
      </w: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of December 31, 2015, the main counterparty for cash and cash equivalents represents 17% of total net cash position. The principal counterparty for derivative financial instruments represents 17% of the Group’s total derivative financial instruments. The set of counterparties for the Group’s operations was limited to bank institutions that were considered as the safest, mostly noted AA and A.</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of December 31, 2014, the main counterparty for cash and cash equivalents represents 17.0% of total net cash position. The principal counterparty for derivative financial instruments represents 18.9% of the Group’s total derivative financial instruments. The set of counterparties for the Group’s operations was limited to bank institutions that were considered as the safest, mostly noted AA and A.</w:t>
      </w:r>
    </w:p>
    <w:p>
      <w:pPr>
        <w:sectPr>
          <w:pgSz w:w="11900" w:h="16838" w:orient="portrait"/>
          <w:cols w:equalWidth="0" w:num="1">
            <w:col w:w="11340"/>
          </w:cols>
          <w:pgMar w:left="320" w:top="676" w:right="239" w:bottom="1440" w:gutter="0" w:footer="0" w:header="0"/>
        </w:sectPr>
      </w:pPr>
    </w:p>
    <w:bookmarkStart w:id="176" w:name="page177"/>
    <w:bookmarkEnd w:id="176"/>
    <w:p>
      <w:pPr>
        <w:spacing w:after="0"/>
        <w:rPr>
          <w:sz w:val="20"/>
          <w:szCs w:val="20"/>
          <w:color w:val="auto"/>
        </w:rPr>
      </w:pPr>
      <w:r>
        <w:rPr>
          <w:rFonts w:ascii="Arial" w:cs="Arial" w:eastAsia="Arial" w:hAnsi="Arial"/>
          <w:sz w:val="29"/>
          <w:szCs w:val="29"/>
          <w:b w:val="1"/>
          <w:bCs w:val="1"/>
          <w:color w:val="2360A6"/>
        </w:rPr>
        <w:t>Note 33 Subsequent Events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Merger completion of FMC Technologies and Technip</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On January 17, 2017, TechnipFMC (NYSE and Euronext: FTI) announced that it is operating as a unified, combined company following completion of the merger of FMC Technologies and Technip. The merger creates a global leader in oil and gas projects, technologies, systems, and services that will enhance the performance of the world's energy industry.</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TechnipFMC will begin trading on the New York Stock Exchange and on the Euronext Paris Stock Exchange under the symbol FTI. Under the terms of the merger agreement, FMC Technologies shareholders received one share of the combined company for each existing share of FMC Technologies, and Technip shareholders received two shares of the combined company for each existing share of Technip.</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This merger results in the universal succession of Technip’s rights and obligation to TechnipFMC, with the creditors of Technip becoming by operation of law creditors of TechnipFMC. As a result, thereof under existing debt instruments of Technip, all references made to Technip are to be construed as references to TechnipFMC, with Technip’s creditors holding the same rights and being subject to the same obligations towards TechnipFMC as was the case prior to the completion of the Technip Merger. Any security or guarantee granted by Technip is also deemed to have been given by TechnipFMC.</w:t>
      </w:r>
    </w:p>
    <w:p>
      <w:pPr>
        <w:spacing w:after="0" w:line="9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231F20"/>
        </w:rPr>
        <w:t>The merger will be accounted for under the acquisition method of accounting in accordance with IFRS 3 “Business Combinations”, with Technip identified as the accounting acquirer.</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Accordingly, FMCTI’s tangible and identifiable intangible assets acquired and liabilities assumed will be recorded at fair value at the date of completion of the merger, with the excess of the purchase consideration over the fair value of FMCTI’s net assets being recorded as goodwill.</w:t>
      </w: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Reimbursement of the 2011-2017 convertible bond</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231F20"/>
        </w:rPr>
        <w:t>On January 2, 2017, Technip reimbursed the convertible bond 2011-2017 for an amount of €497.6 million.</w:t>
      </w:r>
    </w:p>
    <w:p>
      <w:pPr>
        <w:spacing w:after="0" w:line="337" w:lineRule="exact"/>
        <w:rPr>
          <w:sz w:val="20"/>
          <w:szCs w:val="20"/>
          <w:color w:val="auto"/>
        </w:rPr>
      </w:pPr>
    </w:p>
    <w:p>
      <w:pPr>
        <w:jc w:val="both"/>
        <w:spacing w:after="0" w:line="271" w:lineRule="auto"/>
        <w:rPr>
          <w:sz w:val="20"/>
          <w:szCs w:val="20"/>
          <w:color w:val="auto"/>
        </w:rPr>
      </w:pPr>
      <w:r>
        <w:rPr>
          <w:rFonts w:ascii="Arial" w:cs="Arial" w:eastAsia="Arial" w:hAnsi="Arial"/>
          <w:sz w:val="25"/>
          <w:szCs w:val="25"/>
          <w:b w:val="1"/>
          <w:bCs w:val="1"/>
          <w:color w:val="231F20"/>
        </w:rPr>
        <w:t>Admission to trading on the regulated market of Euronext Paris of bonds that have been previously issued</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231F20"/>
        </w:rPr>
        <w:t>On January 13, 2017, the following bonds which were initially listed on the Open Market (</w:t>
      </w:r>
      <w:r>
        <w:rPr>
          <w:rFonts w:ascii="Arial" w:cs="Arial" w:eastAsia="Arial" w:hAnsi="Arial"/>
          <w:sz w:val="16"/>
          <w:szCs w:val="16"/>
          <w:i w:val="1"/>
          <w:iCs w:val="1"/>
          <w:color w:val="231F20"/>
        </w:rPr>
        <w:t>Marché Libre</w:t>
      </w:r>
      <w:r>
        <w:rPr>
          <w:rFonts w:ascii="Arial" w:cs="Arial" w:eastAsia="Arial" w:hAnsi="Arial"/>
          <w:sz w:val="16"/>
          <w:szCs w:val="16"/>
          <w:color w:val="231F20"/>
        </w:rPr>
        <w:t xml:space="preserve">) of Euronext Paris and on the </w:t>
      </w:r>
      <w:r>
        <w:rPr>
          <w:rFonts w:ascii="Arial" w:cs="Arial" w:eastAsia="Arial" w:hAnsi="Arial"/>
          <w:sz w:val="16"/>
          <w:szCs w:val="16"/>
          <w:i w:val="1"/>
          <w:iCs w:val="1"/>
          <w:color w:val="231F20"/>
        </w:rPr>
        <w:t>Freiverkehr</w:t>
      </w:r>
      <w:r>
        <w:rPr>
          <w:rFonts w:ascii="Arial" w:cs="Arial" w:eastAsia="Arial" w:hAnsi="Arial"/>
          <w:sz w:val="16"/>
          <w:szCs w:val="16"/>
          <w:color w:val="231F20"/>
        </w:rPr>
        <w:t xml:space="preserve"> open market of Frankfurt have been admitted to trading on Euronext Paris:</w:t>
      </w:r>
    </w:p>
    <w:p>
      <w:pPr>
        <w:spacing w:after="0" w:line="4" w:lineRule="exact"/>
        <w:rPr>
          <w:sz w:val="20"/>
          <w:szCs w:val="20"/>
          <w:color w:val="auto"/>
        </w:rPr>
      </w:pPr>
    </w:p>
    <w:p>
      <w:pPr>
        <w:ind w:left="180" w:hanging="171"/>
        <w:spacing w:after="0"/>
        <w:tabs>
          <w:tab w:leader="none" w:pos="180" w:val="left"/>
        </w:tabs>
        <w:numPr>
          <w:ilvl w:val="0"/>
          <w:numId w:val="76"/>
        </w:numPr>
        <w:rPr>
          <w:rFonts w:ascii="Arial" w:cs="Arial" w:eastAsia="Arial" w:hAnsi="Arial"/>
          <w:sz w:val="18"/>
          <w:szCs w:val="18"/>
          <w:color w:val="006EBF"/>
        </w:rPr>
      </w:pPr>
      <w:r>
        <w:rPr>
          <w:rFonts w:ascii="Arial" w:cs="Arial" w:eastAsia="Arial" w:hAnsi="Arial"/>
          <w:sz w:val="16"/>
          <w:szCs w:val="16"/>
          <w:color w:val="231F20"/>
        </w:rPr>
        <w:t>the €450 million non-dilutive cash settled Convertible Bonds (Synthetic bonds) issued on January 25, 2016 and March 10, 2016 and due January 25, 2021;</w:t>
      </w:r>
    </w:p>
    <w:p>
      <w:pPr>
        <w:spacing w:after="0" w:line="9" w:lineRule="exact"/>
        <w:rPr>
          <w:rFonts w:ascii="Arial" w:cs="Arial" w:eastAsia="Arial" w:hAnsi="Arial"/>
          <w:sz w:val="18"/>
          <w:szCs w:val="18"/>
          <w:color w:val="006EBF"/>
        </w:rPr>
      </w:pPr>
    </w:p>
    <w:p>
      <w:pPr>
        <w:ind w:left="180" w:hanging="171"/>
        <w:spacing w:after="0"/>
        <w:tabs>
          <w:tab w:leader="none" w:pos="180" w:val="left"/>
        </w:tabs>
        <w:numPr>
          <w:ilvl w:val="0"/>
          <w:numId w:val="76"/>
        </w:numPr>
        <w:rPr>
          <w:rFonts w:ascii="Arial" w:cs="Arial" w:eastAsia="Arial" w:hAnsi="Arial"/>
          <w:sz w:val="18"/>
          <w:szCs w:val="18"/>
          <w:color w:val="006EBF"/>
        </w:rPr>
      </w:pPr>
      <w:r>
        <w:rPr>
          <w:rFonts w:ascii="Arial" w:cs="Arial" w:eastAsia="Arial" w:hAnsi="Arial"/>
          <w:sz w:val="16"/>
          <w:szCs w:val="16"/>
          <w:color w:val="231F20"/>
        </w:rPr>
        <w:t>the €100 million private placement notes issued on June 14, 2012 and due June 14, 2032; and</w:t>
      </w:r>
    </w:p>
    <w:p>
      <w:pPr>
        <w:spacing w:after="0" w:line="9" w:lineRule="exact"/>
        <w:rPr>
          <w:rFonts w:ascii="Arial" w:cs="Arial" w:eastAsia="Arial" w:hAnsi="Arial"/>
          <w:sz w:val="18"/>
          <w:szCs w:val="18"/>
          <w:color w:val="006EBF"/>
        </w:rPr>
      </w:pPr>
    </w:p>
    <w:p>
      <w:pPr>
        <w:ind w:left="180" w:hanging="171"/>
        <w:spacing w:after="0"/>
        <w:tabs>
          <w:tab w:leader="none" w:pos="180" w:val="left"/>
        </w:tabs>
        <w:numPr>
          <w:ilvl w:val="0"/>
          <w:numId w:val="76"/>
        </w:numPr>
        <w:rPr>
          <w:rFonts w:ascii="Arial" w:cs="Arial" w:eastAsia="Arial" w:hAnsi="Arial"/>
          <w:sz w:val="18"/>
          <w:szCs w:val="18"/>
          <w:color w:val="006EBF"/>
        </w:rPr>
      </w:pPr>
      <w:r>
        <w:rPr>
          <w:rFonts w:ascii="Arial" w:cs="Arial" w:eastAsia="Arial" w:hAnsi="Arial"/>
          <w:sz w:val="16"/>
          <w:szCs w:val="16"/>
          <w:color w:val="231F20"/>
        </w:rPr>
        <w:t>the €100 million private placement notes issued on October 7, 2013 and due October 7, 2033.</w:t>
      </w:r>
    </w:p>
    <w:p>
      <w:pPr>
        <w:spacing w:after="0" w:line="340"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Adjustments on the 2016-2021 synthetic bond</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As a result of the combination of Technip and FMC Technologies, Inc., the bondholders have been notified that effective January 17, 2017 the shares have been adjusted to become fully paid ordinary shares of TechnipFMC shares admitted to listing and trading on the regulated market of Euronext Paris. The conversion price has been adjusted to €28.1035 (previously €56.2070) and the adjusted conversion ratio was set to 3,558.2757 (previously 1,779.1378).</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231F20"/>
        </w:rPr>
        <w:t>There has been no other significant subsequent event which occurred since the closing date of the financial year ended December 31, 2016.</w:t>
      </w:r>
    </w:p>
    <w:p>
      <w:pPr>
        <w:sectPr>
          <w:pgSz w:w="11900" w:h="16838" w:orient="portrait"/>
          <w:cols w:equalWidth="0" w:num="1">
            <w:col w:w="11340"/>
          </w:cols>
          <w:pgMar w:left="320" w:top="694" w:right="239" w:bottom="1440" w:gutter="0" w:footer="0" w:header="0"/>
        </w:sectPr>
      </w:pPr>
    </w:p>
    <w:bookmarkStart w:id="177" w:name="page178"/>
    <w:bookmarkEnd w:id="177"/>
    <w:p>
      <w:pPr>
        <w:spacing w:after="0"/>
        <w:rPr>
          <w:sz w:val="20"/>
          <w:szCs w:val="20"/>
          <w:color w:val="auto"/>
        </w:rPr>
      </w:pPr>
      <w:r>
        <w:rPr>
          <w:rFonts w:ascii="Arial" w:cs="Arial" w:eastAsia="Arial" w:hAnsi="Arial"/>
          <w:sz w:val="25"/>
          <w:szCs w:val="25"/>
          <w:b w:val="1"/>
          <w:bCs w:val="1"/>
          <w:color w:val="231F20"/>
        </w:rPr>
        <w:t>Revolving credit facility</w:t>
      </w:r>
    </w:p>
    <w:p>
      <w:pPr>
        <w:spacing w:after="0" w:line="15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231F20"/>
        </w:rPr>
        <w:t>On January 17, 2017, TechnipFMC acceded as an additional borrower and an additional guarantor to a new $2.5 billion senior unsecured revolving credit facility agreement between Technip Eurocash SNC and FMCTI (the “Borrowers”) and JPMorgan Chase Bank, N.A. as agent and an arranger; SG Americas Securities LLC as an arranger; and the lenders party thereto (the “Facility Agreement”).</w:t>
      </w:r>
    </w:p>
    <w:p>
      <w:pPr>
        <w:spacing w:after="0" w:line="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231F20"/>
        </w:rPr>
        <w:t>The Facility Agreement provides for the establishment of a multicurrency, revolving credit facility with a total commitment of $2.5 billion, which includes a $1.5 billion letter of credit subfacility and a $500.0 million swingline loan subfacility. Subject to certain conditions, the Borrowers may request the aggregate commitments under the Facility Agreement be increased to a maximum amount of $3.0 billion. Unless otherwise extended pursuant to the terms of the Facility Agreement, the credit facility expires on January 17, 2022.</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231F20"/>
        </w:rPr>
        <w:t>Borrowings under the Facility Agreement bear interest at the following rates, plus an applicable margin, depending on currency:</w:t>
      </w:r>
    </w:p>
    <w:p>
      <w:pPr>
        <w:spacing w:after="0" w:line="19" w:lineRule="exact"/>
        <w:rPr>
          <w:sz w:val="20"/>
          <w:szCs w:val="20"/>
          <w:color w:val="auto"/>
        </w:rPr>
      </w:pPr>
    </w:p>
    <w:p>
      <w:pPr>
        <w:ind w:left="180" w:hanging="171"/>
        <w:spacing w:after="0" w:line="255" w:lineRule="auto"/>
        <w:tabs>
          <w:tab w:leader="none" w:pos="180" w:val="left"/>
        </w:tabs>
        <w:numPr>
          <w:ilvl w:val="0"/>
          <w:numId w:val="77"/>
        </w:numPr>
        <w:rPr>
          <w:rFonts w:ascii="Arial" w:cs="Arial" w:eastAsia="Arial" w:hAnsi="Arial"/>
          <w:sz w:val="18"/>
          <w:szCs w:val="18"/>
          <w:color w:val="006EBF"/>
        </w:rPr>
      </w:pPr>
      <w:r>
        <w:rPr>
          <w:rFonts w:ascii="Arial" w:cs="Arial" w:eastAsia="Arial" w:hAnsi="Arial"/>
          <w:sz w:val="16"/>
          <w:szCs w:val="16"/>
          <w:color w:val="231F20"/>
        </w:rPr>
        <w:t>U.S. dollar-denominated loans bear interest, at the Borrowers’ option, at a base rate or an adjusted rate linked to the London interbank offered rate (“Adjusted LIBOR”);</w:t>
      </w:r>
    </w:p>
    <w:p>
      <w:pPr>
        <w:spacing w:after="0" w:line="4" w:lineRule="exact"/>
        <w:rPr>
          <w:rFonts w:ascii="Arial" w:cs="Arial" w:eastAsia="Arial" w:hAnsi="Arial"/>
          <w:sz w:val="18"/>
          <w:szCs w:val="18"/>
          <w:color w:val="006EBF"/>
        </w:rPr>
      </w:pPr>
    </w:p>
    <w:p>
      <w:pPr>
        <w:ind w:left="180" w:hanging="171"/>
        <w:spacing w:after="0"/>
        <w:tabs>
          <w:tab w:leader="none" w:pos="180" w:val="left"/>
        </w:tabs>
        <w:numPr>
          <w:ilvl w:val="0"/>
          <w:numId w:val="77"/>
        </w:numPr>
        <w:rPr>
          <w:rFonts w:ascii="Arial" w:cs="Arial" w:eastAsia="Arial" w:hAnsi="Arial"/>
          <w:sz w:val="18"/>
          <w:szCs w:val="18"/>
          <w:color w:val="006EBF"/>
        </w:rPr>
      </w:pPr>
      <w:r>
        <w:rPr>
          <w:rFonts w:ascii="Arial" w:cs="Arial" w:eastAsia="Arial" w:hAnsi="Arial"/>
          <w:sz w:val="16"/>
          <w:szCs w:val="16"/>
          <w:color w:val="231F20"/>
        </w:rPr>
        <w:t>sterling-denominated loans bear interest at Adjusted LIBOR; and</w:t>
      </w:r>
    </w:p>
    <w:p>
      <w:pPr>
        <w:spacing w:after="0" w:line="9" w:lineRule="exact"/>
        <w:rPr>
          <w:rFonts w:ascii="Arial" w:cs="Arial" w:eastAsia="Arial" w:hAnsi="Arial"/>
          <w:sz w:val="18"/>
          <w:szCs w:val="18"/>
          <w:color w:val="006EBF"/>
        </w:rPr>
      </w:pPr>
    </w:p>
    <w:p>
      <w:pPr>
        <w:ind w:left="180" w:hanging="171"/>
        <w:spacing w:after="0"/>
        <w:tabs>
          <w:tab w:leader="none" w:pos="180" w:val="left"/>
        </w:tabs>
        <w:numPr>
          <w:ilvl w:val="0"/>
          <w:numId w:val="77"/>
        </w:numPr>
        <w:rPr>
          <w:rFonts w:ascii="Arial" w:cs="Arial" w:eastAsia="Arial" w:hAnsi="Arial"/>
          <w:sz w:val="18"/>
          <w:szCs w:val="18"/>
          <w:color w:val="006EBF"/>
        </w:rPr>
      </w:pPr>
      <w:r>
        <w:rPr>
          <w:rFonts w:ascii="Arial" w:cs="Arial" w:eastAsia="Arial" w:hAnsi="Arial"/>
          <w:sz w:val="16"/>
          <w:szCs w:val="16"/>
          <w:color w:val="231F20"/>
        </w:rPr>
        <w:t>euro-denominated loans bear interest at the Euro interbank offered rate (“EURIBOR”).</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231F20"/>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31F20"/>
        </w:rPr>
        <w:t>The Facility Agreement contains usual and customary covenants, representations and warranties and events of default for credit facilities of this type, including financial covenants.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231F20"/>
        </w:rPr>
        <w:t>Technip’s existing €1.0 billion five-year revolving credit agreement was terminated upon availability of the Facility Agreement.</w:t>
      </w:r>
    </w:p>
    <w:sectPr>
      <w:pgSz w:w="11900" w:h="16838" w:orient="portrait"/>
      <w:cols w:equalWidth="0" w:num="1">
        <w:col w:w="11340"/>
      </w:cols>
      <w:pgMar w:left="320" w:top="6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decimal"/>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lowerLetter"/>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1)"/>
      <w:numFmt w:val="lowerLetter"/>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1)"/>
      <w:numFmt w:val="decimal"/>
      <w:start w:val="3"/>
    </w:lvl>
  </w:abstractNum>
  <w:abstractNum w:abstractNumId="14">
    <w:nsid w:val="4B588F54"/>
    <w:multiLevelType w:val="hybridMultilevel"/>
    <w:lvl w:ilvl="0">
      <w:lvlJc w:val="left"/>
      <w:lvlText w:val="(%1)"/>
      <w:numFmt w:val="lowerRoman"/>
      <w:start w:val="1"/>
    </w:lvl>
  </w:abstractNum>
  <w:abstractNum w:abstractNumId="15">
    <w:nsid w:val="542289EC"/>
    <w:multiLevelType w:val="hybridMultilevel"/>
    <w:lvl w:ilvl="0">
      <w:lvlJc w:val="left"/>
      <w:lvlText w:val="%1."/>
      <w:numFmt w:val="decimal"/>
      <w:start w:val="4"/>
    </w:lvl>
    <w:lvl w:ilvl="1">
      <w:lvlJc w:val="left"/>
      <w:lvlText w:val="(%2)"/>
      <w:numFmt w:val="lowerLetter"/>
      <w:start w:val="1"/>
    </w:lvl>
  </w:abstractNum>
  <w:abstractNum w:abstractNumId="16">
    <w:nsid w:val="6DE91B18"/>
    <w:multiLevelType w:val="hybridMultilevel"/>
    <w:lvl w:ilvl="0">
      <w:lvlJc w:val="left"/>
      <w:lvlText w:val="(%1)"/>
      <w:numFmt w:val="lowerLetter"/>
      <w:start w:val="4"/>
    </w:lvl>
    <w:lvl w:ilvl="1">
      <w:lvlJc w:val="left"/>
      <w:lvlText w:val="•"/>
      <w:numFmt w:val="bullet"/>
      <w:start w:val="1"/>
    </w:lvl>
  </w:abstractNum>
  <w:abstractNum w:abstractNumId="17">
    <w:nsid w:val="38437FDB"/>
    <w:multiLevelType w:val="hybridMultilevel"/>
    <w:lvl w:ilvl="0">
      <w:lvlJc w:val="left"/>
      <w:lvlText w:val="%1."/>
      <w:numFmt w:val="decimal"/>
      <w:start w:val="5"/>
    </w:lvl>
    <w:lvl w:ilvl="1">
      <w:lvlJc w:val="left"/>
      <w:lvlText w:val="(%2)"/>
      <w:numFmt w:val="lowerLetter"/>
      <w:start w:val="1"/>
    </w:lvl>
  </w:abstractNum>
  <w:abstractNum w:abstractNumId="18">
    <w:nsid w:val="7644A45C"/>
    <w:multiLevelType w:val="hybridMultilevel"/>
    <w:lvl w:ilvl="0">
      <w:lvlJc w:val="left"/>
      <w:lvlText w:val="(%1)"/>
      <w:numFmt w:val="lowerLetter"/>
      <w:start w:val="4"/>
    </w:lvl>
    <w:lvl w:ilvl="1">
      <w:lvlJc w:val="left"/>
      <w:lvlText w:val="•"/>
      <w:numFmt w:val="bullet"/>
      <w:start w:val="1"/>
    </w:lvl>
  </w:abstractNum>
  <w:abstractNum w:abstractNumId="19">
    <w:nsid w:val="32FFF902"/>
    <w:multiLevelType w:val="hybridMultilevel"/>
    <w:lvl w:ilvl="0">
      <w:lvlJc w:val="left"/>
      <w:lvlText w:val="(%1)"/>
      <w:numFmt w:val="lowerLetter"/>
      <w:start w:val="7"/>
    </w:lvl>
  </w:abstractNum>
  <w:abstractNum w:abstractNumId="20">
    <w:nsid w:val="684A481A"/>
    <w:multiLevelType w:val="hybridMultilevel"/>
    <w:lvl w:ilvl="0">
      <w:lvlJc w:val="left"/>
      <w:lvlText w:val="%1"/>
      <w:numFmt w:val="lowerLetter"/>
      <w:start w:val="1"/>
    </w:lvl>
    <w:lvl w:ilvl="1">
      <w:lvlJc w:val="left"/>
      <w:lvlText w:val="(%2)"/>
      <w:numFmt w:val="lowerRoman"/>
      <w:start w:val="1"/>
    </w:lvl>
  </w:abstractNum>
  <w:abstractNum w:abstractNumId="21">
    <w:nsid w:val="579478FE"/>
    <w:multiLevelType w:val="hybridMultilevel"/>
    <w:lvl w:ilvl="0">
      <w:lvlJc w:val="left"/>
      <w:lvlText w:val="(%1)"/>
      <w:numFmt w:val="lowerLetter"/>
      <w:start w:val="8"/>
    </w:lvl>
    <w:lvl w:ilvl="1">
      <w:lvlJc w:val="left"/>
      <w:lvlText w:val="%2"/>
      <w:numFmt w:val="lowerRoman"/>
      <w:start w:val="1"/>
    </w:lvl>
  </w:abstractNum>
  <w:abstractNum w:abstractNumId="22">
    <w:nsid w:val="749ABB43"/>
    <w:multiLevelType w:val="hybridMultilevel"/>
    <w:lvl w:ilvl="0">
      <w:lvlJc w:val="left"/>
      <w:lvlText w:val="(%1)"/>
      <w:numFmt w:val="lowerLetter"/>
      <w:start w:val="3"/>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2"/>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1)"/>
      <w:numFmt w:val="lowerLetter"/>
      <w:start w:val="19"/>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1)"/>
      <w:numFmt w:val="decimal"/>
      <w:start w:val="1"/>
    </w:lvl>
  </w:abstractNum>
  <w:abstractNum w:abstractNumId="51">
    <w:nsid w:val="5FF87E05"/>
    <w:multiLevelType w:val="hybridMultilevel"/>
    <w:lvl w:ilvl="0">
      <w:lvlJc w:val="left"/>
      <w:lvlText w:val="•"/>
      <w:numFmt w:val="bullet"/>
      <w:start w:val="1"/>
    </w:lvl>
    <w:lvl w:ilvl="1">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1)"/>
      <w:numFmt w:val="upperLetter"/>
      <w:start w:val="2"/>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lvl w:ilvl="1">
      <w:lvlJc w:val="left"/>
      <w:lvlText w:val="•"/>
      <w:numFmt w:val="bullet"/>
      <w:start w:val="1"/>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decimal"/>
      <w:start w:val="2"/>
    </w:lvl>
    <w:lvl w:ilvl="1">
      <w:lvlJc w:val="left"/>
      <w:lvlText w:val="•"/>
      <w:numFmt w:val="bullet"/>
      <w:start w:val="1"/>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2"/>
    </w:lvl>
    <w:lvl w:ilvl="1">
      <w:lvlJc w:val="left"/>
      <w:lvlText w:val="•"/>
      <w:numFmt w:val="bullet"/>
      <w:start w:val="1"/>
    </w:lvl>
  </w:abstractNum>
  <w:abstractNum w:abstractNumId="74">
    <w:nsid w:val="613EFDC5"/>
    <w:multiLevelType w:val="hybridMultilevel"/>
    <w:lvl w:ilvl="0">
      <w:lvlJc w:val="left"/>
      <w:lvlText w:val="%1."/>
      <w:numFmt w:val="decimal"/>
      <w:start w:val="3"/>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2019-12-08T06:24:50Z</dcterms:created>
  <dcterms:modified xsi:type="dcterms:W3CDTF">2019-12-08T06:24:50Z</dcterms:modified>
</cp:coreProperties>
</file>