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G87110105</w:t>
      </w:r>
    </w:p>
    <w:p>
      <w:pPr>
        <w:spacing w:after="0" w:line="238" w:lineRule="auto"/>
        <w:rPr>
          <w:sz w:val="20"/>
          <w:szCs w:val="20"/>
          <w:color w:val="auto"/>
        </w:rPr>
      </w:pPr>
      <w:r>
        <w:rPr>
          <w:rFonts w:ascii="Courier New" w:cs="Courier New" w:eastAsia="Courier New" w:hAnsi="Courier New"/>
          <w:sz w:val="18"/>
          <w:szCs w:val="18"/>
          <w:color w:val="auto"/>
        </w:rPr>
        <w:t>(CUSIP/SEDOL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TechnipFMC PLC CUSIP No.: G87110105</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9" w:lineRule="exact"/>
        <w:rPr>
          <w:rFonts w:ascii="Courier New" w:cs="Courier New" w:eastAsia="Courier New" w:hAnsi="Courier New"/>
          <w:sz w:val="16"/>
          <w:szCs w:val="16"/>
          <w:color w:val="auto"/>
        </w:rPr>
      </w:pPr>
    </w:p>
    <w:p>
      <w:pPr>
        <w:ind w:left="860" w:right="5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First Eagle Investment Management, LLC Tax ID # 57-1156902</w:t>
      </w:r>
    </w:p>
    <w:p>
      <w:pPr>
        <w:spacing w:after="0" w:line="200" w:lineRule="exact"/>
        <w:rPr>
          <w:sz w:val="20"/>
          <w:szCs w:val="20"/>
          <w:color w:val="auto"/>
        </w:rPr>
      </w:pPr>
    </w:p>
    <w:p>
      <w:pPr>
        <w:spacing w:after="0" w:line="211"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860" w:right="557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- 33,544,367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1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34,868,417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34,868,417</w:t>
      </w:r>
    </w:p>
    <w:p>
      <w:pPr>
        <w:spacing w:after="0" w:line="200" w:lineRule="exact"/>
        <w:rPr>
          <w:sz w:val="20"/>
          <w:szCs w:val="20"/>
          <w:color w:val="auto"/>
        </w:rPr>
      </w:pPr>
    </w:p>
    <w:p>
      <w:pPr>
        <w:spacing w:after="0" w:line="209"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7.50%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TechnipFMC PLC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860" w:right="6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One St. Paul's Churchyard London XO ECAM 8AP</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First Eagle Investment Management, LLC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31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G87110105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97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First Eagle Investment Management, LLC (FEIM), an investment adviser registered under Section 203 of the Investment Advisers Act of 1940, is deemed to be the beneficial owner of 34,868,417 shares, or 7.50% of the common stock believed to be outstanding as a result of acting as investment adviser to various clients. Clients of FEIM have the right to receive and the ultimate power to direct the receipt of dividends from, or the proceeds of the sale of, such securities.</w:t>
      </w:r>
    </w:p>
    <w:p>
      <w:pPr>
        <w:spacing w:after="0" w:line="200" w:lineRule="exact"/>
        <w:rPr>
          <w:sz w:val="20"/>
          <w:szCs w:val="20"/>
          <w:color w:val="auto"/>
        </w:rPr>
      </w:pPr>
    </w:p>
    <w:p>
      <w:pPr>
        <w:spacing w:after="0" w:line="215"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14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2018</w:t>
      </w:r>
    </w:p>
    <w:p>
      <w:pPr>
        <w:spacing w:after="0" w:line="216" w:lineRule="exact"/>
        <w:rPr>
          <w:sz w:val="20"/>
          <w:szCs w:val="20"/>
          <w:color w:val="auto"/>
        </w:rPr>
      </w:pPr>
    </w:p>
    <w:p>
      <w:pPr>
        <w:sectPr>
          <w:pgSz w:w="11900" w:h="16838" w:orient="portrait"/>
          <w:cols w:equalWidth="0" w:num="2">
            <w:col w:w="980" w:space="720"/>
            <w:col w:w="85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2019-12-21T02:56:47Z</dcterms:created>
  <dcterms:modified xsi:type="dcterms:W3CDTF">2019-12-21T02:56:47Z</dcterms:modified>
</cp:coreProperties>
</file>