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843280</wp:posOffset>
            </wp:positionV>
            <wp:extent cx="284734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473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9, 2019</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220"/>
        <w:spacing w:after="0" w:line="342" w:lineRule="auto"/>
        <w:rPr>
          <w:sz w:val="20"/>
          <w:szCs w:val="20"/>
          <w:color w:val="auto"/>
        </w:rPr>
      </w:pPr>
      <w:r>
        <w:rPr>
          <w:rFonts w:ascii="Arial" w:cs="Arial" w:eastAsia="Arial" w:hAnsi="Arial"/>
          <w:sz w:val="16"/>
          <w:szCs w:val="16"/>
          <w:color w:val="auto"/>
        </w:rPr>
        <w:t>Notice of disclosure filed in Quarterly Report on Form 10-Q for the quarter ended March 31, 2019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March 31, 2019, which was filed with the U.S. Securities and Exchange Commission on May 9, 2019.</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2019-12-02T20:47:01Z</dcterms:created>
  <dcterms:modified xsi:type="dcterms:W3CDTF">2019-12-02T20:47:01Z</dcterms:modified>
</cp:coreProperties>
</file>