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4711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71170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Beitler Bradley D.</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TechnipFMC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FTI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02/24/2017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4"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74"/>
        <w:spacing w:after="0"/>
        <w:rPr>
          <w:sz w:val="20"/>
          <w:szCs w:val="20"/>
          <w:color w:val="auto"/>
        </w:rPr>
      </w:pPr>
      <w:r>
        <w:rPr>
          <w:rFonts w:ascii="Arial" w:cs="Arial" w:eastAsia="Arial" w:hAnsi="Arial"/>
          <w:sz w:val="17"/>
          <w:szCs w:val="17"/>
          <w:color w:val="0000FF"/>
        </w:rPr>
        <w:t>EVP, Technology and R&amp;D</w:t>
      </w:r>
    </w:p>
    <w:p>
      <w:pPr>
        <w:spacing w:after="0" w:line="334"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20"/>
              <w:spacing w:after="0"/>
              <w:rPr>
                <w:sz w:val="20"/>
                <w:szCs w:val="20"/>
                <w:color w:val="auto"/>
              </w:rPr>
            </w:pPr>
            <w:r>
              <w:rPr>
                <w:rFonts w:ascii="Arial" w:cs="Arial" w:eastAsia="Arial" w:hAnsi="Arial"/>
                <w:sz w:val="17"/>
                <w:szCs w:val="17"/>
                <w:color w:val="0000FF"/>
              </w:rPr>
              <w:t>EC4M 8AP</w:t>
            </w:r>
          </w:p>
        </w:tc>
      </w:tr>
      <w:tr>
        <w:trPr>
          <w:trHeight w:val="157"/>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41"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740" w:type="dxa"/>
            <w:vAlign w:val="bottom"/>
          </w:tcPr>
          <w:p>
            <w:pPr>
              <w:spacing w:after="0"/>
              <w:rPr>
                <w:sz w:val="20"/>
                <w:szCs w:val="20"/>
                <w:color w:val="auto"/>
              </w:rPr>
            </w:pPr>
            <w:r>
              <w:rPr>
                <w:rFonts w:ascii="Arial" w:cs="Arial" w:eastAsia="Arial" w:hAnsi="Arial"/>
                <w:sz w:val="13"/>
                <w:szCs w:val="13"/>
                <w:color w:val="0000FF"/>
              </w:rPr>
              <w:t>Phantom</w:t>
            </w:r>
          </w:p>
        </w:tc>
        <w:tc>
          <w:tcPr>
            <w:tcW w:w="70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1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200"/>
              <w:spacing w:after="0"/>
              <w:rPr>
                <w:sz w:val="20"/>
                <w:szCs w:val="20"/>
                <w:color w:val="auto"/>
              </w:rPr>
            </w:pPr>
            <w:r>
              <w:rPr>
                <w:rFonts w:ascii="Arial" w:cs="Arial" w:eastAsia="Arial" w:hAnsi="Arial"/>
                <w:sz w:val="13"/>
                <w:szCs w:val="13"/>
                <w:color w:val="0000FF"/>
              </w:rPr>
              <w:t>Ordinary</w:t>
            </w:r>
          </w:p>
        </w:tc>
        <w:tc>
          <w:tcPr>
            <w:tcW w:w="680" w:type="dxa"/>
            <w:vAlign w:val="bottom"/>
            <w:vMerge w:val="restart"/>
          </w:tcPr>
          <w:p>
            <w:pPr>
              <w:jc w:val="right"/>
              <w:ind w:right="33"/>
              <w:spacing w:after="0"/>
              <w:rPr>
                <w:sz w:val="20"/>
                <w:szCs w:val="20"/>
                <w:color w:val="auto"/>
              </w:rPr>
            </w:pPr>
            <w:r>
              <w:rPr>
                <w:rFonts w:ascii="Arial" w:cs="Arial" w:eastAsia="Arial" w:hAnsi="Arial"/>
                <w:sz w:val="17"/>
                <w:szCs w:val="17"/>
                <w:color w:val="0000FF"/>
              </w:rPr>
              <w:t>41.856</w:t>
            </w: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74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700" w:type="dxa"/>
            <w:vAlign w:val="bottom"/>
            <w:vMerge w:val="continue"/>
          </w:tcPr>
          <w:p>
            <w:pPr>
              <w:spacing w:after="0"/>
              <w:rPr>
                <w:sz w:val="4"/>
                <w:szCs w:val="4"/>
                <w:color w:val="auto"/>
              </w:rPr>
            </w:pPr>
          </w:p>
        </w:tc>
        <w:tc>
          <w:tcPr>
            <w:tcW w:w="1680" w:type="dxa"/>
            <w:vAlign w:val="bottom"/>
            <w:vMerge w:val="restart"/>
          </w:tcPr>
          <w:p>
            <w:pPr>
              <w:jc w:val="right"/>
              <w:ind w:right="713"/>
              <w:spacing w:after="0"/>
              <w:rPr>
                <w:sz w:val="20"/>
                <w:szCs w:val="20"/>
                <w:color w:val="auto"/>
              </w:rPr>
            </w:pPr>
            <w:r>
              <w:rPr>
                <w:rFonts w:ascii="Arial" w:cs="Arial" w:eastAsia="Arial" w:hAnsi="Arial"/>
                <w:sz w:val="13"/>
                <w:szCs w:val="13"/>
                <w:color w:val="0000FF"/>
              </w:rPr>
              <w:t>02/24/2017</w:t>
            </w:r>
          </w:p>
        </w:tc>
        <w:tc>
          <w:tcPr>
            <w:tcW w:w="1200" w:type="dxa"/>
            <w:vAlign w:val="bottom"/>
            <w:vMerge w:val="restart"/>
          </w:tcPr>
          <w:p>
            <w:pPr>
              <w:ind w:left="780"/>
              <w:spacing w:after="0"/>
              <w:rPr>
                <w:sz w:val="20"/>
                <w:szCs w:val="20"/>
                <w:color w:val="auto"/>
              </w:rPr>
            </w:pPr>
            <w:r>
              <w:rPr>
                <w:rFonts w:ascii="Arial" w:cs="Arial" w:eastAsia="Arial" w:hAnsi="Arial"/>
                <w:sz w:val="13"/>
                <w:szCs w:val="13"/>
                <w:color w:val="0000FF"/>
              </w:rPr>
              <w:t>A</w:t>
            </w:r>
          </w:p>
        </w:tc>
        <w:tc>
          <w:tcPr>
            <w:tcW w:w="1060" w:type="dxa"/>
            <w:vAlign w:val="bottom"/>
            <w:vMerge w:val="restart"/>
          </w:tcPr>
          <w:p>
            <w:pPr>
              <w:jc w:val="right"/>
              <w:ind w:right="293"/>
              <w:spacing w:after="0"/>
              <w:rPr>
                <w:sz w:val="20"/>
                <w:szCs w:val="20"/>
                <w:color w:val="auto"/>
              </w:rPr>
            </w:pPr>
            <w:r>
              <w:rPr>
                <w:rFonts w:ascii="Arial" w:cs="Arial" w:eastAsia="Arial" w:hAnsi="Arial"/>
                <w:sz w:val="13"/>
                <w:szCs w:val="13"/>
                <w:color w:val="0000FF"/>
              </w:rPr>
              <w:t>41.856</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restart"/>
          </w:tcPr>
          <w:p>
            <w:pPr>
              <w:jc w:val="right"/>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16.89</w:t>
            </w:r>
          </w:p>
        </w:tc>
        <w:tc>
          <w:tcPr>
            <w:tcW w:w="1040" w:type="dxa"/>
            <w:vAlign w:val="bottom"/>
            <w:vMerge w:val="restart"/>
          </w:tcPr>
          <w:p>
            <w:pPr>
              <w:jc w:val="right"/>
              <w:ind w:right="193"/>
              <w:spacing w:after="0"/>
              <w:rPr>
                <w:sz w:val="20"/>
                <w:szCs w:val="20"/>
                <w:color w:val="auto"/>
              </w:rPr>
            </w:pPr>
            <w:r>
              <w:rPr>
                <w:rFonts w:ascii="Arial" w:cs="Arial" w:eastAsia="Arial" w:hAnsi="Arial"/>
                <w:sz w:val="13"/>
                <w:szCs w:val="13"/>
                <w:color w:val="0000FF"/>
              </w:rPr>
              <w:t>23,452.281</w:t>
            </w:r>
          </w:p>
        </w:tc>
        <w:tc>
          <w:tcPr>
            <w:tcW w:w="360" w:type="dxa"/>
            <w:vAlign w:val="bottom"/>
            <w:vMerge w:val="restart"/>
          </w:tcPr>
          <w:p>
            <w:pPr>
              <w:ind w:left="260"/>
              <w:spacing w:after="0"/>
              <w:rPr>
                <w:sz w:val="20"/>
                <w:szCs w:val="20"/>
                <w:color w:val="auto"/>
              </w:rPr>
            </w:pPr>
            <w:r>
              <w:rPr>
                <w:rFonts w:ascii="Arial" w:cs="Arial" w:eastAsia="Arial" w:hAnsi="Arial"/>
                <w:sz w:val="13"/>
                <w:szCs w:val="13"/>
                <w:color w:val="0000FF"/>
                <w:w w:val="84"/>
              </w:rPr>
              <w:t>D</w:t>
            </w:r>
          </w:p>
        </w:tc>
        <w:tc>
          <w:tcPr>
            <w:tcW w:w="0" w:type="dxa"/>
            <w:vAlign w:val="bottom"/>
          </w:tcPr>
          <w:p>
            <w:pPr>
              <w:spacing w:after="0"/>
              <w:rPr>
                <w:sz w:val="1"/>
                <w:szCs w:val="1"/>
                <w:color w:val="auto"/>
              </w:rPr>
            </w:pPr>
          </w:p>
        </w:tc>
      </w:tr>
      <w:tr>
        <w:trPr>
          <w:trHeight w:val="88"/>
        </w:trPr>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restart"/>
          </w:tcPr>
          <w:p>
            <w:pPr>
              <w:ind w:left="180"/>
              <w:spacing w:after="0" w:line="163" w:lineRule="exact"/>
              <w:rPr>
                <w:sz w:val="20"/>
                <w:szCs w:val="20"/>
                <w:color w:val="auto"/>
              </w:rPr>
            </w:pPr>
            <w:r>
              <w:rPr>
                <w:rFonts w:ascii="Arial" w:cs="Arial" w:eastAsia="Arial" w:hAnsi="Arial"/>
                <w:sz w:val="11"/>
                <w:szCs w:val="11"/>
                <w:color w:val="0000FF"/>
              </w:rPr>
              <w:t>Shares</w:t>
            </w:r>
            <w:r>
              <w:rPr>
                <w:rFonts w:ascii="Arial" w:cs="Arial" w:eastAsia="Arial" w:hAnsi="Arial"/>
                <w:sz w:val="18"/>
                <w:szCs w:val="18"/>
                <w:color w:val="008000"/>
                <w:vertAlign w:val="superscript"/>
              </w:rPr>
              <w:t>(3)</w:t>
            </w:r>
          </w:p>
        </w:tc>
        <w:tc>
          <w:tcPr>
            <w:tcW w:w="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740" w:type="dxa"/>
            <w:vAlign w:val="bottom"/>
          </w:tcPr>
          <w:p>
            <w:pPr>
              <w:spacing w:after="0"/>
              <w:rPr>
                <w:sz w:val="20"/>
                <w:szCs w:val="20"/>
                <w:color w:val="auto"/>
              </w:rPr>
            </w:pPr>
            <w:r>
              <w:rPr>
                <w:rFonts w:ascii="Arial" w:cs="Arial" w:eastAsia="Arial" w:hAnsi="Arial"/>
                <w:sz w:val="13"/>
                <w:szCs w:val="13"/>
                <w:color w:val="0000FF"/>
              </w:rPr>
              <w:t>Units</w:t>
            </w:r>
          </w:p>
        </w:tc>
        <w:tc>
          <w:tcPr>
            <w:tcW w:w="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N/A</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Stock Units are payable in cash following termination or retirement of the reporting person's employment with TechnipFMC, or death.</w:t>
      </w:r>
    </w:p>
    <w:p>
      <w:pPr>
        <w:spacing w:after="0" w:line="52" w:lineRule="exact"/>
        <w:rPr>
          <w:rFonts w:ascii="Arial" w:cs="Arial" w:eastAsia="Arial" w:hAnsi="Arial"/>
          <w:sz w:val="13"/>
          <w:szCs w:val="13"/>
          <w:color w:val="008000"/>
        </w:rPr>
      </w:pPr>
    </w:p>
    <w:p>
      <w:pPr>
        <w:ind w:left="40" w:right="24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 participant's interest in the NQ Plan is represented in units (referred to as Phantom Stock Units) which consist of phantom shares of TechnipFMC Ordinary Shares and uninvested cash balances held by the NQ Plan for administrative convenience.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Lisa P. Wang, Attorney-In-Fact 02/28/2017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4358005</wp:posOffset>
            </wp:positionH>
            <wp:positionV relativeFrom="paragraph">
              <wp:posOffset>-6985</wp:posOffset>
            </wp:positionV>
            <wp:extent cx="1956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spacing w:after="0" w:line="6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4001"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2019-12-24T09:21:59Z</dcterms:created>
  <dcterms:modified xsi:type="dcterms:W3CDTF">2019-12-24T09:21:59Z</dcterms:modified>
</cp:coreProperties>
</file>