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28473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47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8, 2019</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June 30, 2019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June 30, 2019, which was filed with the U.S. Securities and Exchange Commission on August 8, 2019.</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2019-11-30T07:50:25Z</dcterms:created>
  <dcterms:modified xsi:type="dcterms:W3CDTF">2019-11-30T07:50:25Z</dcterms:modified>
</cp:coreProperties>
</file>