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4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1729105</wp:posOffset>
            </wp:positionH>
            <wp:positionV relativeFrom="paragraph">
              <wp:posOffset>118110</wp:posOffset>
            </wp:positionV>
            <wp:extent cx="3807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292"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1729105</wp:posOffset>
            </wp:positionH>
            <wp:positionV relativeFrom="paragraph">
              <wp:posOffset>192405</wp:posOffset>
            </wp:positionV>
            <wp:extent cx="3807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NOTIFICATION OF LATE FILING</w:t>
      </w:r>
    </w:p>
    <w:p>
      <w:pPr>
        <w:spacing w:after="0" w:line="199" w:lineRule="exact"/>
        <w:rPr>
          <w:sz w:val="24"/>
          <w:szCs w:val="24"/>
          <w:color w:val="auto"/>
        </w:rPr>
      </w:pPr>
    </w:p>
    <w:p>
      <w:pPr>
        <w:jc w:val="center"/>
        <w:ind w:left="9200"/>
        <w:spacing w:after="0"/>
        <w:rPr>
          <w:sz w:val="20"/>
          <w:szCs w:val="20"/>
          <w:color w:val="auto"/>
        </w:rPr>
      </w:pPr>
      <w:r>
        <w:rPr>
          <w:rFonts w:ascii="Arial" w:cs="Arial" w:eastAsia="Arial" w:hAnsi="Arial"/>
          <w:sz w:val="14"/>
          <w:szCs w:val="14"/>
          <w:color w:val="auto"/>
        </w:rPr>
        <w:t>SEC FILE NUMBER</w:t>
      </w:r>
    </w:p>
    <w:p>
      <w:pPr>
        <w:spacing w:after="0" w:line="64" w:lineRule="exact"/>
        <w:rPr>
          <w:sz w:val="24"/>
          <w:szCs w:val="24"/>
          <w:color w:val="auto"/>
        </w:rPr>
      </w:pPr>
    </w:p>
    <w:p>
      <w:pPr>
        <w:jc w:val="center"/>
        <w:ind w:left="9200"/>
        <w:spacing w:after="0"/>
        <w:rPr>
          <w:sz w:val="20"/>
          <w:szCs w:val="20"/>
          <w:color w:val="auto"/>
        </w:rPr>
      </w:pPr>
      <w:r>
        <w:rPr>
          <w:rFonts w:ascii="Arial" w:cs="Arial" w:eastAsia="Arial" w:hAnsi="Arial"/>
          <w:sz w:val="14"/>
          <w:szCs w:val="14"/>
          <w:b w:val="1"/>
          <w:bCs w:val="1"/>
          <w:color w:val="auto"/>
        </w:rPr>
        <w:t>001-37983</w:t>
      </w:r>
    </w:p>
    <w:p>
      <w:pPr>
        <w:spacing w:after="0" w:line="200" w:lineRule="exact"/>
        <w:rPr>
          <w:sz w:val="24"/>
          <w:szCs w:val="24"/>
          <w:color w:val="auto"/>
        </w:rPr>
      </w:pPr>
    </w:p>
    <w:p>
      <w:pPr>
        <w:spacing w:after="0" w:line="400" w:lineRule="exact"/>
        <w:rPr>
          <w:sz w:val="24"/>
          <w:szCs w:val="24"/>
          <w:color w:val="auto"/>
        </w:rPr>
      </w:pPr>
    </w:p>
    <w:p>
      <w:pPr>
        <w:jc w:val="center"/>
        <w:ind w:left="9200"/>
        <w:spacing w:after="0"/>
        <w:rPr>
          <w:sz w:val="20"/>
          <w:szCs w:val="20"/>
          <w:color w:val="auto"/>
        </w:rPr>
      </w:pPr>
      <w:r>
        <w:rPr>
          <w:rFonts w:ascii="Arial" w:cs="Arial" w:eastAsia="Arial" w:hAnsi="Arial"/>
          <w:sz w:val="14"/>
          <w:szCs w:val="14"/>
          <w:color w:val="auto"/>
        </w:rPr>
        <w:t>CUSIP NUMBER</w:t>
      </w:r>
    </w:p>
    <w:p>
      <w:pPr>
        <w:spacing w:after="0" w:line="37" w:lineRule="exact"/>
        <w:rPr>
          <w:sz w:val="24"/>
          <w:szCs w:val="24"/>
          <w:color w:val="auto"/>
        </w:rPr>
      </w:pPr>
    </w:p>
    <w:p>
      <w:pPr>
        <w:jc w:val="center"/>
        <w:ind w:left="9200"/>
        <w:spacing w:after="0"/>
        <w:rPr>
          <w:sz w:val="20"/>
          <w:szCs w:val="20"/>
          <w:color w:val="auto"/>
        </w:rPr>
      </w:pPr>
      <w:r>
        <w:rPr>
          <w:rFonts w:ascii="Arial" w:cs="Arial" w:eastAsia="Arial" w:hAnsi="Arial"/>
          <w:sz w:val="14"/>
          <w:szCs w:val="14"/>
          <w:b w:val="1"/>
          <w:bCs w:val="1"/>
          <w:color w:val="auto"/>
        </w:rPr>
        <w:t>G87110 105</w:t>
      </w:r>
    </w:p>
    <w:p>
      <w:pPr>
        <w:spacing w:after="0" w:line="200" w:lineRule="exact"/>
        <w:rPr>
          <w:sz w:val="24"/>
          <w:szCs w:val="24"/>
          <w:color w:val="auto"/>
        </w:rPr>
      </w:pPr>
    </w:p>
    <w:p>
      <w:pPr>
        <w:spacing w:after="0" w:line="294" w:lineRule="exact"/>
        <w:rPr>
          <w:sz w:val="24"/>
          <w:szCs w:val="24"/>
          <w:color w:val="auto"/>
        </w:rPr>
      </w:pPr>
    </w:p>
    <w:p>
      <w:pPr>
        <w:ind w:left="1940" w:hanging="190"/>
        <w:spacing w:after="0" w:line="207" w:lineRule="exact"/>
        <w:tabs>
          <w:tab w:leader="none" w:pos="19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Form 10-K</w:t>
      </w:r>
      <w:r>
        <w:rPr>
          <w:rFonts w:ascii="MS PGothic" w:cs="MS PGothic" w:eastAsia="MS PGothic" w:hAnsi="MS PGothic"/>
          <w:sz w:val="18"/>
          <w:szCs w:val="18"/>
          <w:color w:val="auto"/>
        </w:rPr>
        <w:t>☐</w:t>
      </w:r>
      <w:r>
        <w:rPr>
          <w:rFonts w:ascii="Arial" w:cs="Arial" w:eastAsia="Arial" w:hAnsi="Arial"/>
          <w:sz w:val="18"/>
          <w:szCs w:val="18"/>
          <w:color w:val="auto"/>
        </w:rPr>
        <w:t xml:space="preserve"> Form 20-F</w:t>
      </w:r>
      <w:r>
        <w:rPr>
          <w:rFonts w:ascii="MS PGothic" w:cs="MS PGothic" w:eastAsia="MS PGothic" w:hAnsi="MS PGothic"/>
          <w:sz w:val="18"/>
          <w:szCs w:val="18"/>
          <w:color w:val="auto"/>
        </w:rPr>
        <w:t>☐</w:t>
      </w:r>
      <w:r>
        <w:rPr>
          <w:rFonts w:ascii="Arial" w:cs="Arial" w:eastAsia="Arial" w:hAnsi="Arial"/>
          <w:sz w:val="18"/>
          <w:szCs w:val="18"/>
          <w:color w:val="auto"/>
        </w:rPr>
        <w:t xml:space="preserve"> Form 11-K</w:t>
      </w:r>
      <w:r>
        <w:rPr>
          <w:rFonts w:ascii="MS PGothic" w:cs="MS PGothic" w:eastAsia="MS PGothic" w:hAnsi="MS PGothic"/>
          <w:sz w:val="18"/>
          <w:szCs w:val="18"/>
          <w:color w:val="auto"/>
        </w:rPr>
        <w:t>☐</w:t>
      </w:r>
      <w:r>
        <w:rPr>
          <w:rFonts w:ascii="Arial" w:cs="Arial" w:eastAsia="Arial" w:hAnsi="Arial"/>
          <w:sz w:val="18"/>
          <w:szCs w:val="18"/>
          <w:color w:val="auto"/>
        </w:rPr>
        <w:t xml:space="preserve"> Form 10-Q</w:t>
      </w:r>
      <w:r>
        <w:rPr>
          <w:rFonts w:ascii="MS PGothic" w:cs="MS PGothic" w:eastAsia="MS PGothic" w:hAnsi="MS PGothic"/>
          <w:sz w:val="18"/>
          <w:szCs w:val="18"/>
          <w:color w:val="auto"/>
        </w:rPr>
        <w:t>☐</w:t>
      </w:r>
      <w:r>
        <w:rPr>
          <w:rFonts w:ascii="Arial" w:cs="Arial" w:eastAsia="Arial" w:hAnsi="Arial"/>
          <w:sz w:val="18"/>
          <w:szCs w:val="18"/>
          <w:color w:val="auto"/>
        </w:rPr>
        <w:t xml:space="preserve"> Form 10-D</w:t>
      </w:r>
      <w:r>
        <w:rPr>
          <w:rFonts w:ascii="MS PGothic" w:cs="MS PGothic" w:eastAsia="MS PGothic" w:hAnsi="MS PGothic"/>
          <w:sz w:val="18"/>
          <w:szCs w:val="18"/>
          <w:color w:val="auto"/>
        </w:rPr>
        <w:t>☐</w:t>
      </w:r>
      <w:r>
        <w:rPr>
          <w:rFonts w:ascii="Arial" w:cs="Arial" w:eastAsia="Arial" w:hAnsi="Arial"/>
          <w:sz w:val="18"/>
          <w:szCs w:val="18"/>
          <w:color w:val="auto"/>
        </w:rPr>
        <w:t xml:space="preserve"> Form N-SAR</w:t>
      </w:r>
    </w:p>
    <w:p>
      <w:pPr>
        <w:spacing w:after="0" w:line="51" w:lineRule="exact"/>
        <w:rPr>
          <w:sz w:val="24"/>
          <w:szCs w:val="24"/>
          <w:color w:val="auto"/>
        </w:rPr>
      </w:pPr>
    </w:p>
    <w:p>
      <w:pPr>
        <w:ind w:left="40"/>
        <w:spacing w:after="0" w:line="207" w:lineRule="exact"/>
        <w:tabs>
          <w:tab w:leader="none" w:pos="1740" w:val="left"/>
        </w:tabs>
        <w:rPr>
          <w:sz w:val="20"/>
          <w:szCs w:val="20"/>
          <w:color w:val="auto"/>
        </w:rPr>
      </w:pPr>
      <w:r>
        <w:rPr>
          <w:rFonts w:ascii="Arial" w:cs="Arial" w:eastAsia="Arial" w:hAnsi="Arial"/>
          <w:sz w:val="18"/>
          <w:szCs w:val="18"/>
          <w:i w:val="1"/>
          <w:iCs w:val="1"/>
          <w:color w:val="auto"/>
        </w:rPr>
        <w:t>(Check One)</w:t>
      </w:r>
      <w:r>
        <w:rPr>
          <w:rFonts w:ascii="Arial" w:cs="Arial" w:eastAsia="Arial" w:hAnsi="Arial"/>
          <w:sz w:val="18"/>
          <w:szCs w:val="18"/>
          <w:color w:val="auto"/>
        </w:rPr>
        <w: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N-CSR</w:t>
      </w:r>
    </w:p>
    <w:p>
      <w:pPr>
        <w:spacing w:after="0" w:line="243" w:lineRule="exact"/>
        <w:rPr>
          <w:sz w:val="24"/>
          <w:szCs w:val="24"/>
          <w:color w:val="auto"/>
        </w:rPr>
      </w:pPr>
    </w:p>
    <w:p>
      <w:pPr>
        <w:ind w:left="1480"/>
        <w:spacing w:after="0"/>
        <w:rPr>
          <w:sz w:val="20"/>
          <w:szCs w:val="20"/>
          <w:color w:val="auto"/>
        </w:rPr>
      </w:pPr>
      <w:r>
        <w:rPr>
          <w:rFonts w:ascii="Arial" w:cs="Arial" w:eastAsia="Arial" w:hAnsi="Arial"/>
          <w:sz w:val="18"/>
          <w:szCs w:val="18"/>
          <w:color w:val="auto"/>
        </w:rPr>
        <w:t>For Period Ended: December 31, 2018</w:t>
      </w:r>
    </w:p>
    <w:p>
      <w:pPr>
        <w:spacing w:after="0" w:line="239" w:lineRule="exact"/>
        <w:rPr>
          <w:sz w:val="24"/>
          <w:szCs w:val="24"/>
          <w:color w:val="auto"/>
        </w:rPr>
      </w:pPr>
    </w:p>
    <w:p>
      <w:pPr>
        <w:ind w:left="1700" w:hanging="220"/>
        <w:spacing w:after="0"/>
        <w:tabs>
          <w:tab w:leader="none" w:pos="1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184" w:lineRule="exact"/>
        <w:rPr>
          <w:rFonts w:ascii="MS PGothic" w:cs="MS PGothic" w:eastAsia="MS PGothic" w:hAnsi="MS PGothic"/>
          <w:sz w:val="18"/>
          <w:szCs w:val="18"/>
          <w:color w:val="auto"/>
        </w:rPr>
      </w:pPr>
    </w:p>
    <w:p>
      <w:pPr>
        <w:ind w:left="1700" w:hanging="220"/>
        <w:spacing w:after="0"/>
        <w:tabs>
          <w:tab w:leader="none" w:pos="1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184" w:lineRule="exact"/>
        <w:rPr>
          <w:rFonts w:ascii="MS PGothic" w:cs="MS PGothic" w:eastAsia="MS PGothic" w:hAnsi="MS PGothic"/>
          <w:sz w:val="18"/>
          <w:szCs w:val="18"/>
          <w:color w:val="auto"/>
        </w:rPr>
      </w:pPr>
    </w:p>
    <w:p>
      <w:pPr>
        <w:ind w:left="1700" w:hanging="220"/>
        <w:spacing w:after="0"/>
        <w:tabs>
          <w:tab w:leader="none" w:pos="1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184" w:lineRule="exact"/>
        <w:rPr>
          <w:rFonts w:ascii="MS PGothic" w:cs="MS PGothic" w:eastAsia="MS PGothic" w:hAnsi="MS PGothic"/>
          <w:sz w:val="18"/>
          <w:szCs w:val="18"/>
          <w:color w:val="auto"/>
        </w:rPr>
      </w:pPr>
    </w:p>
    <w:p>
      <w:pPr>
        <w:ind w:left="1700" w:hanging="220"/>
        <w:spacing w:after="0"/>
        <w:tabs>
          <w:tab w:leader="none" w:pos="1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184" w:lineRule="exact"/>
        <w:rPr>
          <w:rFonts w:ascii="MS PGothic" w:cs="MS PGothic" w:eastAsia="MS PGothic" w:hAnsi="MS PGothic"/>
          <w:sz w:val="18"/>
          <w:szCs w:val="18"/>
          <w:color w:val="auto"/>
        </w:rPr>
      </w:pPr>
    </w:p>
    <w:p>
      <w:pPr>
        <w:ind w:left="1480" w:right="6560"/>
        <w:spacing w:after="0" w:line="507" w:lineRule="auto"/>
        <w:tabs>
          <w:tab w:leader="none" w:pos="1692"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on Form N-SAR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586613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66130" cy="308610"/>
                    </a:xfrm>
                    <a:prstGeom prst="rect">
                      <a:avLst/>
                    </a:prstGeom>
                    <a:noFill/>
                  </pic:spPr>
                </pic:pic>
              </a:graphicData>
            </a:graphic>
          </wp:anchor>
        </w:drawing>
      </w:r>
    </w:p>
    <w:p>
      <w:pPr>
        <w:spacing w:after="0" w:line="91" w:lineRule="exact"/>
        <w:rPr>
          <w:sz w:val="24"/>
          <w:szCs w:val="24"/>
          <w:color w:val="auto"/>
        </w:rPr>
      </w:pPr>
    </w:p>
    <w:p>
      <w:pPr>
        <w:ind w:left="40" w:right="2540"/>
        <w:spacing w:after="0" w:line="271" w:lineRule="auto"/>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 Not applicable.</w:t>
      </w:r>
    </w:p>
    <w:p>
      <w:pPr>
        <w:spacing w:after="0" w:line="37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00" w:lineRule="exact"/>
        <w:rPr>
          <w:sz w:val="24"/>
          <w:szCs w:val="24"/>
          <w:color w:val="auto"/>
        </w:rPr>
      </w:pPr>
    </w:p>
    <w:p>
      <w:pPr>
        <w:spacing w:after="0" w:line="29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TechnipFMC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8"/>
          <w:szCs w:val="18"/>
          <w:color w:val="auto"/>
        </w:rPr>
        <w:t>Full Name of Registrant</w:t>
      </w:r>
    </w:p>
    <w:p>
      <w:pPr>
        <w:spacing w:after="0" w:line="298"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8"/>
          <w:szCs w:val="18"/>
          <w:color w:val="auto"/>
        </w:rPr>
        <w:t>Former Name if Applicable</w:t>
      </w:r>
    </w:p>
    <w:p>
      <w:pPr>
        <w:spacing w:after="0" w:line="298"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One St. Paul's Churchyard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7" w:lineRule="exact"/>
        <w:rPr>
          <w:sz w:val="24"/>
          <w:szCs w:val="24"/>
          <w:color w:val="auto"/>
        </w:rPr>
      </w:pPr>
    </w:p>
    <w:p>
      <w:pPr>
        <w:ind w:left="40"/>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316"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London, United Kingdom EC4M 8AP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8"/>
          <w:szCs w:val="18"/>
          <w:color w:val="auto"/>
        </w:rPr>
        <w:t>City, State and Zip Code</w:t>
      </w:r>
    </w:p>
    <w:p>
      <w:pPr>
        <w:sectPr>
          <w:pgSz w:w="11900" w:h="16838" w:orient="portrait"/>
          <w:cols w:equalWidth="0" w:num="1">
            <w:col w:w="10960"/>
          </w:cols>
          <w:pgMar w:left="240" w:top="730" w:right="6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 — RULES 12b-25(b) AND (c)</w:t>
      </w:r>
    </w:p>
    <w:p>
      <w:pPr>
        <w:spacing w:after="0" w:line="20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391160</wp:posOffset>
            </wp:positionV>
            <wp:extent cx="8890" cy="14490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60" w:right="2720" w:hanging="9"/>
        <w:spacing w:after="0" w:line="246" w:lineRule="auto"/>
        <w:tabs>
          <w:tab w:leader="none" w:pos="103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reasons described in reasonable detail in Part III of this form could not be eliminated without unreasonable effort or expense;</w:t>
      </w:r>
    </w:p>
    <w:p>
      <w:pPr>
        <w:spacing w:after="0" w:line="183" w:lineRule="exact"/>
        <w:rPr>
          <w:rFonts w:ascii="Arial" w:cs="Arial" w:eastAsia="Arial" w:hAnsi="Arial"/>
          <w:sz w:val="18"/>
          <w:szCs w:val="18"/>
          <w:color w:val="auto"/>
        </w:rPr>
      </w:pPr>
    </w:p>
    <w:p>
      <w:pPr>
        <w:ind w:left="760" w:right="2340" w:hanging="9"/>
        <w:spacing w:after="0" w:line="234" w:lineRule="auto"/>
        <w:tabs>
          <w:tab w:leader="none" w:pos="103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subject annual report, semi-annual report, transition report on Form 10-K, Form 20-F, Form 11-K, Form N-SAR or Form N-CSR, or portion thereof, will be filed on or before the fifteenth calendar day</w:t>
      </w:r>
    </w:p>
    <w:p>
      <w:pPr>
        <w:spacing w:after="0" w:line="1" w:lineRule="exact"/>
        <w:rPr>
          <w:rFonts w:ascii="Arial" w:cs="Arial" w:eastAsia="Arial" w:hAnsi="Arial"/>
          <w:sz w:val="18"/>
          <w:szCs w:val="18"/>
          <w:color w:val="auto"/>
        </w:rPr>
      </w:pPr>
    </w:p>
    <w:p>
      <w:pPr>
        <w:ind w:left="760" w:right="2300" w:hanging="482"/>
        <w:spacing w:after="0"/>
        <w:tabs>
          <w:tab w:leader="none" w:pos="760" w:val="left"/>
        </w:tabs>
        <w:numPr>
          <w:ilvl w:val="0"/>
          <w:numId w:val="3"/>
        </w:numPr>
        <w:rPr>
          <w:rFonts w:ascii="MS PGothic" w:cs="MS PGothic" w:eastAsia="MS PGothic" w:hAnsi="MS PGothic"/>
          <w:sz w:val="16"/>
          <w:szCs w:val="16"/>
          <w:color w:val="auto"/>
        </w:rPr>
      </w:pPr>
      <w:r>
        <w:rPr>
          <w:rFonts w:ascii="Arial" w:cs="Arial" w:eastAsia="Arial" w:hAnsi="Arial"/>
          <w:sz w:val="18"/>
          <w:szCs w:val="18"/>
          <w:color w:val="auto"/>
        </w:rPr>
        <w:t>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89" w:lineRule="exact"/>
        <w:rPr>
          <w:rFonts w:ascii="MS PGothic" w:cs="MS PGothic" w:eastAsia="MS PGothic" w:hAnsi="MS PGothic"/>
          <w:sz w:val="16"/>
          <w:szCs w:val="16"/>
          <w:color w:val="auto"/>
        </w:rPr>
      </w:pPr>
    </w:p>
    <w:p>
      <w:pPr>
        <w:ind w:left="760" w:right="3100" w:hanging="9"/>
        <w:spacing w:after="0" w:line="246" w:lineRule="auto"/>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0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TechnipFMC plc (the “Company,” “we,” or “our”) became a large accelerated filer pursuant to Securities Exchange Act of 1934 for</w:t>
      </w:r>
    </w:p>
    <w:p>
      <w:pPr>
        <w:spacing w:after="0" w:line="9"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2018. Consequently, the Company has a shortened filing deadline of 60 days rather than 90 days for its Annual Report on Form 10-K for the year ended December 31, 2018 (the “2018 Form 10-K”). In addition, the Company became subject to the requirements of Section 404(b) of Sarbanes-Oxley for the first time in 2018.</w:t>
      </w:r>
    </w:p>
    <w:p>
      <w:pPr>
        <w:spacing w:after="0" w:line="161" w:lineRule="exact"/>
        <w:rPr>
          <w:sz w:val="20"/>
          <w:szCs w:val="20"/>
          <w:color w:val="auto"/>
        </w:rPr>
      </w:pPr>
    </w:p>
    <w:p>
      <w:pPr>
        <w:jc w:val="both"/>
        <w:ind w:right="780"/>
        <w:spacing w:after="0" w:line="256" w:lineRule="auto"/>
        <w:rPr>
          <w:sz w:val="20"/>
          <w:szCs w:val="20"/>
          <w:color w:val="auto"/>
        </w:rPr>
      </w:pPr>
      <w:r>
        <w:rPr>
          <w:rFonts w:ascii="Arial" w:cs="Arial" w:eastAsia="Arial" w:hAnsi="Arial"/>
          <w:sz w:val="18"/>
          <w:szCs w:val="18"/>
          <w:color w:val="auto"/>
        </w:rPr>
        <w:t>As a result, the Company requires additional time to complete the procedures relating to its year-end reporting process, including the completion of the integrated audit of the Company’s financial statements and procedures relating to management’s assessment of the effectiveness of internal controls and cannot file within the prescribed period without unreasonable effort or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Company intends to file its 2018 Form 10-K on or before March 15, 2019.</w:t>
      </w:r>
    </w:p>
    <w:p>
      <w:pPr>
        <w:spacing w:after="0" w:line="18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Company expects that its 2018 Form 10-K audited financial statements will be consistent in all material respects with the 2018 year-end financial results previously reported in its earnings release filed on Form 8-K on February 20, 2019.</w:t>
      </w:r>
    </w:p>
    <w:p>
      <w:pPr>
        <w:spacing w:after="0" w:line="15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Management is completing its assessment of the effectiveness of the Company’s internal controls and will provide details of its assessment in the 2018 Form 10-K. Management has concluded that the prior reported material weaknesses related to foreign exchange adjustments and information technology general controls have been remediated. The previously reported material weakness related to period end financial reporting process and account reconciliations is being remediated, and a new material weakness relating to our accounting for income taxes has been identified. These internal controls findings did not impact the year-end financial results previously reported in our earnings release.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0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Krisztina Doroghazi</w:t>
            </w:r>
          </w:p>
        </w:tc>
        <w:tc>
          <w:tcPr>
            <w:tcW w:w="100" w:type="dxa"/>
            <w:vAlign w:val="bottom"/>
          </w:tcPr>
          <w:p>
            <w:pPr>
              <w:spacing w:after="0"/>
              <w:rPr>
                <w:sz w:val="19"/>
                <w:szCs w:val="19"/>
                <w:color w:val="auto"/>
              </w:rPr>
            </w:pPr>
          </w:p>
        </w:tc>
        <w:tc>
          <w:tcPr>
            <w:tcW w:w="21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322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(0)1 47 78 24 00</w:t>
            </w:r>
          </w:p>
        </w:tc>
      </w:tr>
      <w:tr>
        <w:trPr>
          <w:trHeight w:val="446"/>
        </w:trPr>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(Name)</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(Area Code)</w:t>
            </w:r>
          </w:p>
        </w:tc>
        <w:tc>
          <w:tcPr>
            <w:tcW w:w="3220" w:type="dxa"/>
            <w:vAlign w:val="bottom"/>
          </w:tcPr>
          <w:p>
            <w:pPr>
              <w:jc w:val="center"/>
              <w:spacing w:after="0"/>
              <w:rPr>
                <w:sz w:val="20"/>
                <w:szCs w:val="20"/>
                <w:color w:val="auto"/>
              </w:rPr>
            </w:pPr>
            <w:r>
              <w:rPr>
                <w:rFonts w:ascii="Arial" w:cs="Arial" w:eastAsia="Arial" w:hAnsi="Arial"/>
                <w:sz w:val="18"/>
                <w:szCs w:val="18"/>
                <w:color w:val="auto"/>
                <w:w w:val="98"/>
              </w:rPr>
              <w:t>(Telephone Number)</w:t>
            </w:r>
          </w:p>
        </w:tc>
      </w:tr>
    </w:tbl>
    <w:p>
      <w:pPr>
        <w:spacing w:after="0" w:line="242" w:lineRule="exact"/>
        <w:rPr>
          <w:sz w:val="20"/>
          <w:szCs w:val="20"/>
          <w:color w:val="auto"/>
        </w:rPr>
      </w:pPr>
    </w:p>
    <w:p>
      <w:pPr>
        <w:ind w:left="660" w:right="20" w:hanging="652"/>
        <w:spacing w:after="0" w:line="262"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w:t>
      </w:r>
    </w:p>
    <w:p>
      <w:pPr>
        <w:spacing w:after="0" w:line="1" w:lineRule="exact"/>
        <w:rPr>
          <w:sz w:val="20"/>
          <w:szCs w:val="20"/>
          <w:color w:val="auto"/>
        </w:rPr>
      </w:pPr>
    </w:p>
    <w:p>
      <w:pPr>
        <w:ind w:left="660"/>
        <w:spacing w:after="0" w:line="207" w:lineRule="exact"/>
        <w:tabs>
          <w:tab w:leader="none" w:pos="5700" w:val="left"/>
        </w:tabs>
        <w:rPr>
          <w:sz w:val="20"/>
          <w:szCs w:val="20"/>
          <w:color w:val="auto"/>
        </w:rPr>
      </w:pPr>
      <w:r>
        <w:rPr>
          <w:rFonts w:ascii="Arial" w:cs="Arial" w:eastAsia="Arial" w:hAnsi="Arial"/>
          <w:sz w:val="18"/>
          <w:szCs w:val="18"/>
          <w:color w:val="auto"/>
        </w:rPr>
        <w:t xml:space="preserve">report(s) been filed? If answer is no, identify report(s).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420"/>
          </w:cols>
          <w:pgMar w:left="240" w:top="576" w:right="239" w:bottom="1440" w:gutter="0" w:footer="0" w:header="0"/>
        </w:sectPr>
      </w:pPr>
    </w:p>
    <w:bookmarkStart w:id="2" w:name="page3"/>
    <w:bookmarkEnd w:id="2"/>
    <w:p>
      <w:pPr>
        <w:ind w:left="1300" w:right="20" w:hanging="1292"/>
        <w:spacing w:after="0" w:line="226" w:lineRule="exact"/>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0"/>
          <w:szCs w:val="20"/>
          <w:color w:val="auto"/>
        </w:rPr>
      </w:pPr>
    </w:p>
    <w:p>
      <w:pPr>
        <w:ind w:left="660" w:right="240"/>
        <w:spacing w:after="0" w:line="262"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Please refer to the Company's Form 8-K filed on February 20, 2019 related to the fourth quarter earnings release. Detail regarding significant changes in the Company's results of operations for the year ended December 31, 2018 as compared to the year ended December 31, 2107 are in the Form 8-K.</w:t>
      </w:r>
    </w:p>
    <w:p>
      <w:pPr>
        <w:spacing w:after="0" w:line="202"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Company’s statements included in this Form 12b-25 include forward-looking statements as defined in the Private Securities Litigation Reform Act of 1995, and actual events may differ materially from those contemplated by these forward-looking statements. These forward-looking statements are subject to certain risks and uncertainties, including the potential inability of the Company to file the 2018 Form 10-K within the extension period provided by Form 12b-25; the possibility that the audited financial statements included in the 2018 Form 10-K may include material changes from previously reported financial results; the identification of additional issues during the completion of the reporting and audit process relating to the Company’s financial statements, its disclosure controls and procedures or internal control over financial reporting; and such other risk factors as set forth in our filings with the U.S. Securities and Exchange Commission and in our filings with the Autorité des marchés financiers or the U.K. Financial Conduct Authority. The Company undertakes no obligation to revise or update any of our forward-looking statements to reflect actual events or circumstances after the date hereof.</w:t>
      </w:r>
    </w:p>
    <w:p>
      <w:pPr>
        <w:spacing w:after="0" w:line="353" w:lineRule="exact"/>
        <w:rPr>
          <w:sz w:val="20"/>
          <w:szCs w:val="20"/>
          <w:color w:val="auto"/>
        </w:rPr>
      </w:pPr>
    </w:p>
    <w:p>
      <w:pPr>
        <w:jc w:val="center"/>
        <w:ind w:right="2560"/>
        <w:spacing w:after="0"/>
        <w:rPr>
          <w:sz w:val="20"/>
          <w:szCs w:val="20"/>
          <w:color w:val="auto"/>
        </w:rPr>
      </w:pPr>
      <w:r>
        <w:rPr>
          <w:rFonts w:ascii="Arial" w:cs="Arial" w:eastAsia="Arial" w:hAnsi="Arial"/>
          <w:sz w:val="18"/>
          <w:szCs w:val="18"/>
          <w:b w:val="1"/>
          <w:bCs w:val="1"/>
          <w:color w:val="auto"/>
        </w:rPr>
        <w:t>TechnipFMC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28575</wp:posOffset>
            </wp:positionV>
            <wp:extent cx="31559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6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(Name of Registrant as Specified in Charter)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tabs>
          <w:tab w:leader="none" w:pos="940" w:val="left"/>
          <w:tab w:leader="none" w:pos="4500" w:val="left"/>
          <w:tab w:leader="none" w:pos="4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Krisztina Doroghazi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14605</wp:posOffset>
            </wp:positionV>
            <wp:extent cx="4202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30" w:lineRule="exact"/>
        <w:rPr>
          <w:sz w:val="20"/>
          <w:szCs w:val="20"/>
          <w:color w:val="auto"/>
        </w:rPr>
      </w:pPr>
    </w:p>
    <w:p>
      <w:pPr>
        <w:ind w:left="4240"/>
        <w:spacing w:after="0"/>
        <w:tabs>
          <w:tab w:leader="none" w:pos="4940" w:val="left"/>
        </w:tabs>
        <w:rPr>
          <w:sz w:val="20"/>
          <w:szCs w:val="20"/>
          <w:color w:val="auto"/>
        </w:rPr>
      </w:pPr>
      <w:r>
        <w:rPr>
          <w:rFonts w:ascii="Arial" w:cs="Arial" w:eastAsia="Arial" w:hAnsi="Arial"/>
          <w:sz w:val="18"/>
          <w:szCs w:val="18"/>
          <w:color w:val="auto"/>
        </w:rPr>
        <w:t>Name:</w:t>
        <w:tab/>
        <w:t>Krisztina Doroghazi</w:t>
      </w:r>
    </w:p>
    <w:p>
      <w:pPr>
        <w:spacing w:after="0" w:line="59" w:lineRule="exact"/>
        <w:rPr>
          <w:sz w:val="20"/>
          <w:szCs w:val="20"/>
          <w:color w:val="auto"/>
        </w:rPr>
      </w:pPr>
    </w:p>
    <w:p>
      <w:pPr>
        <w:ind w:left="4400"/>
        <w:spacing w:after="0"/>
        <w:tabs>
          <w:tab w:leader="none" w:pos="4940" w:val="left"/>
        </w:tabs>
        <w:rPr>
          <w:sz w:val="20"/>
          <w:szCs w:val="20"/>
          <w:color w:val="auto"/>
        </w:rPr>
      </w:pPr>
      <w:r>
        <w:rPr>
          <w:rFonts w:ascii="Arial" w:cs="Arial" w:eastAsia="Arial" w:hAnsi="Arial"/>
          <w:sz w:val="18"/>
          <w:szCs w:val="18"/>
          <w:color w:val="auto"/>
        </w:rPr>
        <w:t>Title:</w:t>
        <w:tab/>
        <w:t>Senior Vice President, Controller and Chief Accounting Officer</w:t>
      </w:r>
    </w:p>
    <w:p>
      <w:pPr>
        <w:ind w:left="4960"/>
        <w:spacing w:after="0"/>
        <w:rPr>
          <w:sz w:val="20"/>
          <w:szCs w:val="20"/>
          <w:color w:val="auto"/>
        </w:rPr>
      </w:pPr>
      <w:r>
        <w:rPr>
          <w:rFonts w:ascii="Arial" w:cs="Arial" w:eastAsia="Arial" w:hAnsi="Arial"/>
          <w:sz w:val="18"/>
          <w:szCs w:val="18"/>
          <w:color w:val="auto"/>
        </w:rPr>
        <w:t>(Principal Accounting Officer and a Duly Authorized Officer)</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2)"/>
      <w:numFmt w:val="lowerLetter"/>
      <w:start w:val="1"/>
    </w:lvl>
  </w:abstractNum>
  <w:abstractNum w:abstractNumId="3">
    <w:nsid w:val="3D1B58BA"/>
    <w:multiLevelType w:val="hybridMultilevel"/>
    <w:lvl w:ilvl="0">
      <w:lvlJc w:val="left"/>
      <w:lvlText w:val="☒"/>
      <w:numFmt w:val="bullet"/>
      <w:start w:val="1"/>
    </w:lvl>
    <w:lvl w:ilvl="1">
      <w:lvlJc w:val="left"/>
      <w:lvlText w:val="(%2)"/>
      <w:numFmt w:val="lowerLetter"/>
      <w:start w:val="3"/>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2019-12-21T06:29:49Z</dcterms:created>
  <dcterms:modified xsi:type="dcterms:W3CDTF">2019-12-21T06:29:49Z</dcterms:modified>
</cp:coreProperties>
</file>