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25, 2019</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7" w:lineRule="exact"/>
        <w:rPr>
          <w:sz w:val="24"/>
          <w:szCs w:val="24"/>
          <w:color w:val="auto"/>
        </w:rPr>
      </w:pPr>
    </w:p>
    <w:tbl>
      <w:tblPr>
        <w:tblLayout w:type="fixed"/>
        <w:tblInd w:w="480" w:type="dxa"/>
        <w:tblCellMar>
          <w:top w:w="0" w:type="dxa"/>
          <w:left w:w="0" w:type="dxa"/>
          <w:bottom w:w="0" w:type="dxa"/>
          <w:right w:w="0" w:type="dxa"/>
        </w:tblCellMar>
      </w:tblPr>
      <w:tr>
        <w:trPr>
          <w:trHeight w:val="253"/>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w w:val="99"/>
              </w:rPr>
              <w:t>England and Wales</w:t>
            </w:r>
          </w:p>
        </w:tc>
        <w:tc>
          <w:tcPr>
            <w:tcW w:w="460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001-37983</w:t>
            </w:r>
          </w:p>
        </w:tc>
        <w:tc>
          <w:tcPr>
            <w:tcW w:w="2620" w:type="dxa"/>
            <w:vAlign w:val="bottom"/>
          </w:tcPr>
          <w:p>
            <w:pPr>
              <w:jc w:val="right"/>
              <w:ind w:right="539"/>
              <w:spacing w:after="0"/>
              <w:rPr>
                <w:sz w:val="20"/>
                <w:szCs w:val="20"/>
                <w:color w:val="auto"/>
              </w:rPr>
            </w:pPr>
            <w:r>
              <w:rPr>
                <w:rFonts w:ascii="Arial" w:cs="Arial" w:eastAsia="Arial" w:hAnsi="Arial"/>
                <w:sz w:val="18"/>
                <w:szCs w:val="18"/>
                <w:b w:val="1"/>
                <w:bCs w:val="1"/>
                <w:color w:val="auto"/>
              </w:rPr>
              <w:t>98-1283037</w:t>
            </w:r>
          </w:p>
        </w:tc>
      </w:tr>
      <w:tr>
        <w:trPr>
          <w:trHeight w:val="264"/>
        </w:trPr>
        <w:tc>
          <w:tcPr>
            <w:tcW w:w="3000" w:type="dxa"/>
            <w:vAlign w:val="bottom"/>
          </w:tcPr>
          <w:p>
            <w:pPr>
              <w:jc w:val="center"/>
              <w:ind w:right="197"/>
              <w:spacing w:after="0"/>
              <w:rPr>
                <w:sz w:val="20"/>
                <w:szCs w:val="20"/>
                <w:color w:val="auto"/>
              </w:rPr>
            </w:pPr>
            <w:r>
              <w:rPr>
                <w:rFonts w:ascii="Arial" w:cs="Arial" w:eastAsia="Arial" w:hAnsi="Arial"/>
                <w:sz w:val="14"/>
                <w:szCs w:val="14"/>
                <w:color w:val="auto"/>
              </w:rPr>
              <w:t>(State or other jurisdiction of incorporation)</w:t>
            </w:r>
          </w:p>
        </w:tc>
        <w:tc>
          <w:tcPr>
            <w:tcW w:w="4600" w:type="dxa"/>
            <w:vAlign w:val="bottom"/>
          </w:tcPr>
          <w:p>
            <w:pPr>
              <w:jc w:val="center"/>
              <w:ind w:right="22"/>
              <w:spacing w:after="0"/>
              <w:rPr>
                <w:sz w:val="20"/>
                <w:szCs w:val="20"/>
                <w:color w:val="auto"/>
              </w:rPr>
            </w:pPr>
            <w:r>
              <w:rPr>
                <w:rFonts w:ascii="Arial" w:cs="Arial" w:eastAsia="Arial" w:hAnsi="Arial"/>
                <w:sz w:val="14"/>
                <w:szCs w:val="14"/>
                <w:color w:val="auto"/>
              </w:rPr>
              <w:t>(Commission File Number)</w:t>
            </w:r>
          </w:p>
        </w:tc>
        <w:tc>
          <w:tcPr>
            <w:tcW w:w="2620" w:type="dxa"/>
            <w:vAlign w:val="bottom"/>
          </w:tcPr>
          <w:p>
            <w:pPr>
              <w:jc w:val="center"/>
              <w:ind w:left="319"/>
              <w:spacing w:after="0"/>
              <w:rPr>
                <w:sz w:val="20"/>
                <w:szCs w:val="20"/>
                <w:color w:val="auto"/>
              </w:rPr>
            </w:pPr>
            <w:r>
              <w:rPr>
                <w:rFonts w:ascii="Arial" w:cs="Arial" w:eastAsia="Arial" w:hAnsi="Arial"/>
                <w:sz w:val="14"/>
                <w:szCs w:val="14"/>
                <w:color w:val="auto"/>
              </w:rPr>
              <w:t>(I.R.S. Employer Identification No.)</w:t>
            </w:r>
          </w:p>
        </w:tc>
      </w:tr>
      <w:tr>
        <w:trPr>
          <w:trHeight w:val="564"/>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One St. Paul’s Churchyard</w:t>
            </w:r>
          </w:p>
        </w:tc>
        <w:tc>
          <w:tcPr>
            <w:tcW w:w="46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53"/>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London, United Kingdom</w:t>
            </w:r>
          </w:p>
        </w:tc>
        <w:tc>
          <w:tcPr>
            <w:tcW w:w="4600" w:type="dxa"/>
            <w:vAlign w:val="bottom"/>
          </w:tcPr>
          <w:p>
            <w:pPr>
              <w:spacing w:after="0"/>
              <w:rPr>
                <w:sz w:val="21"/>
                <w:szCs w:val="21"/>
                <w:color w:val="auto"/>
              </w:rPr>
            </w:pPr>
          </w:p>
        </w:tc>
        <w:tc>
          <w:tcPr>
            <w:tcW w:w="2620" w:type="dxa"/>
            <w:vAlign w:val="bottom"/>
          </w:tcPr>
          <w:p>
            <w:pPr>
              <w:jc w:val="center"/>
              <w:ind w:left="319"/>
              <w:spacing w:after="0"/>
              <w:rPr>
                <w:sz w:val="20"/>
                <w:szCs w:val="20"/>
                <w:color w:val="auto"/>
              </w:rPr>
            </w:pPr>
            <w:r>
              <w:rPr>
                <w:rFonts w:ascii="Arial" w:cs="Arial" w:eastAsia="Arial" w:hAnsi="Arial"/>
                <w:sz w:val="18"/>
                <w:szCs w:val="18"/>
                <w:b w:val="1"/>
                <w:bCs w:val="1"/>
                <w:color w:val="auto"/>
                <w:w w:val="99"/>
              </w:rPr>
              <w:t>EC4M 8AP</w:t>
            </w:r>
          </w:p>
        </w:tc>
      </w:tr>
      <w:tr>
        <w:trPr>
          <w:trHeight w:val="264"/>
        </w:trPr>
        <w:tc>
          <w:tcPr>
            <w:tcW w:w="3000" w:type="dxa"/>
            <w:vAlign w:val="bottom"/>
          </w:tcPr>
          <w:p>
            <w:pPr>
              <w:jc w:val="center"/>
              <w:ind w:right="217"/>
              <w:spacing w:after="0"/>
              <w:rPr>
                <w:sz w:val="20"/>
                <w:szCs w:val="20"/>
                <w:color w:val="auto"/>
              </w:rPr>
            </w:pPr>
            <w:r>
              <w:rPr>
                <w:rFonts w:ascii="Arial" w:cs="Arial" w:eastAsia="Arial" w:hAnsi="Arial"/>
                <w:sz w:val="14"/>
                <w:szCs w:val="14"/>
                <w:color w:val="auto"/>
              </w:rPr>
              <w:t>(Address of principal executive offices)</w:t>
            </w:r>
          </w:p>
        </w:tc>
        <w:tc>
          <w:tcPr>
            <w:tcW w:w="4600" w:type="dxa"/>
            <w:vAlign w:val="bottom"/>
          </w:tcPr>
          <w:p>
            <w:pPr>
              <w:spacing w:after="0"/>
              <w:rPr>
                <w:sz w:val="22"/>
                <w:szCs w:val="22"/>
                <w:color w:val="auto"/>
              </w:rPr>
            </w:pPr>
          </w:p>
        </w:tc>
        <w:tc>
          <w:tcPr>
            <w:tcW w:w="2620" w:type="dxa"/>
            <w:vAlign w:val="bottom"/>
          </w:tcPr>
          <w:p>
            <w:pPr>
              <w:jc w:val="center"/>
              <w:ind w:left="339"/>
              <w:spacing w:after="0"/>
              <w:rPr>
                <w:sz w:val="20"/>
                <w:szCs w:val="20"/>
                <w:color w:val="auto"/>
              </w:rPr>
            </w:pPr>
            <w:r>
              <w:rPr>
                <w:rFonts w:ascii="Arial" w:cs="Arial" w:eastAsia="Arial" w:hAnsi="Arial"/>
                <w:sz w:val="14"/>
                <w:szCs w:val="14"/>
                <w:color w:val="auto"/>
              </w:rPr>
              <w:t>(Zip Code)</w:t>
            </w:r>
          </w:p>
        </w:tc>
      </w:tr>
      <w:tr>
        <w:trPr>
          <w:trHeight w:val="303"/>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b w:val="1"/>
                <w:bCs w:val="1"/>
                <w:color w:val="auto"/>
              </w:rPr>
              <w:t>+44 203-429-3950</w:t>
            </w:r>
          </w:p>
        </w:tc>
        <w:tc>
          <w:tcPr>
            <w:tcW w:w="2620" w:type="dxa"/>
            <w:vAlign w:val="bottom"/>
          </w:tcPr>
          <w:p>
            <w:pPr>
              <w:spacing w:after="0"/>
              <w:rPr>
                <w:sz w:val="24"/>
                <w:szCs w:val="24"/>
                <w:color w:val="auto"/>
              </w:rPr>
            </w:pPr>
          </w:p>
        </w:tc>
      </w:tr>
      <w:tr>
        <w:trPr>
          <w:trHeight w:val="197"/>
        </w:trPr>
        <w:tc>
          <w:tcPr>
            <w:tcW w:w="3000" w:type="dxa"/>
            <w:vAlign w:val="bottom"/>
          </w:tcPr>
          <w:p>
            <w:pPr>
              <w:spacing w:after="0"/>
              <w:rPr>
                <w:sz w:val="17"/>
                <w:szCs w:val="17"/>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(Registrant's telephone number, including area code)</w:t>
            </w:r>
          </w:p>
        </w:tc>
        <w:tc>
          <w:tcPr>
            <w:tcW w:w="2620" w:type="dxa"/>
            <w:vAlign w:val="bottom"/>
          </w:tcPr>
          <w:p>
            <w:pPr>
              <w:spacing w:after="0"/>
              <w:rPr>
                <w:sz w:val="17"/>
                <w:szCs w:val="17"/>
                <w:color w:val="auto"/>
              </w:rPr>
            </w:pPr>
          </w:p>
        </w:tc>
      </w:tr>
      <w:tr>
        <w:trPr>
          <w:trHeight w:val="346"/>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8"/>
                <w:szCs w:val="18"/>
                <w:b w:val="1"/>
                <w:bCs w:val="1"/>
                <w:color w:val="auto"/>
                <w:w w:val="99"/>
              </w:rPr>
              <w:t>Not Applicable</w:t>
            </w:r>
          </w:p>
        </w:tc>
        <w:tc>
          <w:tcPr>
            <w:tcW w:w="2620" w:type="dxa"/>
            <w:vAlign w:val="bottom"/>
          </w:tcPr>
          <w:p>
            <w:pPr>
              <w:spacing w:after="0"/>
              <w:rPr>
                <w:sz w:val="24"/>
                <w:szCs w:val="24"/>
                <w:color w:val="auto"/>
              </w:rPr>
            </w:pPr>
          </w:p>
        </w:tc>
      </w:tr>
      <w:tr>
        <w:trPr>
          <w:trHeight w:val="194"/>
        </w:trPr>
        <w:tc>
          <w:tcPr>
            <w:tcW w:w="3000" w:type="dxa"/>
            <w:vAlign w:val="bottom"/>
          </w:tcPr>
          <w:p>
            <w:pPr>
              <w:spacing w:after="0"/>
              <w:rPr>
                <w:sz w:val="16"/>
                <w:szCs w:val="16"/>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(Former name or former address, if changed since last report)</w:t>
            </w:r>
          </w:p>
        </w:tc>
        <w:tc>
          <w:tcPr>
            <w:tcW w:w="2620" w:type="dxa"/>
            <w:vAlign w:val="bottom"/>
          </w:tcPr>
          <w:p>
            <w:pPr>
              <w:spacing w:after="0"/>
              <w:rPr>
                <w:sz w:val="16"/>
                <w:szCs w:val="16"/>
                <w:color w:val="auto"/>
              </w:rPr>
            </w:pPr>
          </w:p>
        </w:tc>
      </w:tr>
    </w:tbl>
    <w:p>
      <w:pPr>
        <w:spacing w:after="0" w:line="174"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305"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5"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4"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On April 25, 2019, TechnipFMC plc ("TechnipFMC") issued a news release announcing its financial results for the fiscal quarter ended March 31, 2019. A copy of the news release is furnished as Exhibit 99.1 to this report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05"/>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8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40"/>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3880" w:type="dxa"/>
            <w:vAlign w:val="bottom"/>
          </w:tcPr>
          <w:p>
            <w:pPr>
              <w:spacing w:after="0"/>
              <w:rPr>
                <w:sz w:val="24"/>
                <w:szCs w:val="24"/>
                <w:color w:val="auto"/>
              </w:rPr>
            </w:pPr>
          </w:p>
        </w:tc>
      </w:tr>
      <w:tr>
        <w:trPr>
          <w:trHeight w:val="443"/>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News Release issued by TechnipFMC dated April 25, 2019</w:t>
            </w:r>
          </w:p>
        </w:tc>
      </w:tr>
    </w:tbl>
    <w:p>
      <w:pPr>
        <w:sectPr>
          <w:pgSz w:w="11900" w:h="16838" w:orient="portrait"/>
          <w:cols w:equalWidth="0" w:num="1">
            <w:col w:w="11420"/>
          </w:cols>
          <w:pgMar w:left="240" w:top="57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40" w:type="dxa"/>
            <w:vAlign w:val="bottom"/>
            <w:gridSpan w:val="2"/>
          </w:tcPr>
          <w:p>
            <w:pPr>
              <w:ind w:left="2940"/>
              <w:spacing w:after="0"/>
              <w:rPr>
                <w:sz w:val="20"/>
                <w:szCs w:val="20"/>
                <w:color w:val="auto"/>
              </w:rPr>
            </w:pPr>
            <w:r>
              <w:rPr>
                <w:rFonts w:ascii="Arial" w:cs="Arial" w:eastAsia="Arial" w:hAnsi="Arial"/>
                <w:sz w:val="18"/>
                <w:szCs w:val="18"/>
                <w:b w:val="1"/>
                <w:bCs w:val="1"/>
                <w:color w:val="auto"/>
                <w:w w:val="97"/>
              </w:rPr>
              <w:t>EXHIBIT INDEX</w:t>
            </w:r>
          </w:p>
        </w:tc>
      </w:tr>
      <w:tr>
        <w:trPr>
          <w:trHeight w:val="366"/>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4240" w:type="dxa"/>
            <w:vAlign w:val="bottom"/>
            <w:gridSpan w:val="2"/>
          </w:tcPr>
          <w:p>
            <w:pPr>
              <w:spacing w:after="0"/>
              <w:rPr>
                <w:sz w:val="24"/>
                <w:szCs w:val="24"/>
                <w:color w:val="auto"/>
              </w:rPr>
            </w:pPr>
          </w:p>
        </w:tc>
      </w:tr>
      <w:tr>
        <w:trPr>
          <w:trHeight w:val="39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98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News Release issued by TechnipFMC plc dated April 25, 2019</w:t>
              </w:r>
            </w:hyperlink>
          </w:p>
        </w:tc>
        <w:tc>
          <w:tcPr>
            <w:tcW w:w="80" w:type="dxa"/>
            <w:vAlign w:val="bottom"/>
          </w:tcPr>
          <w:p>
            <w:pPr>
              <w:spacing w:after="0"/>
              <w:rPr>
                <w:sz w:val="24"/>
                <w:szCs w:val="24"/>
                <w:color w:val="auto"/>
              </w:rPr>
            </w:pPr>
          </w:p>
        </w:tc>
      </w:tr>
    </w:tbl>
    <w:p>
      <w:pPr>
        <w:sectPr>
          <w:pgSz w:w="11900" w:h="16838" w:orient="portrait"/>
          <w:cols w:equalWidth="0" w:num="1">
            <w:col w:w="10219"/>
          </w:cols>
          <w:pgMar w:left="240" w:top="574"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28575</wp:posOffset>
            </wp:positionV>
            <wp:extent cx="3353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color w:val="auto"/>
        </w:rPr>
        <w:t>Dated:  April 25, 2019</w:t>
      </w:r>
      <w:r>
        <w:rPr>
          <w:sz w:val="20"/>
          <w:szCs w:val="20"/>
          <w:color w:val="auto"/>
        </w:rPr>
        <w:tab/>
      </w:r>
      <w:r>
        <w:rPr>
          <w:rFonts w:ascii="Arial" w:cs="Arial" w:eastAsia="Arial" w:hAnsi="Arial"/>
          <w:sz w:val="17"/>
          <w:szCs w:val="17"/>
          <w:color w:val="auto"/>
        </w:rPr>
        <w:t>Name: Maryann T. Mannen</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00"/>
          </w:cols>
          <w:pgMar w:left="240" w:top="574" w:right="2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First Quarter 2019 Results</w:t>
      </w:r>
    </w:p>
    <w:p>
      <w:pPr>
        <w:spacing w:after="0" w:line="190" w:lineRule="exact"/>
        <w:rPr>
          <w:sz w:val="20"/>
          <w:szCs w:val="20"/>
          <w:color w:val="auto"/>
        </w:rPr>
      </w:pPr>
    </w:p>
    <w:p>
      <w:pPr>
        <w:ind w:left="400" w:hanging="257"/>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Total Company inbound orders of $6.2 billion; book-to-bill of 2.1</w:t>
      </w:r>
    </w:p>
    <w:p>
      <w:pPr>
        <w:spacing w:after="0" w:line="27" w:lineRule="exact"/>
        <w:rPr>
          <w:rFonts w:ascii="Arial" w:cs="Arial" w:eastAsia="Arial" w:hAnsi="Arial"/>
          <w:sz w:val="18"/>
          <w:szCs w:val="18"/>
          <w:color w:val="auto"/>
        </w:rPr>
      </w:pPr>
    </w:p>
    <w:p>
      <w:pPr>
        <w:ind w:left="400" w:hanging="257"/>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Net income of $20.9 million and adjusted EBITDA of $295.8 million</w:t>
      </w:r>
    </w:p>
    <w:p>
      <w:pPr>
        <w:ind w:left="400" w:right="940" w:hanging="257"/>
        <w:spacing w:after="0" w:line="263"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Updated 2019 financial guidance reflects strong orders and execution in Onshore/Offshore and lower North American activity in Surface Technologies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LONDON, PARIS, HOUSTON, April 25, 2019 - </w:t>
      </w:r>
      <w:r>
        <w:rPr>
          <w:rFonts w:ascii="Arial" w:cs="Arial" w:eastAsia="Arial" w:hAnsi="Arial"/>
          <w:sz w:val="19"/>
          <w:szCs w:val="19"/>
          <w:color w:val="auto"/>
        </w:rPr>
        <w:t>TechnipFMC plc (NYSE: FTI) (Paris: FTI) today reported first quarter 2019 results.</w:t>
      </w:r>
    </w:p>
    <w:p>
      <w:pPr>
        <w:spacing w:after="0" w:line="189"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Total Company revenue was $2,913 million. Net income was $20.9 million, or $0.05 per diluted share. These results included after-tax charges and credits totaling $6.4 million of expense, or $0.01 per diluted share; adjusted diluted earnings per share were $0.06.</w:t>
      </w:r>
    </w:p>
    <w:p>
      <w:pPr>
        <w:spacing w:after="0" w:line="117" w:lineRule="exact"/>
        <w:rPr>
          <w:sz w:val="20"/>
          <w:szCs w:val="20"/>
          <w:color w:val="auto"/>
        </w:rPr>
      </w:pPr>
    </w:p>
    <w:p>
      <w:pPr>
        <w:jc w:val="both"/>
        <w:ind w:right="40"/>
        <w:spacing w:after="0" w:line="280" w:lineRule="auto"/>
        <w:rPr>
          <w:sz w:val="20"/>
          <w:szCs w:val="20"/>
          <w:color w:val="auto"/>
        </w:rPr>
      </w:pPr>
      <w:r>
        <w:rPr>
          <w:rFonts w:ascii="Arial" w:cs="Arial" w:eastAsia="Arial" w:hAnsi="Arial"/>
          <w:sz w:val="20"/>
          <w:szCs w:val="20"/>
          <w:color w:val="auto"/>
        </w:rPr>
        <w:t>Adjusted EBITDA, which excludes pre-tax charges and credits, was $295.8 million; adjusted EBITDA margin was 10.2 percent (Exhibit 7).</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quarter, for which we do not provide guidance, included the following:</w:t>
      </w:r>
    </w:p>
    <w:p>
      <w:pPr>
        <w:spacing w:after="0" w:line="108" w:lineRule="exact"/>
        <w:rPr>
          <w:sz w:val="20"/>
          <w:szCs w:val="20"/>
          <w:color w:val="auto"/>
        </w:rPr>
      </w:pPr>
    </w:p>
    <w:p>
      <w:pPr>
        <w:ind w:left="660" w:right="2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$11.6 million of foreign exchange losses included in corporate expense, or $0.02 per diluted share on an after-tax basis; and</w:t>
      </w:r>
    </w:p>
    <w:p>
      <w:pPr>
        <w:ind w:left="660" w:right="2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$84.7 million of increased liability payable to joint venture partners included in interest expense, or $0.19 per diluted share on an after-tax basis.</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First Quarter 2019</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9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tcBorders>
              <w:top w:val="single" w:sz="8" w:color="B8CCE4"/>
              <w:right w:val="single" w:sz="8" w:color="B8CCE4"/>
            </w:tcBorders>
          </w:tcPr>
          <w:p>
            <w:pPr>
              <w:jc w:val="right"/>
              <w:ind w:right="506"/>
              <w:spacing w:after="0"/>
              <w:rPr>
                <w:sz w:val="20"/>
                <w:szCs w:val="20"/>
                <w:color w:val="auto"/>
              </w:rPr>
            </w:pPr>
            <w:r>
              <w:rPr>
                <w:rFonts w:ascii="Arial" w:cs="Arial" w:eastAsia="Arial" w:hAnsi="Arial"/>
                <w:sz w:val="14"/>
                <w:szCs w:val="14"/>
                <w:b w:val="1"/>
                <w:bCs w:val="1"/>
                <w:color w:val="auto"/>
              </w:rPr>
              <w:t>March 31,</w:t>
            </w:r>
          </w:p>
        </w:tc>
        <w:tc>
          <w:tcPr>
            <w:tcW w:w="1820" w:type="dxa"/>
            <w:vAlign w:val="bottom"/>
            <w:tcBorders>
              <w:top w:val="single" w:sz="8" w:color="B8CCE4"/>
              <w:right w:val="single" w:sz="8" w:color="B8CCE4"/>
            </w:tcBorders>
          </w:tcPr>
          <w:p>
            <w:pPr>
              <w:jc w:val="right"/>
              <w:ind w:right="506"/>
              <w:spacing w:after="0"/>
              <w:rPr>
                <w:sz w:val="20"/>
                <w:szCs w:val="20"/>
                <w:color w:val="auto"/>
              </w:rPr>
            </w:pPr>
            <w:r>
              <w:rPr>
                <w:rFonts w:ascii="Arial" w:cs="Arial" w:eastAsia="Arial" w:hAnsi="Arial"/>
                <w:sz w:val="14"/>
                <w:szCs w:val="14"/>
                <w:b w:val="1"/>
                <w:bCs w:val="1"/>
                <w:color w:val="auto"/>
              </w:rPr>
              <w:t>March 31,</w:t>
            </w:r>
          </w:p>
        </w:tc>
        <w:tc>
          <w:tcPr>
            <w:tcW w:w="1820" w:type="dxa"/>
            <w:vAlign w:val="bottom"/>
            <w:tcBorders>
              <w:top w:val="single" w:sz="8" w:color="B8CCE4"/>
              <w:right w:val="single" w:sz="8" w:color="B8CCE4"/>
            </w:tcBorders>
          </w:tcPr>
          <w:p>
            <w:pPr>
              <w:spacing w:after="0"/>
              <w:rPr>
                <w:sz w:val="16"/>
                <w:szCs w:val="16"/>
                <w:color w:val="auto"/>
              </w:rPr>
            </w:pPr>
          </w:p>
        </w:tc>
      </w:tr>
      <w:tr>
        <w:trPr>
          <w:trHeight w:val="203"/>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820" w:type="dxa"/>
            <w:vAlign w:val="bottom"/>
            <w:tcBorders>
              <w:bottom w:val="single" w:sz="8" w:color="B8CCE4"/>
              <w:right w:val="single" w:sz="8" w:color="B8CCE4"/>
            </w:tcBorders>
          </w:tcPr>
          <w:p>
            <w:pPr>
              <w:jc w:val="right"/>
              <w:ind w:right="686"/>
              <w:spacing w:after="0"/>
              <w:rPr>
                <w:sz w:val="20"/>
                <w:szCs w:val="20"/>
                <w:color w:val="auto"/>
              </w:rPr>
            </w:pPr>
            <w:r>
              <w:rPr>
                <w:rFonts w:ascii="Arial" w:cs="Arial" w:eastAsia="Arial" w:hAnsi="Arial"/>
                <w:sz w:val="14"/>
                <w:szCs w:val="14"/>
                <w:b w:val="1"/>
                <w:bCs w:val="1"/>
                <w:color w:val="auto"/>
              </w:rPr>
              <w:t>2019</w:t>
            </w:r>
          </w:p>
        </w:tc>
        <w:tc>
          <w:tcPr>
            <w:tcW w:w="1820" w:type="dxa"/>
            <w:vAlign w:val="bottom"/>
            <w:tcBorders>
              <w:bottom w:val="single" w:sz="8" w:color="B8CCE4"/>
              <w:right w:val="single" w:sz="8" w:color="B8CCE4"/>
            </w:tcBorders>
          </w:tcPr>
          <w:p>
            <w:pPr>
              <w:jc w:val="right"/>
              <w:ind w:right="666"/>
              <w:spacing w:after="0"/>
              <w:rPr>
                <w:sz w:val="20"/>
                <w:szCs w:val="20"/>
                <w:color w:val="auto"/>
              </w:rPr>
            </w:pPr>
            <w:r>
              <w:rPr>
                <w:rFonts w:ascii="Arial" w:cs="Arial" w:eastAsia="Arial" w:hAnsi="Arial"/>
                <w:sz w:val="14"/>
                <w:szCs w:val="14"/>
                <w:b w:val="1"/>
                <w:bCs w:val="1"/>
                <w:color w:val="auto"/>
              </w:rPr>
              <w:t>2018</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$2,913.0</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$3,125.2</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(6.8%)</w:t>
            </w:r>
          </w:p>
        </w:tc>
      </w:tr>
      <w:tr>
        <w:trPr>
          <w:trHeight w:val="264"/>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$20.9</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$95.1</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(78.0%)</w:t>
            </w:r>
          </w:p>
        </w:tc>
      </w:tr>
      <w:tr>
        <w:trPr>
          <w:trHeight w:val="264"/>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per share</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$0.05</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$0.20</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(75.0%)</w:t>
            </w:r>
          </w:p>
        </w:tc>
      </w:tr>
      <w:tr>
        <w:trPr>
          <w:trHeight w:val="331"/>
        </w:trPr>
        <w:tc>
          <w:tcPr>
            <w:tcW w:w="5980" w:type="dxa"/>
            <w:vAlign w:val="bottom"/>
            <w:tcBorders>
              <w:left w:val="single" w:sz="8" w:color="B8CCE4"/>
              <w:bottom w:val="single" w:sz="8" w:color="B8CCE4"/>
            </w:tcBorders>
          </w:tcPr>
          <w:p>
            <w:pPr>
              <w:spacing w:after="0"/>
              <w:rPr>
                <w:sz w:val="24"/>
                <w:szCs w:val="24"/>
                <w:color w:val="auto"/>
              </w:rPr>
            </w:pPr>
          </w:p>
        </w:tc>
        <w:tc>
          <w:tcPr>
            <w:tcW w:w="182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right w:val="single" w:sz="8" w:color="B8CCE4"/>
            </w:tcBorders>
          </w:tcPr>
          <w:p>
            <w:pPr>
              <w:spacing w:after="0"/>
              <w:rPr>
                <w:sz w:val="24"/>
                <w:szCs w:val="24"/>
                <w:color w:val="auto"/>
              </w:rPr>
            </w:pPr>
          </w:p>
        </w:tc>
      </w:tr>
      <w:tr>
        <w:trPr>
          <w:trHeight w:val="264"/>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$295.8</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$386.6</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(23.5%)</w:t>
            </w:r>
          </w:p>
        </w:tc>
      </w:tr>
      <w:tr>
        <w:trPr>
          <w:trHeight w:val="264"/>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10.2%</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12.4%</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(222 bps)</w:t>
            </w:r>
          </w:p>
        </w:tc>
      </w:tr>
      <w:tr>
        <w:trPr>
          <w:trHeight w:val="264"/>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$27.3</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$131.5</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(79.2%)</w:t>
            </w:r>
          </w:p>
        </w:tc>
      </w:tr>
      <w:tr>
        <w:trPr>
          <w:trHeight w:val="264"/>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per share</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$0.06</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$0.28</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(78.6%)</w:t>
            </w:r>
          </w:p>
        </w:tc>
      </w:tr>
      <w:tr>
        <w:trPr>
          <w:trHeight w:val="331"/>
        </w:trPr>
        <w:tc>
          <w:tcPr>
            <w:tcW w:w="5980" w:type="dxa"/>
            <w:vAlign w:val="bottom"/>
            <w:tcBorders>
              <w:left w:val="single" w:sz="8" w:color="B8CCE4"/>
              <w:bottom w:val="single" w:sz="8" w:color="B8CCE4"/>
            </w:tcBorders>
          </w:tcPr>
          <w:p>
            <w:pPr>
              <w:spacing w:after="0"/>
              <w:rPr>
                <w:sz w:val="24"/>
                <w:szCs w:val="24"/>
                <w:color w:val="auto"/>
              </w:rPr>
            </w:pPr>
          </w:p>
        </w:tc>
        <w:tc>
          <w:tcPr>
            <w:tcW w:w="182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right w:val="single" w:sz="8" w:color="B8CCE4"/>
            </w:tcBorders>
          </w:tcPr>
          <w:p>
            <w:pPr>
              <w:spacing w:after="0"/>
              <w:rPr>
                <w:sz w:val="24"/>
                <w:szCs w:val="24"/>
                <w:color w:val="auto"/>
              </w:rPr>
            </w:pPr>
          </w:p>
        </w:tc>
      </w:tr>
      <w:tr>
        <w:trPr>
          <w:trHeight w:val="264"/>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$6,184.5</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$3,487.0</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77.4%</w:t>
            </w:r>
          </w:p>
        </w:tc>
      </w:tr>
      <w:tr>
        <w:trPr>
          <w:trHeight w:val="264"/>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$17,777.6</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$14,012.0</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26.9%</w:t>
            </w:r>
          </w:p>
        </w:tc>
      </w:tr>
    </w:tbl>
    <w:p>
      <w:pPr>
        <w:sectPr>
          <w:pgSz w:w="11900" w:h="16838" w:orient="portrait"/>
          <w:cols w:equalWidth="0" w:num="1">
            <w:col w:w="11440"/>
          </w:cols>
          <w:pgMar w:left="240" w:top="1178" w:right="219" w:bottom="1440" w:gutter="0" w:footer="0" w:header="0"/>
        </w:sectPr>
      </w:pPr>
    </w:p>
    <w:bookmarkStart w:id="5" w:name="page6"/>
    <w:bookmarkEnd w:id="5"/>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r>
    </w:p>
    <w:p>
      <w:pPr>
        <w:jc w:val="both"/>
        <w:spacing w:after="0" w:line="253" w:lineRule="auto"/>
        <w:rPr>
          <w:sz w:val="20"/>
          <w:szCs w:val="20"/>
          <w:color w:val="auto"/>
        </w:rPr>
      </w:pPr>
      <w:r>
        <w:rPr>
          <w:rFonts w:ascii="Arial" w:cs="Arial" w:eastAsia="Arial" w:hAnsi="Arial"/>
          <w:sz w:val="20"/>
          <w:szCs w:val="20"/>
          <w:color w:val="auto"/>
        </w:rPr>
        <w:t>Doug Pferdehirt, CEO of TechnipFMC, stated, “Quarterly orders of $6.2 billion were our highest since the fourth quarter of 2014. This reflects the strength of our integrated subsea model, our demonstrated capabilities in downstream and gas monetization, and continued growth in international surface markets. With total Company book-to-bill of 2.1 in the quarter, backlog grew 22 percent sequentially to $17.8 billion.”</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“In Onshore/Offshore, we continue to execute well and achieved notable project milestones during the period. Orders of $3.1 billion were more than double our revenues in the quarter, driven by major downstream and offshore projects. Additionally, we are prioritizing five LNG projects that are most strategic to TechnipFMC and offer the highest probability of successful execution. ”</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Surface Technologies, weaker-than-expected activity in North America significantly impacted our quarterly results and has led to a change in the market outlook. We no longer anticipate the recovery in North America as originally forecasted. Outside of the Americas, our expectations remain unchanged at high-single digit to low-double digit activity growth.”</w:t>
      </w:r>
    </w:p>
    <w:p>
      <w:pPr>
        <w:spacing w:after="0" w:line="117"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Pferdehirt continued, “Strong Subsea orders of $ 2.7 billion resulted in a book-to-bill of 2.3, driven by an increased contribution from integrated EPCI (iEPCI™). Our integrated FEED (iFEED™) capabilities serve as a key differentiator and have been instrumental in securing new iEPCI™ awards. The number of new iFEED™ studies nearly doubled in 2018. Many of these are proprietary, providing an exclusive opportunity set to TechnipFMC.”</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“In the first four months of 2019, we have secured seven new integrated projects, representing an aggregate contract value of $1.4 billion. This expansion of our integrated portfolio includes projects from BP, Lundin, ENI and ConocoPhillips - all first-time iEPCI™ adopters. Given this early success and our expanding opportunity set, we are confident that iEPCI™ project awards will exceed 25 percent of our Subsea order inbound in 2019.”</w:t>
      </w:r>
    </w:p>
    <w:p>
      <w:pPr>
        <w:spacing w:after="0" w:line="12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Pferdehirt concluded, “Our Company has returned to growth, and we are well-positioned to benefit from the recovery underway in many of our key end-markets. Our strong balance sheet ensures that we have sufficient capital to grow the business, while supporting our commitment to return excess capital to shareholders. When these actions are combined with strong operational execution, we can drive our capital returns higher over time. This focus on shareholder capital has been a part of management compensation since the formation of TechnipFMC, and it reflects how we will continue to manage our balance sheet and our business going forward.”</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Operational and Financial Highlights - First Quarter 2019</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66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top w:val="single" w:sz="8" w:color="B8CCE4"/>
              <w:right w:val="single" w:sz="8" w:color="B8CCE4"/>
            </w:tcBorders>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1480" w:type="dxa"/>
            <w:vAlign w:val="bottom"/>
            <w:tcBorders>
              <w:top w:val="single" w:sz="8" w:color="B8CCE4"/>
              <w:right w:val="single" w:sz="8" w:color="B8CCE4"/>
            </w:tcBorders>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700" w:type="dxa"/>
            <w:vAlign w:val="bottom"/>
            <w:tcBorders>
              <w:top w:val="single" w:sz="8" w:color="B8CCE4"/>
              <w:right w:val="single" w:sz="8" w:color="B8CCE4"/>
            </w:tcBorders>
          </w:tcPr>
          <w:p>
            <w:pPr>
              <w:spacing w:after="0"/>
              <w:rPr>
                <w:sz w:val="16"/>
                <w:szCs w:val="16"/>
                <w:color w:val="auto"/>
              </w:rPr>
            </w:pPr>
          </w:p>
        </w:tc>
      </w:tr>
      <w:tr>
        <w:trPr>
          <w:trHeight w:val="203"/>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B8CCE4"/>
              <w:right w:val="single" w:sz="8" w:color="B8CCE4"/>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480" w:type="dxa"/>
            <w:vAlign w:val="bottom"/>
            <w:tcBorders>
              <w:bottom w:val="single" w:sz="8" w:color="B8CCE4"/>
              <w:right w:val="single" w:sz="8" w:color="B8CCE4"/>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$1,185.3</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$1,180.2</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0.4%</w:t>
            </w: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6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$49.9</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$54.4</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(8.3%)</w:t>
            </w: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$139.7</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$172.0</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(18.8%)</w:t>
            </w: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11.8%</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14.6%</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(279 bps)</w:t>
            </w:r>
          </w:p>
        </w:tc>
      </w:tr>
      <w:tr>
        <w:trPr>
          <w:trHeight w:val="318"/>
        </w:trPr>
        <w:tc>
          <w:tcPr>
            <w:tcW w:w="6660" w:type="dxa"/>
            <w:vAlign w:val="bottom"/>
            <w:tcBorders>
              <w:left w:val="single" w:sz="8" w:color="B8CCE4"/>
              <w:bottom w:val="single" w:sz="8" w:color="B8CCE4"/>
            </w:tcBorders>
          </w:tcPr>
          <w:p>
            <w:pPr>
              <w:spacing w:after="0"/>
              <w:rPr>
                <w:sz w:val="24"/>
                <w:szCs w:val="24"/>
                <w:color w:val="auto"/>
              </w:rPr>
            </w:pPr>
          </w:p>
        </w:tc>
        <w:tc>
          <w:tcPr>
            <w:tcW w:w="1600" w:type="dxa"/>
            <w:vAlign w:val="bottom"/>
            <w:tcBorders>
              <w:bottom w:val="single" w:sz="8" w:color="B8CCE4"/>
            </w:tcBorders>
          </w:tcPr>
          <w:p>
            <w:pPr>
              <w:spacing w:after="0"/>
              <w:rPr>
                <w:sz w:val="24"/>
                <w:szCs w:val="24"/>
                <w:color w:val="auto"/>
              </w:rPr>
            </w:pPr>
          </w:p>
        </w:tc>
        <w:tc>
          <w:tcPr>
            <w:tcW w:w="1480" w:type="dxa"/>
            <w:vAlign w:val="bottom"/>
            <w:tcBorders>
              <w:bottom w:val="single" w:sz="8" w:color="B8CCE4"/>
            </w:tcBorders>
          </w:tcPr>
          <w:p>
            <w:pPr>
              <w:spacing w:after="0"/>
              <w:rPr>
                <w:sz w:val="24"/>
                <w:szCs w:val="24"/>
                <w:color w:val="auto"/>
              </w:rPr>
            </w:pPr>
          </w:p>
        </w:tc>
        <w:tc>
          <w:tcPr>
            <w:tcW w:w="1700" w:type="dxa"/>
            <w:vAlign w:val="bottom"/>
            <w:tcBorders>
              <w:bottom w:val="single" w:sz="8" w:color="B8CCE4"/>
              <w:right w:val="single" w:sz="8" w:color="B8CCE4"/>
            </w:tcBorders>
          </w:tcPr>
          <w:p>
            <w:pPr>
              <w:spacing w:after="0"/>
              <w:rPr>
                <w:sz w:val="24"/>
                <w:szCs w:val="24"/>
                <w:color w:val="auto"/>
              </w:rPr>
            </w:pP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$2,677.6</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$1,227.8</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118.1%</w:t>
            </w: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$7,477.3</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$6,110.9</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22.4%</w:t>
            </w:r>
          </w:p>
        </w:tc>
      </w:tr>
    </w:tbl>
    <w:p>
      <w:pPr>
        <w:spacing w:after="0" w:line="362"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Subsea reported first quarter revenue of $ 1,185.3 million, largely unchanged from the prior year. Modest growth in services offset the decline in project revenues reflected in the lower level of vessel utilization.</w:t>
      </w:r>
    </w:p>
    <w:p>
      <w:pPr>
        <w:spacing w:after="0" w:line="9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Subsea reported operating profit of $49.9 million; adjusted EBITDA was $139.7 million with a margin of 11.8 percent. Operating profit declined versus the prior-year quarter primarily due to more competitively priced backlog and lower vessel utilization, offset in part by cost reduction activities. These same factors drove the year-over-year decline in adjusted EBITDA.</w:t>
      </w:r>
    </w:p>
    <w:p>
      <w:pPr>
        <w:spacing w:after="0" w:line="117"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Vessel utilization rate for the first quarter was 55 percent, down from 62 percent in the fourth quarter and 60 percent in the prior-year quarter.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First Quarter Subsea Highlights</w:t>
      </w:r>
    </w:p>
    <w:p>
      <w:pPr>
        <w:spacing w:after="0" w:line="21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Total Egina </w:t>
      </w:r>
      <w:r>
        <w:rPr>
          <w:rFonts w:ascii="Arial" w:cs="Arial" w:eastAsia="Arial" w:hAnsi="Arial"/>
          <w:sz w:val="18"/>
          <w:szCs w:val="18"/>
          <w:b w:val="1"/>
          <w:bCs w:val="1"/>
          <w:color w:val="auto"/>
        </w:rPr>
        <w:t>(Nigeria)</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Delivered final subsea tree for one of the largest subsea projects in West Africa.</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Total Kaombo </w:t>
      </w:r>
      <w:r>
        <w:rPr>
          <w:rFonts w:ascii="Arial" w:cs="Arial" w:eastAsia="Arial" w:hAnsi="Arial"/>
          <w:sz w:val="18"/>
          <w:szCs w:val="18"/>
          <w:b w:val="1"/>
          <w:bCs w:val="1"/>
          <w:color w:val="auto"/>
        </w:rPr>
        <w:t>(Angola)</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Completed hookup campaign for the South floating production, storage and offloading unit.</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Skandi Olinda PLSV </w:t>
      </w:r>
      <w:r>
        <w:rPr>
          <w:rFonts w:ascii="Arial" w:cs="Arial" w:eastAsia="Arial" w:hAnsi="Arial"/>
          <w:sz w:val="18"/>
          <w:szCs w:val="18"/>
          <w:b w:val="1"/>
          <w:bCs w:val="1"/>
          <w:color w:val="auto"/>
        </w:rPr>
        <w:t>(Brazil)</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Commenced eight-year charter contract with Petrobras.</w:t>
      </w:r>
    </w:p>
    <w:p>
      <w:pPr>
        <w:sectPr>
          <w:pgSz w:w="11900" w:h="16838" w:orient="portrait"/>
          <w:cols w:equalWidth="0" w:num="1">
            <w:col w:w="11440"/>
          </w:cols>
          <w:pgMar w:left="240" w:top="1188" w:right="219" w:bottom="1440" w:gutter="0" w:footer="0" w:header="0"/>
        </w:sectPr>
      </w:pPr>
    </w:p>
    <w:bookmarkStart w:id="7" w:name="page8"/>
    <w:bookmarkEnd w:id="7"/>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r>
    </w:p>
    <w:p>
      <w:pPr>
        <w:spacing w:after="0" w:line="280" w:lineRule="auto"/>
        <w:rPr>
          <w:sz w:val="20"/>
          <w:szCs w:val="20"/>
          <w:color w:val="auto"/>
        </w:rPr>
      </w:pPr>
      <w:r>
        <w:rPr>
          <w:rFonts w:ascii="Arial" w:cs="Arial" w:eastAsia="Arial" w:hAnsi="Arial"/>
          <w:sz w:val="20"/>
          <w:szCs w:val="20"/>
          <w:color w:val="auto"/>
        </w:rPr>
        <w:t>Subsea inbound orders for the quarter were $2,677.6 million, resulting in a book-to-bill of 2.3. The following announced awards were included in the period:</w:t>
      </w:r>
    </w:p>
    <w:p>
      <w:pPr>
        <w:spacing w:after="0" w:line="9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BP Atlantis Phase 3 iEPCI™ Project </w:t>
      </w:r>
      <w:r>
        <w:rPr>
          <w:rFonts w:ascii="Arial" w:cs="Arial" w:eastAsia="Arial" w:hAnsi="Arial"/>
          <w:sz w:val="18"/>
          <w:szCs w:val="18"/>
          <w:b w:val="1"/>
          <w:bCs w:val="1"/>
          <w:color w:val="auto"/>
        </w:rPr>
        <w:t>(Gulf of Mexico)</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Significant* iEPCI™ contract by BP for the Atlantis Phase 3 project. Following final investment decisions from all partners, TechnipFMC will manufacture, deliver and install subsea equipment. The contract also includes provisional services for tooling and personnel required to install the hardware.</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“significant” award ranges between $75 million and $250 million.</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Lundin Solveig (Luno II) and Rolvsnes iEPCI™ Projects </w:t>
      </w:r>
      <w:r>
        <w:rPr>
          <w:rFonts w:ascii="Arial" w:cs="Arial" w:eastAsia="Arial" w:hAnsi="Arial"/>
          <w:sz w:val="18"/>
          <w:szCs w:val="18"/>
          <w:b w:val="1"/>
          <w:bCs w:val="1"/>
          <w:color w:val="auto"/>
        </w:rPr>
        <w:t>(North Sea)</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Substantial* iEPCI™ contract from Lundin Norway for the Solveig (Luno II) and Rolvsnes development. The contract covers the delivery and installation of subsea equipment including umbilicals, rigid flowlines, flexible jumpers and subsea production systems.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“substantial” award ranges between $250 million and $500 million.</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Petrobras Mero I Pre-Salt Project </w:t>
      </w:r>
      <w:r>
        <w:rPr>
          <w:rFonts w:ascii="Arial" w:cs="Arial" w:eastAsia="Arial" w:hAnsi="Arial"/>
          <w:sz w:val="18"/>
          <w:szCs w:val="18"/>
          <w:b w:val="1"/>
          <w:bCs w:val="1"/>
          <w:color w:val="auto"/>
        </w:rPr>
        <w:t>(Brazil)</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Large* engineering, procurement, construction and installation contract by Petrobras, on behalf of the Libra Consortium, for the Mero 1 pre-salt field. The contract covers engineering, procurement, construction of all rigid lines, as well as the installation and pre-commissioning of all the infield riser and flowline system. It also includes the installation of rigid pipelines, flexible risers and flowlines, steel tube umbilicals and other required subsea equipment.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“large” award ranges between $500 million and $1 billion.</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Equinor Johan Sverdrup Phase 2 Project </w:t>
      </w:r>
      <w:r>
        <w:rPr>
          <w:rFonts w:ascii="Arial" w:cs="Arial" w:eastAsia="Arial" w:hAnsi="Arial"/>
          <w:sz w:val="18"/>
          <w:szCs w:val="18"/>
          <w:b w:val="1"/>
          <w:bCs w:val="1"/>
          <w:color w:val="auto"/>
        </w:rPr>
        <w:t>(North Sea)</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Significant* contract from Equinor for the Johan Sverdrup Phase 2 development. The contract covers the delivery and installation of the subsea production system including integrated template structures, manifolds, tie-in and controls equipment.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“significant” award ranges between $75 million and $250 million.</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Eni Merakes iEPCI™ Project </w:t>
      </w:r>
      <w:r>
        <w:rPr>
          <w:rFonts w:ascii="Arial" w:cs="Arial" w:eastAsia="Arial" w:hAnsi="Arial"/>
          <w:sz w:val="18"/>
          <w:szCs w:val="18"/>
          <w:b w:val="1"/>
          <w:bCs w:val="1"/>
          <w:color w:val="auto"/>
        </w:rPr>
        <w:t>(Indonesia)</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Large* iEPCI™ contract by Eni for the Merakes project. This contract covers five deepwater wells, and their 50-kilometer tie back to the existing Jangkrik Floating Production Unit in Indonesia. The project scope includes engineering, procurement, installation and pre-commissioning of subsea equipment.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“large” award ranges between $500 million and $1 billion.</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Total Lapa Pre-Salt Project </w:t>
      </w:r>
      <w:r>
        <w:rPr>
          <w:rFonts w:ascii="Arial" w:cs="Arial" w:eastAsia="Arial" w:hAnsi="Arial"/>
          <w:sz w:val="18"/>
          <w:szCs w:val="18"/>
          <w:b w:val="1"/>
          <w:bCs w:val="1"/>
          <w:color w:val="auto"/>
        </w:rPr>
        <w:t>(Brazil)</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Significant* contract for the Lapa field by Total. The contract covers the supply of flexible pipes for oil production, gas lift and gas injection as well as associated accessories. The field will be connected to the floating production storage and offloading unit (FPSO) Cidade de Caraguatatuba, already in operation.</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“significant” award ranges between $75 million and $250 million.</w:t>
      </w:r>
    </w:p>
    <w:p>
      <w:pPr>
        <w:sectPr>
          <w:pgSz w:w="11900" w:h="16838" w:orient="portrait"/>
          <w:cols w:equalWidth="0" w:num="1">
            <w:col w:w="11420"/>
          </w:cols>
          <w:pgMar w:left="240" w:top="144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4"/>
        </w:trPr>
        <w:tc>
          <w:tcPr>
            <w:tcW w:w="40" w:type="dxa"/>
            <w:vAlign w:val="bottom"/>
            <w:tcBorders>
              <w:top w:val="single" w:sz="8" w:color="B6DDE8"/>
              <w:right w:val="single" w:sz="8" w:color="B6DDE8"/>
            </w:tcBorders>
            <w:shd w:val="clear" w:color="auto" w:fill="B6DDE8"/>
          </w:tcPr>
          <w:p>
            <w:pPr>
              <w:spacing w:after="0"/>
              <w:rPr>
                <w:sz w:val="24"/>
                <w:szCs w:val="24"/>
                <w:color w:val="auto"/>
              </w:rPr>
            </w:pPr>
          </w:p>
        </w:tc>
        <w:tc>
          <w:tcPr>
            <w:tcW w:w="726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Subsea</w:t>
            </w:r>
          </w:p>
        </w:tc>
        <w:tc>
          <w:tcPr>
            <w:tcW w:w="2040" w:type="dxa"/>
            <w:vAlign w:val="bottom"/>
            <w:tcBorders>
              <w:top w:val="single" w:sz="8" w:color="B6DDE8"/>
              <w:right w:val="single" w:sz="8" w:color="B6DDE8"/>
            </w:tcBorders>
            <w:vMerge w:val="restart"/>
          </w:tcPr>
          <w:p>
            <w:pPr>
              <w:jc w:val="right"/>
              <w:spacing w:after="0"/>
              <w:rPr>
                <w:sz w:val="20"/>
                <w:szCs w:val="20"/>
                <w:color w:val="auto"/>
              </w:rPr>
            </w:pPr>
            <w:r>
              <w:rPr>
                <w:rFonts w:ascii="Arial" w:cs="Arial" w:eastAsia="Arial" w:hAnsi="Arial"/>
                <w:sz w:val="20"/>
                <w:szCs w:val="20"/>
                <w:color w:val="auto"/>
                <w:w w:val="98"/>
              </w:rPr>
              <w:t>Consolidated backlog*</w:t>
            </w:r>
          </w:p>
        </w:tc>
        <w:tc>
          <w:tcPr>
            <w:tcW w:w="2040" w:type="dxa"/>
            <w:vAlign w:val="bottom"/>
            <w:tcBorders>
              <w:top w:val="single" w:sz="8" w:color="B6DDE8"/>
              <w:right w:val="single" w:sz="8" w:color="B6DDE8"/>
            </w:tcBorders>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162"/>
        </w:trPr>
        <w:tc>
          <w:tcPr>
            <w:tcW w:w="40" w:type="dxa"/>
            <w:vAlign w:val="bottom"/>
            <w:tcBorders>
              <w:right w:val="single" w:sz="8" w:color="B6DDE8"/>
            </w:tcBorders>
            <w:shd w:val="clear" w:color="auto" w:fill="B6DDE8"/>
          </w:tcPr>
          <w:p>
            <w:pPr>
              <w:spacing w:after="0"/>
              <w:rPr>
                <w:sz w:val="14"/>
                <w:szCs w:val="14"/>
                <w:color w:val="auto"/>
              </w:rPr>
            </w:pPr>
          </w:p>
        </w:tc>
        <w:tc>
          <w:tcPr>
            <w:tcW w:w="7260" w:type="dxa"/>
            <w:vAlign w:val="bottom"/>
            <w:tcBorders>
              <w:right w:val="single" w:sz="8" w:color="B6DDE8"/>
            </w:tcBorders>
          </w:tcPr>
          <w:p>
            <w:pPr>
              <w:spacing w:after="0" w:line="163" w:lineRule="exact"/>
              <w:rPr>
                <w:sz w:val="20"/>
                <w:szCs w:val="20"/>
                <w:color w:val="auto"/>
              </w:rPr>
            </w:pPr>
            <w:r>
              <w:rPr>
                <w:rFonts w:ascii="Arial" w:cs="Arial" w:eastAsia="Arial" w:hAnsi="Arial"/>
                <w:sz w:val="18"/>
                <w:szCs w:val="18"/>
                <w:color w:val="auto"/>
              </w:rPr>
              <w:t>Estimated Backlog Scheduling as of March 31, 2019</w:t>
            </w:r>
          </w:p>
        </w:tc>
        <w:tc>
          <w:tcPr>
            <w:tcW w:w="2040" w:type="dxa"/>
            <w:vAlign w:val="bottom"/>
            <w:tcBorders>
              <w:right w:val="single" w:sz="8" w:color="B6DDE8"/>
            </w:tcBorders>
            <w:vMerge w:val="continue"/>
          </w:tcPr>
          <w:p>
            <w:pPr>
              <w:spacing w:after="0"/>
              <w:rPr>
                <w:sz w:val="14"/>
                <w:szCs w:val="14"/>
                <w:color w:val="auto"/>
              </w:rPr>
            </w:pPr>
          </w:p>
        </w:tc>
        <w:tc>
          <w:tcPr>
            <w:tcW w:w="2040" w:type="dxa"/>
            <w:vAlign w:val="bottom"/>
            <w:tcBorders>
              <w:right w:val="single" w:sz="8" w:color="B6DDE8"/>
            </w:tcBorders>
            <w:vMerge w:val="restart"/>
          </w:tcPr>
          <w:p>
            <w:pPr>
              <w:jc w:val="right"/>
              <w:ind w:right="52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118"/>
        </w:trPr>
        <w:tc>
          <w:tcPr>
            <w:tcW w:w="40" w:type="dxa"/>
            <w:vAlign w:val="bottom"/>
            <w:tcBorders>
              <w:right w:val="single" w:sz="8" w:color="B6DDE8"/>
            </w:tcBorders>
            <w:shd w:val="clear" w:color="auto" w:fill="B6DDE8"/>
          </w:tcPr>
          <w:p>
            <w:pPr>
              <w:spacing w:after="0"/>
              <w:rPr>
                <w:sz w:val="10"/>
                <w:szCs w:val="10"/>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10"/>
                <w:szCs w:val="10"/>
                <w:color w:val="auto"/>
              </w:rPr>
            </w:pPr>
          </w:p>
        </w:tc>
        <w:tc>
          <w:tcPr>
            <w:tcW w:w="2040" w:type="dxa"/>
            <w:vAlign w:val="bottom"/>
            <w:tcBorders>
              <w:right w:val="single" w:sz="8" w:color="B6DDE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bottom w:val="single" w:sz="8" w:color="B6DDE8"/>
              <w:right w:val="single" w:sz="8" w:color="B6DDE8"/>
            </w:tcBorders>
            <w:shd w:val="clear" w:color="auto" w:fill="B6DDE8"/>
          </w:tcPr>
          <w:p>
            <w:pPr>
              <w:spacing w:after="0"/>
              <w:rPr>
                <w:sz w:val="7"/>
                <w:szCs w:val="7"/>
                <w:color w:val="auto"/>
              </w:rPr>
            </w:pPr>
          </w:p>
        </w:tc>
        <w:tc>
          <w:tcPr>
            <w:tcW w:w="7260" w:type="dxa"/>
            <w:vAlign w:val="bottom"/>
            <w:tcBorders>
              <w:bottom w:val="single" w:sz="8" w:color="B8CCE4"/>
              <w:right w:val="single" w:sz="8" w:color="B6DDE8"/>
            </w:tcBorders>
            <w:vMerge w:val="continue"/>
          </w:tcPr>
          <w:p>
            <w:pPr>
              <w:spacing w:after="0"/>
              <w:rPr>
                <w:sz w:val="7"/>
                <w:szCs w:val="7"/>
                <w:color w:val="auto"/>
              </w:rPr>
            </w:pPr>
          </w:p>
        </w:tc>
        <w:tc>
          <w:tcPr>
            <w:tcW w:w="2040" w:type="dxa"/>
            <w:vAlign w:val="bottom"/>
            <w:tcBorders>
              <w:bottom w:val="single" w:sz="8" w:color="B8CCE4"/>
              <w:right w:val="single" w:sz="8" w:color="B6DDE8"/>
            </w:tcBorders>
          </w:tcPr>
          <w:p>
            <w:pPr>
              <w:spacing w:after="0"/>
              <w:rPr>
                <w:sz w:val="7"/>
                <w:szCs w:val="7"/>
                <w:color w:val="auto"/>
              </w:rPr>
            </w:pPr>
          </w:p>
        </w:tc>
        <w:tc>
          <w:tcPr>
            <w:tcW w:w="2040" w:type="dxa"/>
            <w:vAlign w:val="bottom"/>
            <w:tcBorders>
              <w:bottom w:val="single" w:sz="8" w:color="B8CCE4"/>
              <w:right w:val="single" w:sz="8" w:color="B6DDE8"/>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2019 (9 months)</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$3,387.1</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$140.3</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$2,480.3</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$136.7</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$1,609.9</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$659.6</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$7,477.3</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$936.6</w:t>
            </w:r>
          </w:p>
        </w:tc>
        <w:tc>
          <w:tcPr>
            <w:tcW w:w="0" w:type="dxa"/>
            <w:vAlign w:val="bottom"/>
          </w:tcPr>
          <w:p>
            <w:pPr>
              <w:spacing w:after="0"/>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r>
    </w:p>
    <w:p>
      <w:pPr>
        <w:ind w:left="140" w:hanging="118"/>
        <w:spacing w:after="0"/>
        <w:tabs>
          <w:tab w:leader="none" w:pos="1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Backlog does not capture all revenue potential for subsea services.</w:t>
      </w:r>
    </w:p>
    <w:p>
      <w:pPr>
        <w:spacing w:after="0" w:line="50" w:lineRule="exact"/>
        <w:rPr>
          <w:sz w:val="20"/>
          <w:szCs w:val="20"/>
          <w:color w:val="auto"/>
        </w:rPr>
      </w:pPr>
    </w:p>
    <w:p>
      <w:pPr>
        <w:ind w:left="20" w:right="420" w:firstLine="2"/>
        <w:spacing w:after="0" w:line="274" w:lineRule="auto"/>
        <w:tabs>
          <w:tab w:leader="none" w:pos="21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ectPr>
          <w:pgSz w:w="11900" w:h="16838" w:orient="portrait"/>
          <w:cols w:equalWidth="0" w:num="1">
            <w:col w:w="11360"/>
          </w:cols>
          <w:pgMar w:left="280" w:top="1335" w:right="259" w:bottom="1440" w:gutter="0" w:footer="0" w:header="0"/>
        </w:sectPr>
      </w:pPr>
    </w:p>
    <w:bookmarkStart w:id="9" w:name="page10"/>
    <w:bookmarkEnd w:id="9"/>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654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top w:val="single" w:sz="8" w:color="B8CCE4"/>
              <w:right w:val="single" w:sz="8" w:color="B8CCE4"/>
            </w:tcBorders>
          </w:tcPr>
          <w:p>
            <w:pPr>
              <w:jc w:val="right"/>
              <w:ind w:right="448"/>
              <w:spacing w:after="0"/>
              <w:rPr>
                <w:sz w:val="20"/>
                <w:szCs w:val="20"/>
                <w:color w:val="auto"/>
              </w:rPr>
            </w:pPr>
            <w:r>
              <w:rPr>
                <w:rFonts w:ascii="Arial" w:cs="Arial" w:eastAsia="Arial" w:hAnsi="Arial"/>
                <w:sz w:val="14"/>
                <w:szCs w:val="14"/>
                <w:b w:val="1"/>
                <w:bCs w:val="1"/>
                <w:color w:val="auto"/>
              </w:rPr>
              <w:t>March 31,</w:t>
            </w:r>
          </w:p>
        </w:tc>
        <w:tc>
          <w:tcPr>
            <w:tcW w:w="1480" w:type="dxa"/>
            <w:vAlign w:val="bottom"/>
            <w:tcBorders>
              <w:top w:val="single" w:sz="8" w:color="B8CCE4"/>
              <w:right w:val="single" w:sz="8" w:color="B8CCE4"/>
            </w:tcBorders>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700" w:type="dxa"/>
            <w:vAlign w:val="bottom"/>
            <w:tcBorders>
              <w:top w:val="single" w:sz="8" w:color="B8CCE4"/>
              <w:right w:val="single" w:sz="8" w:color="B8CCE4"/>
            </w:tcBorders>
          </w:tcPr>
          <w:p>
            <w:pPr>
              <w:spacing w:after="0"/>
              <w:rPr>
                <w:sz w:val="16"/>
                <w:szCs w:val="16"/>
                <w:color w:val="auto"/>
              </w:rPr>
            </w:pPr>
          </w:p>
        </w:tc>
      </w:tr>
      <w:tr>
        <w:trPr>
          <w:trHeight w:val="203"/>
        </w:trPr>
        <w:tc>
          <w:tcPr>
            <w:tcW w:w="65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B8CCE4"/>
              <w:right w:val="single" w:sz="8" w:color="B8CCE4"/>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480" w:type="dxa"/>
            <w:vAlign w:val="bottom"/>
            <w:tcBorders>
              <w:bottom w:val="single" w:sz="8" w:color="B8CCE4"/>
              <w:right w:val="single" w:sz="8" w:color="B8CCE4"/>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5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$1,335.1</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$1,573.4</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(15.1%)</w:t>
            </w:r>
          </w:p>
        </w:tc>
      </w:tr>
      <w:tr>
        <w:trPr>
          <w:trHeight w:val="264"/>
        </w:trPr>
        <w:tc>
          <w:tcPr>
            <w:tcW w:w="65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$155.7</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$202.9</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(23.3%)</w:t>
            </w:r>
          </w:p>
        </w:tc>
      </w:tr>
      <w:tr>
        <w:trPr>
          <w:trHeight w:val="264"/>
        </w:trPr>
        <w:tc>
          <w:tcPr>
            <w:tcW w:w="65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$194.8</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$215.0</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(9.4%)</w:t>
            </w:r>
          </w:p>
        </w:tc>
      </w:tr>
      <w:tr>
        <w:trPr>
          <w:trHeight w:val="264"/>
        </w:trPr>
        <w:tc>
          <w:tcPr>
            <w:tcW w:w="65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14.6%</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13.7%</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93 bps</w:t>
            </w:r>
          </w:p>
        </w:tc>
      </w:tr>
      <w:tr>
        <w:trPr>
          <w:trHeight w:val="318"/>
        </w:trPr>
        <w:tc>
          <w:tcPr>
            <w:tcW w:w="6540" w:type="dxa"/>
            <w:vAlign w:val="bottom"/>
            <w:tcBorders>
              <w:left w:val="single" w:sz="8" w:color="B8CCE4"/>
              <w:bottom w:val="single" w:sz="8" w:color="B8CCE4"/>
            </w:tcBorders>
          </w:tcPr>
          <w:p>
            <w:pPr>
              <w:spacing w:after="0"/>
              <w:rPr>
                <w:sz w:val="24"/>
                <w:szCs w:val="24"/>
                <w:color w:val="auto"/>
              </w:rPr>
            </w:pPr>
          </w:p>
        </w:tc>
        <w:tc>
          <w:tcPr>
            <w:tcW w:w="1720" w:type="dxa"/>
            <w:vAlign w:val="bottom"/>
            <w:tcBorders>
              <w:bottom w:val="single" w:sz="8" w:color="B8CCE4"/>
            </w:tcBorders>
          </w:tcPr>
          <w:p>
            <w:pPr>
              <w:spacing w:after="0"/>
              <w:rPr>
                <w:sz w:val="24"/>
                <w:szCs w:val="24"/>
                <w:color w:val="auto"/>
              </w:rPr>
            </w:pPr>
          </w:p>
        </w:tc>
        <w:tc>
          <w:tcPr>
            <w:tcW w:w="1480" w:type="dxa"/>
            <w:vAlign w:val="bottom"/>
            <w:tcBorders>
              <w:bottom w:val="single" w:sz="8" w:color="B8CCE4"/>
            </w:tcBorders>
          </w:tcPr>
          <w:p>
            <w:pPr>
              <w:spacing w:after="0"/>
              <w:rPr>
                <w:sz w:val="24"/>
                <w:szCs w:val="24"/>
                <w:color w:val="auto"/>
              </w:rPr>
            </w:pPr>
          </w:p>
        </w:tc>
        <w:tc>
          <w:tcPr>
            <w:tcW w:w="1700" w:type="dxa"/>
            <w:vAlign w:val="bottom"/>
            <w:tcBorders>
              <w:bottom w:val="single" w:sz="8" w:color="B8CCE4"/>
              <w:right w:val="single" w:sz="8" w:color="B8CCE4"/>
            </w:tcBorders>
          </w:tcPr>
          <w:p>
            <w:pPr>
              <w:spacing w:after="0"/>
              <w:rPr>
                <w:sz w:val="24"/>
                <w:szCs w:val="24"/>
                <w:color w:val="auto"/>
              </w:rPr>
            </w:pPr>
          </w:p>
        </w:tc>
      </w:tr>
      <w:tr>
        <w:trPr>
          <w:trHeight w:val="264"/>
        </w:trPr>
        <w:tc>
          <w:tcPr>
            <w:tcW w:w="65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$3,138.9</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$1,849.6</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69.7%</w:t>
            </w:r>
          </w:p>
        </w:tc>
      </w:tr>
      <w:tr>
        <w:trPr>
          <w:trHeight w:val="264"/>
        </w:trPr>
        <w:tc>
          <w:tcPr>
            <w:tcW w:w="65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$9,862.7</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$7,491.6</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31.7%</w:t>
            </w:r>
          </w:p>
        </w:tc>
      </w:tr>
    </w:tbl>
    <w:p>
      <w:pPr>
        <w:spacing w:after="0" w:line="3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Onshore/Offshore reported first quarter revenue of $ 1,335.1 million. Revenue decreased 15.1 percent from the prior-year quarter as we moved closer to completion on major projects, primarily Yamal LNG. Projects awarded in recent quarters are in early stages of completion and will contribute more significantly in subsequent quarters as the projects progress.</w:t>
      </w:r>
    </w:p>
    <w:p>
      <w:pPr>
        <w:spacing w:after="0" w:line="117"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Onshore/Offshore reported operating profit of $155.7 million; adjusted EBITDA was $194.8 million with a margin of 14.6 percent. Operating profit decreased 23.3 percent versus the prior-year quarter primarily due to the revenue decline and a change in revenue mix. These same factors drove the year-over-year decrease in adjusted EBITDA; adjusted EBITDA margin increased 93 basis points from the prior-year results.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First Quarter Onshore/Offshore Highlights</w:t>
      </w:r>
    </w:p>
    <w:p>
      <w:pPr>
        <w:spacing w:after="0" w:line="2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MIDOR refinery </w:t>
      </w:r>
      <w:r>
        <w:rPr>
          <w:rFonts w:ascii="Arial" w:cs="Arial" w:eastAsia="Arial" w:hAnsi="Arial"/>
          <w:sz w:val="18"/>
          <w:szCs w:val="18"/>
          <w:b w:val="1"/>
          <w:bCs w:val="1"/>
          <w:color w:val="auto"/>
        </w:rPr>
        <w:t>(Egypt)</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Detailed design and procurement activities as well as site preparation ongoing.</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BP Tortue Ahmeyim gas FPSO </w:t>
      </w:r>
      <w:r>
        <w:rPr>
          <w:rFonts w:ascii="Arial" w:cs="Arial" w:eastAsia="Arial" w:hAnsi="Arial"/>
          <w:sz w:val="18"/>
          <w:szCs w:val="18"/>
          <w:b w:val="1"/>
          <w:bCs w:val="1"/>
          <w:color w:val="auto"/>
        </w:rPr>
        <w:t>(Mauritania and Senegal)</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Engineering, Procurement, and Construction (EPC) phase launched following successful delivery of FEED.</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Sasol petrochemical complex </w:t>
      </w:r>
      <w:r>
        <w:rPr>
          <w:rFonts w:ascii="Arial" w:cs="Arial" w:eastAsia="Arial" w:hAnsi="Arial"/>
          <w:sz w:val="18"/>
          <w:szCs w:val="18"/>
          <w:b w:val="1"/>
          <w:bCs w:val="1"/>
          <w:color w:val="auto"/>
        </w:rPr>
        <w:t>(United States)</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TechnipFMC and partners completed construction scope of work on Sasol Project in Louisiana.</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Shell Prelude FLNG </w:t>
      </w:r>
      <w:r>
        <w:rPr>
          <w:rFonts w:ascii="Arial" w:cs="Arial" w:eastAsia="Arial" w:hAnsi="Arial"/>
          <w:sz w:val="18"/>
          <w:szCs w:val="18"/>
          <w:b w:val="1"/>
          <w:bCs w:val="1"/>
          <w:color w:val="auto"/>
        </w:rPr>
        <w:t>(Australia)</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Performed first condensate export at the end of March.</w:t>
      </w:r>
    </w:p>
    <w:p>
      <w:pPr>
        <w:sectPr>
          <w:pgSz w:w="11900" w:h="16838" w:orient="portrait"/>
          <w:cols w:equalWidth="0" w:num="1">
            <w:col w:w="11440"/>
          </w:cols>
          <w:pgMar w:left="240" w:top="1350" w:right="219" w:bottom="1440" w:gutter="0" w:footer="0" w:header="0"/>
        </w:sectPr>
      </w:pPr>
    </w:p>
    <w:bookmarkStart w:id="10" w:name="page11"/>
    <w:bookmarkEnd w:id="10"/>
    <w:p>
      <w:pPr>
        <w:spacing w:after="0" w:line="28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Onshore/Offshore inbound orders for the quarter were $3,138.9 million, resulting in a book-to-bill of 2.4. The following announced awards were included in the period:</w:t>
      </w:r>
    </w:p>
    <w:p>
      <w:pPr>
        <w:spacing w:after="0" w:line="9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 xml:space="preserve">ExxonMobil Refinery Expansion </w:t>
      </w:r>
      <w:r>
        <w:rPr>
          <w:rFonts w:ascii="Arial" w:cs="Arial" w:eastAsia="Arial" w:hAnsi="Arial"/>
          <w:sz w:val="18"/>
          <w:szCs w:val="18"/>
          <w:b w:val="1"/>
          <w:bCs w:val="1"/>
          <w:color w:val="auto"/>
        </w:rPr>
        <w:t>(United States)</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Large* reimbursable contract from ExxonMobil for detailed engineering, procurement, and construction for the recently announced crude expansion project in Beaumont, Texas. The awarded scope covers the addition of four new units - atmospheric pipe still, kerosene hydrotreater, diesel hydrotreater and benzene recovery at ExxonMobil’s Refinery.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“large” award ranges between $500 million and $1 billion.</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 xml:space="preserve">BP Greater Tortue Ahmeyim Development FPSO </w:t>
      </w:r>
      <w:r>
        <w:rPr>
          <w:rFonts w:ascii="Arial" w:cs="Arial" w:eastAsia="Arial" w:hAnsi="Arial"/>
          <w:sz w:val="18"/>
          <w:szCs w:val="18"/>
          <w:b w:val="1"/>
          <w:bCs w:val="1"/>
          <w:color w:val="auto"/>
        </w:rPr>
        <w:t>(Mauritania and Senegal)</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Large* contract by BP for the engineering, procurement, construction, installation and commissioning (EPCIC) of the FPSO unit to be deployed offshore on the maritime border of Mauritania and Senegal. This award is a continuation to the FEED contract awarded in April 2018.</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“large” award ranges between $500 million and $1 billion.</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 xml:space="preserve">MIDOR Refinery Expansion and Modernization </w:t>
      </w:r>
      <w:r>
        <w:rPr>
          <w:rFonts w:ascii="Arial" w:cs="Arial" w:eastAsia="Arial" w:hAnsi="Arial"/>
          <w:sz w:val="18"/>
          <w:szCs w:val="18"/>
          <w:b w:val="1"/>
          <w:bCs w:val="1"/>
          <w:color w:val="auto"/>
        </w:rPr>
        <w:t>(Egypt)</w:t>
      </w:r>
    </w:p>
    <w:p>
      <w:pPr>
        <w:spacing w:after="0" w:line="2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Major* EPC contract by Middle East Oil Refinery (MIDOR) for the modernization and expansion of their existing complex near Alexandria, Egypt. This EPC contract covers the debottlenecking of existing units as well as the delivery of new units including a Crude Distillation Unit, a Vacuum Distillation Unit, a hydrogen production facility based on our steam reforming technology, as well as various process units, interconnecting, offsites and utilities.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“major” award is over $1 billion.</w:t>
      </w:r>
    </w:p>
    <w:p>
      <w:pPr>
        <w:spacing w:after="0" w:line="200" w:lineRule="exact"/>
        <w:rPr>
          <w:sz w:val="20"/>
          <w:szCs w:val="20"/>
          <w:color w:val="auto"/>
        </w:rPr>
      </w:pPr>
    </w:p>
    <w:p>
      <w:pPr>
        <w:spacing w:after="0" w:line="213"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In addition to these announced awards in the period, we continue to strengthen our Process Technology business unit with important new partnerships, including:</w:t>
      </w:r>
    </w:p>
    <w:p>
      <w:pPr>
        <w:spacing w:after="0" w:line="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Mid-scale, modular LNG solutions offering</w:t>
      </w:r>
    </w:p>
    <w:p>
      <w:pPr>
        <w:spacing w:after="0" w:line="27" w:lineRule="exact"/>
        <w:rPr>
          <w:rFonts w:ascii="Arial" w:cs="Arial" w:eastAsia="Arial" w:hAnsi="Arial"/>
          <w:sz w:val="18"/>
          <w:szCs w:val="18"/>
          <w:color w:val="auto"/>
        </w:rPr>
      </w:pPr>
    </w:p>
    <w:p>
      <w:pPr>
        <w:jc w:val="both"/>
        <w:ind w:left="660"/>
        <w:spacing w:after="0" w:line="244" w:lineRule="auto"/>
        <w:rPr>
          <w:rFonts w:ascii="Arial" w:cs="Arial" w:eastAsia="Arial" w:hAnsi="Arial"/>
          <w:sz w:val="18"/>
          <w:szCs w:val="18"/>
          <w:color w:val="auto"/>
        </w:rPr>
      </w:pPr>
      <w:r>
        <w:rPr>
          <w:rFonts w:ascii="Arial" w:cs="Arial" w:eastAsia="Arial" w:hAnsi="Arial"/>
          <w:sz w:val="20"/>
          <w:szCs w:val="20"/>
          <w:color w:val="auto"/>
        </w:rPr>
        <w:t>We have developed a number of standardized, modular mid-scale LNG train designs with capacities ranging from 1 to 3 Mtpa (million metric tons per annum) using Air Products’ AP-SMR™ and AP-DMR™ processes. Delivered by Engineering Procurement and Fabrication models, these designs offer more certainty around cost and schedule. We have received contracts in China and North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ExxonMobil Chemicals Master License and Engineering Agreement (MLEA) for Ethylene technology</w:t>
      </w:r>
    </w:p>
    <w:p>
      <w:pPr>
        <w:spacing w:after="0" w:line="27" w:lineRule="exact"/>
        <w:rPr>
          <w:rFonts w:ascii="Arial" w:cs="Arial" w:eastAsia="Arial" w:hAnsi="Arial"/>
          <w:sz w:val="18"/>
          <w:szCs w:val="18"/>
          <w:color w:val="auto"/>
        </w:rPr>
      </w:pPr>
    </w:p>
    <w:p>
      <w:pPr>
        <w:ind w:left="660" w:right="20"/>
        <w:spacing w:after="0" w:line="253" w:lineRule="auto"/>
        <w:rPr>
          <w:rFonts w:ascii="Arial" w:cs="Arial" w:eastAsia="Arial" w:hAnsi="Arial"/>
          <w:sz w:val="18"/>
          <w:szCs w:val="18"/>
          <w:color w:val="auto"/>
        </w:rPr>
      </w:pPr>
      <w:r>
        <w:rPr>
          <w:rFonts w:ascii="Arial" w:cs="Arial" w:eastAsia="Arial" w:hAnsi="Arial"/>
          <w:sz w:val="20"/>
          <w:szCs w:val="20"/>
          <w:color w:val="auto"/>
        </w:rPr>
        <w:t>Long-term MLEA for our proprietary ethylene technology and process design package starting with a proposed 1.2 million tons plant in Huizhou, China.</w:t>
      </w:r>
    </w:p>
    <w:p>
      <w:pPr>
        <w:sectPr>
          <w:pgSz w:w="11900" w:h="16838" w:orient="portrait"/>
          <w:cols w:equalWidth="0" w:num="1">
            <w:col w:w="11420"/>
          </w:cols>
          <w:pgMar w:left="240" w:top="119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4"/>
        </w:trPr>
        <w:tc>
          <w:tcPr>
            <w:tcW w:w="40" w:type="dxa"/>
            <w:vAlign w:val="bottom"/>
            <w:tcBorders>
              <w:top w:val="single" w:sz="8" w:color="B6DDE8"/>
              <w:right w:val="single" w:sz="8" w:color="B6DDE8"/>
            </w:tcBorders>
            <w:shd w:val="clear" w:color="auto" w:fill="B6DDE8"/>
          </w:tcPr>
          <w:p>
            <w:pPr>
              <w:spacing w:after="0"/>
              <w:rPr>
                <w:sz w:val="24"/>
                <w:szCs w:val="24"/>
                <w:color w:val="auto"/>
              </w:rPr>
            </w:pPr>
          </w:p>
        </w:tc>
        <w:tc>
          <w:tcPr>
            <w:tcW w:w="726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Onshore/Offshore</w:t>
            </w:r>
          </w:p>
        </w:tc>
        <w:tc>
          <w:tcPr>
            <w:tcW w:w="2040" w:type="dxa"/>
            <w:vAlign w:val="bottom"/>
            <w:tcBorders>
              <w:top w:val="single" w:sz="8" w:color="B6DDE8"/>
              <w:right w:val="single" w:sz="8" w:color="B6DDE8"/>
            </w:tcBorders>
            <w:vMerge w:val="restart"/>
          </w:tcPr>
          <w:p>
            <w:pPr>
              <w:jc w:val="right"/>
              <w:ind w:right="1"/>
              <w:spacing w:after="0"/>
              <w:rPr>
                <w:sz w:val="20"/>
                <w:szCs w:val="20"/>
                <w:color w:val="auto"/>
              </w:rPr>
            </w:pPr>
            <w:r>
              <w:rPr>
                <w:rFonts w:ascii="Arial" w:cs="Arial" w:eastAsia="Arial" w:hAnsi="Arial"/>
                <w:sz w:val="20"/>
                <w:szCs w:val="20"/>
                <w:color w:val="auto"/>
              </w:rPr>
              <w:t>Consolidated backlog</w:t>
            </w:r>
          </w:p>
        </w:tc>
        <w:tc>
          <w:tcPr>
            <w:tcW w:w="2040" w:type="dxa"/>
            <w:vAlign w:val="bottom"/>
            <w:tcBorders>
              <w:top w:val="single" w:sz="8" w:color="B6DDE8"/>
              <w:right w:val="single" w:sz="8" w:color="B6DDE8"/>
            </w:tcBorders>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162"/>
        </w:trPr>
        <w:tc>
          <w:tcPr>
            <w:tcW w:w="40" w:type="dxa"/>
            <w:vAlign w:val="bottom"/>
            <w:tcBorders>
              <w:right w:val="single" w:sz="8" w:color="B6DDE8"/>
            </w:tcBorders>
            <w:shd w:val="clear" w:color="auto" w:fill="B6DDE8"/>
          </w:tcPr>
          <w:p>
            <w:pPr>
              <w:spacing w:after="0"/>
              <w:rPr>
                <w:sz w:val="14"/>
                <w:szCs w:val="14"/>
                <w:color w:val="auto"/>
              </w:rPr>
            </w:pPr>
          </w:p>
        </w:tc>
        <w:tc>
          <w:tcPr>
            <w:tcW w:w="7260" w:type="dxa"/>
            <w:vAlign w:val="bottom"/>
            <w:tcBorders>
              <w:right w:val="single" w:sz="8" w:color="B6DDE8"/>
            </w:tcBorders>
          </w:tcPr>
          <w:p>
            <w:pPr>
              <w:spacing w:after="0" w:line="163" w:lineRule="exact"/>
              <w:rPr>
                <w:sz w:val="20"/>
                <w:szCs w:val="20"/>
                <w:color w:val="auto"/>
              </w:rPr>
            </w:pPr>
            <w:r>
              <w:rPr>
                <w:rFonts w:ascii="Arial" w:cs="Arial" w:eastAsia="Arial" w:hAnsi="Arial"/>
                <w:sz w:val="18"/>
                <w:szCs w:val="18"/>
                <w:color w:val="auto"/>
              </w:rPr>
              <w:t>Estimated Backlog Scheduling as of March 31, 2019</w:t>
            </w:r>
          </w:p>
        </w:tc>
        <w:tc>
          <w:tcPr>
            <w:tcW w:w="2040" w:type="dxa"/>
            <w:vAlign w:val="bottom"/>
            <w:tcBorders>
              <w:right w:val="single" w:sz="8" w:color="B6DDE8"/>
            </w:tcBorders>
            <w:vMerge w:val="continue"/>
          </w:tcPr>
          <w:p>
            <w:pPr>
              <w:spacing w:after="0"/>
              <w:rPr>
                <w:sz w:val="14"/>
                <w:szCs w:val="14"/>
                <w:color w:val="auto"/>
              </w:rPr>
            </w:pPr>
          </w:p>
        </w:tc>
        <w:tc>
          <w:tcPr>
            <w:tcW w:w="2040" w:type="dxa"/>
            <w:vAlign w:val="bottom"/>
            <w:tcBorders>
              <w:right w:val="single" w:sz="8" w:color="B6DDE8"/>
            </w:tcBorders>
            <w:vMerge w:val="restart"/>
          </w:tcPr>
          <w:p>
            <w:pPr>
              <w:jc w:val="right"/>
              <w:ind w:right="56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118"/>
        </w:trPr>
        <w:tc>
          <w:tcPr>
            <w:tcW w:w="40" w:type="dxa"/>
            <w:vAlign w:val="bottom"/>
            <w:tcBorders>
              <w:right w:val="single" w:sz="8" w:color="B6DDE8"/>
            </w:tcBorders>
            <w:shd w:val="clear" w:color="auto" w:fill="B6DDE8"/>
          </w:tcPr>
          <w:p>
            <w:pPr>
              <w:spacing w:after="0"/>
              <w:rPr>
                <w:sz w:val="10"/>
                <w:szCs w:val="10"/>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10"/>
                <w:szCs w:val="10"/>
                <w:color w:val="auto"/>
              </w:rPr>
            </w:pPr>
          </w:p>
        </w:tc>
        <w:tc>
          <w:tcPr>
            <w:tcW w:w="2040" w:type="dxa"/>
            <w:vAlign w:val="bottom"/>
            <w:tcBorders>
              <w:right w:val="single" w:sz="8" w:color="B6DDE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bottom w:val="single" w:sz="8" w:color="B6DDE8"/>
              <w:right w:val="single" w:sz="8" w:color="B6DDE8"/>
            </w:tcBorders>
            <w:shd w:val="clear" w:color="auto" w:fill="B6DDE8"/>
          </w:tcPr>
          <w:p>
            <w:pPr>
              <w:spacing w:after="0"/>
              <w:rPr>
                <w:sz w:val="7"/>
                <w:szCs w:val="7"/>
                <w:color w:val="auto"/>
              </w:rPr>
            </w:pPr>
          </w:p>
        </w:tc>
        <w:tc>
          <w:tcPr>
            <w:tcW w:w="7260" w:type="dxa"/>
            <w:vAlign w:val="bottom"/>
            <w:tcBorders>
              <w:bottom w:val="single" w:sz="8" w:color="B8CCE4"/>
              <w:right w:val="single" w:sz="8" w:color="B6DDE8"/>
            </w:tcBorders>
            <w:vMerge w:val="continue"/>
          </w:tcPr>
          <w:p>
            <w:pPr>
              <w:spacing w:after="0"/>
              <w:rPr>
                <w:sz w:val="7"/>
                <w:szCs w:val="7"/>
                <w:color w:val="auto"/>
              </w:rPr>
            </w:pPr>
          </w:p>
        </w:tc>
        <w:tc>
          <w:tcPr>
            <w:tcW w:w="2040" w:type="dxa"/>
            <w:vAlign w:val="bottom"/>
            <w:tcBorders>
              <w:bottom w:val="single" w:sz="8" w:color="B8CCE4"/>
              <w:right w:val="single" w:sz="8" w:color="B6DDE8"/>
            </w:tcBorders>
          </w:tcPr>
          <w:p>
            <w:pPr>
              <w:spacing w:after="0"/>
              <w:rPr>
                <w:sz w:val="7"/>
                <w:szCs w:val="7"/>
                <w:color w:val="auto"/>
              </w:rPr>
            </w:pPr>
          </w:p>
        </w:tc>
        <w:tc>
          <w:tcPr>
            <w:tcW w:w="2040" w:type="dxa"/>
            <w:vAlign w:val="bottom"/>
            <w:tcBorders>
              <w:bottom w:val="single" w:sz="8" w:color="B8CCE4"/>
              <w:right w:val="single" w:sz="8" w:color="B6DDE8"/>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2019 (9 months)</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$4,299.4</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$564.8</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$3,252.3</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$642.6</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$2,311.0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$558.3</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$9,862.7</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$1,765.7</w:t>
            </w:r>
          </w:p>
        </w:tc>
        <w:tc>
          <w:tcPr>
            <w:tcW w:w="0" w:type="dxa"/>
            <w:vAlign w:val="bottom"/>
          </w:tcPr>
          <w:p>
            <w:pPr>
              <w:spacing w:after="0"/>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r>
    </w:p>
    <w:p>
      <w:pPr>
        <w:ind w:left="20" w:right="500" w:firstLine="2"/>
        <w:spacing w:after="0" w:line="274" w:lineRule="auto"/>
        <w:tabs>
          <w:tab w:leader="none" w:pos="1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ectPr>
          <w:pgSz w:w="11900" w:h="16838" w:orient="portrait"/>
          <w:cols w:equalWidth="0" w:num="1">
            <w:col w:w="11360"/>
          </w:cols>
          <w:pgMar w:left="280" w:top="1335" w:right="259" w:bottom="1440" w:gutter="0" w:footer="0" w:header="0"/>
        </w:sectPr>
      </w:pPr>
    </w:p>
    <w:bookmarkStart w:id="12" w:name="page13"/>
    <w:bookmarkEnd w:id="12"/>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66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top w:val="single" w:sz="8" w:color="B8CCE4"/>
              <w:right w:val="single" w:sz="8" w:color="B8CCE4"/>
            </w:tcBorders>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480" w:type="dxa"/>
            <w:vAlign w:val="bottom"/>
            <w:tcBorders>
              <w:top w:val="single" w:sz="8" w:color="B8CCE4"/>
              <w:right w:val="single" w:sz="8" w:color="B8CCE4"/>
            </w:tcBorders>
          </w:tcPr>
          <w:p>
            <w:pPr>
              <w:spacing w:after="0"/>
              <w:rPr>
                <w:sz w:val="16"/>
                <w:szCs w:val="16"/>
                <w:color w:val="auto"/>
              </w:rPr>
            </w:pPr>
          </w:p>
        </w:tc>
        <w:tc>
          <w:tcPr>
            <w:tcW w:w="1820" w:type="dxa"/>
            <w:vAlign w:val="bottom"/>
            <w:tcBorders>
              <w:top w:val="single" w:sz="8" w:color="B8CCE4"/>
              <w:right w:val="single" w:sz="8" w:color="B8CCE4"/>
            </w:tcBorders>
          </w:tcPr>
          <w:p>
            <w:pPr>
              <w:spacing w:after="0"/>
              <w:rPr>
                <w:sz w:val="16"/>
                <w:szCs w:val="16"/>
                <w:color w:val="auto"/>
              </w:rPr>
            </w:pPr>
          </w:p>
        </w:tc>
      </w:tr>
      <w:tr>
        <w:trPr>
          <w:trHeight w:val="203"/>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B8CCE4"/>
              <w:right w:val="single" w:sz="8" w:color="B8CCE4"/>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480" w:type="dxa"/>
            <w:vAlign w:val="bottom"/>
            <w:tcBorders>
              <w:bottom w:val="single" w:sz="8" w:color="B8CCE4"/>
              <w:right w:val="single" w:sz="8" w:color="B8CCE4"/>
            </w:tcBorders>
          </w:tcPr>
          <w:p>
            <w:pPr>
              <w:jc w:val="right"/>
              <w:ind w:right="145"/>
              <w:spacing w:after="0"/>
              <w:rPr>
                <w:sz w:val="20"/>
                <w:szCs w:val="20"/>
                <w:color w:val="auto"/>
              </w:rPr>
            </w:pPr>
            <w:r>
              <w:rPr>
                <w:rFonts w:ascii="Arial" w:cs="Arial" w:eastAsia="Arial" w:hAnsi="Arial"/>
                <w:sz w:val="14"/>
                <w:szCs w:val="14"/>
                <w:b w:val="1"/>
                <w:bCs w:val="1"/>
                <w:color w:val="auto"/>
              </w:rPr>
              <w:t>March 31, 2018</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480" w:type="dxa"/>
            <w:vAlign w:val="bottom"/>
            <w:tcBorders>
              <w:bottom w:val="single" w:sz="8" w:color="B8CCE4"/>
              <w:right w:val="single" w:sz="8" w:color="B4C6E7"/>
            </w:tcBorders>
          </w:tcPr>
          <w:p>
            <w:pPr>
              <w:jc w:val="right"/>
              <w:spacing w:after="0"/>
              <w:rPr>
                <w:sz w:val="20"/>
                <w:szCs w:val="20"/>
                <w:color w:val="auto"/>
              </w:rPr>
            </w:pPr>
            <w:r>
              <w:rPr>
                <w:rFonts w:ascii="Arial" w:cs="Arial" w:eastAsia="Arial" w:hAnsi="Arial"/>
                <w:sz w:val="20"/>
                <w:szCs w:val="20"/>
                <w:color w:val="auto"/>
              </w:rPr>
              <w:t>$392.6</w:t>
            </w:r>
          </w:p>
        </w:tc>
        <w:tc>
          <w:tcPr>
            <w:tcW w:w="1480" w:type="dxa"/>
            <w:vAlign w:val="bottom"/>
            <w:tcBorders>
              <w:bottom w:val="single" w:sz="8" w:color="B8CCE4"/>
              <w:right w:val="single" w:sz="8" w:color="B4C6E7"/>
            </w:tcBorders>
          </w:tcPr>
          <w:p>
            <w:pPr>
              <w:jc w:val="right"/>
              <w:spacing w:after="0"/>
              <w:rPr>
                <w:sz w:val="20"/>
                <w:szCs w:val="20"/>
                <w:color w:val="auto"/>
              </w:rPr>
            </w:pPr>
            <w:r>
              <w:rPr>
                <w:rFonts w:ascii="Arial" w:cs="Arial" w:eastAsia="Arial" w:hAnsi="Arial"/>
                <w:sz w:val="20"/>
                <w:szCs w:val="20"/>
                <w:color w:val="auto"/>
              </w:rPr>
              <w:t>$371.6</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5.7%</w:t>
            </w: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48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$10.5</w:t>
            </w:r>
          </w:p>
        </w:tc>
        <w:tc>
          <w:tcPr>
            <w:tcW w:w="148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$30.6</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(65.7%)</w:t>
            </w: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48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$30.1</w:t>
            </w:r>
          </w:p>
        </w:tc>
        <w:tc>
          <w:tcPr>
            <w:tcW w:w="148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$50.3</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(40.2%)</w:t>
            </w: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48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7.7%</w:t>
            </w:r>
          </w:p>
        </w:tc>
        <w:tc>
          <w:tcPr>
            <w:tcW w:w="148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13.5%</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(587 bps)</w:t>
            </w:r>
          </w:p>
        </w:tc>
      </w:tr>
      <w:tr>
        <w:trPr>
          <w:trHeight w:val="318"/>
        </w:trPr>
        <w:tc>
          <w:tcPr>
            <w:tcW w:w="6660" w:type="dxa"/>
            <w:vAlign w:val="bottom"/>
            <w:tcBorders>
              <w:left w:val="single" w:sz="8" w:color="B8CCE4"/>
              <w:bottom w:val="single" w:sz="8" w:color="B8CCE4"/>
            </w:tcBorders>
          </w:tcPr>
          <w:p>
            <w:pPr>
              <w:spacing w:after="0"/>
              <w:rPr>
                <w:sz w:val="24"/>
                <w:szCs w:val="24"/>
                <w:color w:val="auto"/>
              </w:rPr>
            </w:pPr>
          </w:p>
        </w:tc>
        <w:tc>
          <w:tcPr>
            <w:tcW w:w="1480" w:type="dxa"/>
            <w:vAlign w:val="bottom"/>
            <w:tcBorders>
              <w:bottom w:val="single" w:sz="8" w:color="B8CCE4"/>
            </w:tcBorders>
          </w:tcPr>
          <w:p>
            <w:pPr>
              <w:spacing w:after="0"/>
              <w:rPr>
                <w:sz w:val="24"/>
                <w:szCs w:val="24"/>
                <w:color w:val="auto"/>
              </w:rPr>
            </w:pPr>
          </w:p>
        </w:tc>
        <w:tc>
          <w:tcPr>
            <w:tcW w:w="148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right w:val="single" w:sz="8" w:color="B8CCE4"/>
            </w:tcBorders>
          </w:tcPr>
          <w:p>
            <w:pPr>
              <w:spacing w:after="0"/>
              <w:rPr>
                <w:sz w:val="24"/>
                <w:szCs w:val="24"/>
                <w:color w:val="auto"/>
              </w:rPr>
            </w:pP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48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$368.0</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$409.6</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(10.2%)</w:t>
            </w:r>
          </w:p>
        </w:tc>
      </w:tr>
      <w:tr>
        <w:trPr>
          <w:trHeight w:val="264"/>
        </w:trPr>
        <w:tc>
          <w:tcPr>
            <w:tcW w:w="66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$437.6</w:t>
            </w:r>
          </w:p>
        </w:tc>
        <w:tc>
          <w:tcPr>
            <w:tcW w:w="14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$409.5</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6.9%</w:t>
            </w:r>
          </w:p>
        </w:tc>
      </w:tr>
    </w:tbl>
    <w:p>
      <w:pPr>
        <w:spacing w:after="0" w:line="3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Surface Technologies reported first quarter revenue of $392.6 million, an increase of 5.7 percent from the prior-year quarter. The revenue growth was primarily driven by higher demand for pressure control equipment outside the Americas. North American revenue declined in the period as a result of lower activity.</w:t>
      </w:r>
    </w:p>
    <w:p>
      <w:pPr>
        <w:spacing w:after="0" w:line="117" w:lineRule="exact"/>
        <w:rPr>
          <w:sz w:val="20"/>
          <w:szCs w:val="20"/>
          <w:color w:val="auto"/>
        </w:rPr>
      </w:pPr>
    </w:p>
    <w:p>
      <w:pPr>
        <w:jc w:val="both"/>
        <w:ind w:right="20"/>
        <w:spacing w:after="0" w:line="249" w:lineRule="auto"/>
        <w:rPr>
          <w:sz w:val="20"/>
          <w:szCs w:val="20"/>
          <w:color w:val="auto"/>
        </w:rPr>
      </w:pPr>
      <w:r>
        <w:rPr>
          <w:rFonts w:ascii="Arial" w:cs="Arial" w:eastAsia="Arial" w:hAnsi="Arial"/>
          <w:sz w:val="20"/>
          <w:szCs w:val="20"/>
          <w:color w:val="auto"/>
        </w:rPr>
        <w:t>Surface Technologies reported operating profit of $10.5 million; adjusted EBITDA was $30.1 million with a margin of 7.7 percent. Operating profit decreased versus the prior-year quarter primarily due to the continued decline in completions-related activity, one-time charges related to new product introduction and unfavorable product line mix in North America. Operating profit outside the Americas was negatively impacted by delays in shipments of backlog orders now expected to be delivered throughout 2019. These same factors drove the year-over-year decrease in adjusted EBITDA.</w:t>
      </w:r>
    </w:p>
    <w:p>
      <w:pPr>
        <w:spacing w:after="0" w:line="131" w:lineRule="exact"/>
        <w:rPr>
          <w:sz w:val="20"/>
          <w:szCs w:val="20"/>
          <w:color w:val="auto"/>
        </w:rPr>
      </w:pPr>
    </w:p>
    <w:p>
      <w:pPr>
        <w:jc w:val="both"/>
        <w:ind w:right="20"/>
        <w:spacing w:after="0" w:line="249" w:lineRule="auto"/>
        <w:rPr>
          <w:sz w:val="20"/>
          <w:szCs w:val="20"/>
          <w:color w:val="auto"/>
        </w:rPr>
      </w:pPr>
      <w:r>
        <w:rPr>
          <w:rFonts w:ascii="Arial" w:cs="Arial" w:eastAsia="Arial" w:hAnsi="Arial"/>
          <w:sz w:val="20"/>
          <w:szCs w:val="20"/>
          <w:color w:val="auto"/>
        </w:rPr>
        <w:t>North American activity has declined further since the fourth quarter of 2018. Completions-related revenue declined mid-single digits in the quarter, below levels anticipated when 2019 financial guidance was provided in December. The Company now expects North American activity for the remainder of the year to remain largely unchanged from current levels. Reduced operator spending in North America has also negatively impacted pricing as the market adjusts to the excess product and service supply created by the lower activity.</w:t>
      </w:r>
    </w:p>
    <w:p>
      <w:pPr>
        <w:spacing w:after="0" w:line="131"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Outside the Americas, the Company continues to anticipate high-single digit to low-double digit activity growth, supported by the Middle East market. We expect limited benefit from pricing in 2019.</w:t>
      </w:r>
    </w:p>
    <w:p>
      <w:pPr>
        <w:spacing w:after="0" w:line="9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Inbound orders for the quarter were $368 million. Backlog was $437.6 million. Given the short-cycle nature of the business, orders are generally converted into revenue within twelve months.</w:t>
      </w:r>
    </w:p>
    <w:p>
      <w:pPr>
        <w:sectPr>
          <w:pgSz w:w="11900" w:h="16838" w:orient="portrait"/>
          <w:cols w:equalWidth="0" w:num="1">
            <w:col w:w="11440"/>
          </w:cols>
          <w:pgMar w:left="240" w:top="1350" w:right="21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Corporate and Other Items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Corporate expense in the first quarter was $93.6 million. This includes charges and credits totaling $21 million of expense associated with the merger as well as restructuring and other severance charges. Excluding charges and credits, corporate expense was $72.6 million which included $11.6 million of foreign exchange losses.</w:t>
      </w:r>
    </w:p>
    <w:p>
      <w:pPr>
        <w:spacing w:after="0" w:line="11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Net interest expense was $88.2 million in the quarter, which included an increase in the liability payable to joint venture partners of $84.7 million.</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recorded a tax provision during the quarter of $14.5 million. Adjusted net income was negatively impacted by the reversal of a $40.3 million non-cash valuation allowance which will benefit tax expense in future periods.</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Total depreciation and amortization for the quarter was $119.4 million, including depreciation and amortization related to purchase price accounting for the merger of $8.5 million.</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repurchased 2.2 million shares during the quarter. Total consideration was $50.1 million; cash impact in the quarter was $33 million due to the timing of settlement.</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Cash flow from operations in the quarter was $121.4 million. The Company ended the period with cash and cash equivalents of $4,965.3 million; net cash was $1,031.4 million.</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Accounting Items</w:t>
      </w:r>
    </w:p>
    <w:p>
      <w:pPr>
        <w:spacing w:after="0" w:line="21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On January 1, 2019, we adopted ASU 2016-02, Leases (Topic 842), using a modified retrospective transition method and applying the new standard to all leases.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Adoption of the new lease accounting guidance had a material impact on our consolidated balance sheet but did not have a material impact on our consolidated income statement. As of March 31, 2019, the balances of our operating lease liability and operating lease right-of-use asset were as follows:</w:t>
      </w:r>
    </w:p>
    <w:p>
      <w:pPr>
        <w:spacing w:after="0" w:line="117" w:lineRule="exact"/>
        <w:rPr>
          <w:sz w:val="20"/>
          <w:szCs w:val="20"/>
          <w:color w:val="auto"/>
        </w:rPr>
      </w:pPr>
    </w:p>
    <w:p>
      <w:pPr>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an operating lease liability of approximately $1,133.9 million which represents the present value of the remaining lease payments discounted using the Company’s applicable weighted average incremental borrowing rates; and</w:t>
      </w:r>
    </w:p>
    <w:p>
      <w:pPr>
        <w:ind w:left="660" w:right="20" w:hanging="328"/>
        <w:spacing w:after="0" w:line="23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an operating lease right-of-use asset of approximately $1,105.9 million which represents the lease liability of $1,133.9 million adjusted for lease incentives, prepaid rent, and other balances.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The difference between the additional lease assets and lease liabilities, net of the deferred tax impact, was recorded as an adjustment to reduce retained earnings by approximately $1.8 million ($2.3 million prior to tax effect).</w:t>
      </w:r>
    </w:p>
    <w:p>
      <w:pPr>
        <w:spacing w:after="0" w:line="124"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Details regarding the adoption of IFRS 16 will be provided in the Half-Year Financial Report for the half year ending June 30, 2019.</w:t>
      </w:r>
    </w:p>
    <w:p>
      <w:pPr>
        <w:sectPr>
          <w:pgSz w:w="11900" w:h="16838" w:orient="portrait"/>
          <w:cols w:equalWidth="0" w:num="1">
            <w:col w:w="11420"/>
          </w:cols>
          <w:pgMar w:left="240" w:top="1188"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2019 Financial Guidance</w:t>
      </w:r>
      <w:r>
        <w:rPr>
          <w:rFonts w:ascii="Arial" w:cs="Arial" w:eastAsia="Arial" w:hAnsi="Arial"/>
          <w:sz w:val="25"/>
          <w:szCs w:val="25"/>
          <w:b w:val="1"/>
          <w:bCs w:val="1"/>
          <w:color w:val="auto"/>
          <w:vertAlign w:val="superscript"/>
        </w:rPr>
        <w:t>1</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Updates to the Company’s full-year guidance for 2019 are included in the revised table below and detailed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383540</wp:posOffset>
            </wp:positionV>
            <wp:extent cx="686943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9430" cy="3003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2019 Guidance </w:t>
      </w:r>
      <w:r>
        <w:rPr>
          <w:rFonts w:ascii="Arial" w:cs="Arial" w:eastAsia="Arial" w:hAnsi="Arial"/>
          <w:sz w:val="14"/>
          <w:szCs w:val="14"/>
          <w:i w:val="1"/>
          <w:iCs w:val="1"/>
          <w:color w:val="auto"/>
        </w:rPr>
        <w:t>*Updated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354330</wp:posOffset>
            </wp:positionV>
            <wp:extent cx="6869430" cy="1431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9430" cy="1431925"/>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FFFFFF"/>
        </w:rPr>
        <w:t>Subsea</w:t>
      </w:r>
    </w:p>
    <w:p>
      <w:pPr>
        <w:spacing w:after="0" w:line="56" w:lineRule="exact"/>
        <w:rPr>
          <w:sz w:val="20"/>
          <w:szCs w:val="20"/>
          <w:color w:val="auto"/>
        </w:rPr>
      </w:pPr>
    </w:p>
    <w:p>
      <w:pPr>
        <w:ind w:left="360" w:right="200"/>
        <w:spacing w:after="0" w:line="266" w:lineRule="auto"/>
        <w:rPr>
          <w:sz w:val="20"/>
          <w:szCs w:val="20"/>
          <w:color w:val="auto"/>
        </w:rPr>
      </w:pPr>
      <w:r>
        <w:rPr>
          <w:rFonts w:ascii="Arial" w:cs="Arial" w:eastAsia="Arial" w:hAnsi="Arial"/>
          <w:sz w:val="20"/>
          <w:szCs w:val="20"/>
          <w:color w:val="auto"/>
        </w:rPr>
        <w:t>Revenue in a range of $5.4 - 5.7 billion</w:t>
      </w:r>
    </w:p>
    <w:p>
      <w:pPr>
        <w:spacing w:after="0" w:line="301" w:lineRule="exact"/>
        <w:rPr>
          <w:sz w:val="20"/>
          <w:szCs w:val="20"/>
          <w:color w:val="auto"/>
        </w:rPr>
      </w:pPr>
    </w:p>
    <w:p>
      <w:pPr>
        <w:ind w:left="360"/>
        <w:spacing w:after="0" w:line="236" w:lineRule="auto"/>
        <w:rPr>
          <w:sz w:val="20"/>
          <w:szCs w:val="20"/>
          <w:color w:val="auto"/>
        </w:rPr>
      </w:pPr>
      <w:r>
        <w:rPr>
          <w:rFonts w:ascii="Arial" w:cs="Arial" w:eastAsia="Arial" w:hAnsi="Arial"/>
          <w:sz w:val="20"/>
          <w:szCs w:val="20"/>
          <w:color w:val="auto"/>
        </w:rPr>
        <w:t>EBITDA margin at least 11%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left="-59"/>
        <w:spacing w:after="0"/>
        <w:rPr>
          <w:sz w:val="20"/>
          <w:szCs w:val="20"/>
          <w:color w:val="auto"/>
        </w:rPr>
      </w:pPr>
      <w:r>
        <w:rPr>
          <w:rFonts w:ascii="Arial" w:cs="Arial" w:eastAsia="Arial" w:hAnsi="Arial"/>
          <w:sz w:val="20"/>
          <w:szCs w:val="20"/>
          <w:b w:val="1"/>
          <w:bCs w:val="1"/>
          <w:color w:val="FFFFFF"/>
        </w:rPr>
        <w:t>Onshore/Offshore</w:t>
      </w:r>
    </w:p>
    <w:p>
      <w:pPr>
        <w:spacing w:after="0" w:line="56" w:lineRule="exact"/>
        <w:rPr>
          <w:sz w:val="20"/>
          <w:szCs w:val="20"/>
          <w:color w:val="auto"/>
        </w:rPr>
      </w:pPr>
    </w:p>
    <w:p>
      <w:pPr>
        <w:ind w:right="500"/>
        <w:spacing w:after="0" w:line="266" w:lineRule="auto"/>
        <w:rPr>
          <w:sz w:val="20"/>
          <w:szCs w:val="20"/>
          <w:color w:val="auto"/>
        </w:rPr>
      </w:pPr>
      <w:r>
        <w:rPr>
          <w:rFonts w:ascii="Arial" w:cs="Arial" w:eastAsia="Arial" w:hAnsi="Arial"/>
          <w:sz w:val="20"/>
          <w:szCs w:val="20"/>
          <w:color w:val="auto"/>
        </w:rPr>
        <w:t>Revenue in a range of $6.0 - 6.3 billion*</w:t>
      </w:r>
    </w:p>
    <w:p>
      <w:pPr>
        <w:spacing w:after="0" w:line="200" w:lineRule="exact"/>
        <w:rPr>
          <w:sz w:val="20"/>
          <w:szCs w:val="20"/>
          <w:color w:val="auto"/>
        </w:rPr>
      </w:pPr>
    </w:p>
    <w:p>
      <w:pPr>
        <w:spacing w:after="0" w:line="317"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EBITDA margin at least 14%* (excluding amortization related impact of purchase price accounting, and other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217805</wp:posOffset>
            </wp:positionV>
            <wp:extent cx="6869430" cy="3687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69430" cy="3687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FFFFFF"/>
        </w:rPr>
        <w:t>Surface Technologies</w:t>
      </w:r>
    </w:p>
    <w:p>
      <w:pPr>
        <w:spacing w:after="0" w:line="56" w:lineRule="exact"/>
        <w:rPr>
          <w:sz w:val="20"/>
          <w:szCs w:val="20"/>
          <w:color w:val="auto"/>
        </w:rPr>
      </w:pPr>
    </w:p>
    <w:p>
      <w:pPr>
        <w:ind w:right="880"/>
        <w:spacing w:after="0" w:line="266" w:lineRule="auto"/>
        <w:rPr>
          <w:sz w:val="20"/>
          <w:szCs w:val="20"/>
          <w:color w:val="auto"/>
        </w:rPr>
      </w:pPr>
      <w:r>
        <w:rPr>
          <w:rFonts w:ascii="Arial" w:cs="Arial" w:eastAsia="Arial" w:hAnsi="Arial"/>
          <w:sz w:val="20"/>
          <w:szCs w:val="20"/>
          <w:color w:val="auto"/>
        </w:rPr>
        <w:t>Revenue in a range of $1.6 - 1.7 billion*</w:t>
      </w:r>
    </w:p>
    <w:p>
      <w:pPr>
        <w:spacing w:after="0" w:line="200" w:lineRule="exact"/>
        <w:rPr>
          <w:sz w:val="20"/>
          <w:szCs w:val="20"/>
          <w:color w:val="auto"/>
        </w:rPr>
      </w:pPr>
    </w:p>
    <w:p>
      <w:pPr>
        <w:spacing w:after="0" w:line="317" w:lineRule="exact"/>
        <w:rPr>
          <w:sz w:val="20"/>
          <w:szCs w:val="20"/>
          <w:color w:val="auto"/>
        </w:rPr>
      </w:pPr>
    </w:p>
    <w:p>
      <w:pPr>
        <w:ind w:right="380"/>
        <w:spacing w:after="0" w:line="239" w:lineRule="auto"/>
        <w:rPr>
          <w:sz w:val="20"/>
          <w:szCs w:val="20"/>
          <w:color w:val="auto"/>
        </w:rPr>
      </w:pPr>
      <w:r>
        <w:rPr>
          <w:rFonts w:ascii="Arial" w:cs="Arial" w:eastAsia="Arial" w:hAnsi="Arial"/>
          <w:sz w:val="20"/>
          <w:szCs w:val="20"/>
          <w:color w:val="auto"/>
        </w:rPr>
        <w:t>EBITDA margin at least 12%* (excluding amortization related impact of purchase price accounting, and other charges and credits)</w:t>
      </w:r>
    </w:p>
    <w:p>
      <w:pPr>
        <w:spacing w:after="0" w:line="200" w:lineRule="exact"/>
        <w:rPr>
          <w:sz w:val="20"/>
          <w:szCs w:val="20"/>
          <w:color w:val="auto"/>
        </w:rPr>
      </w:pPr>
    </w:p>
    <w:p>
      <w:pPr>
        <w:sectPr>
          <w:pgSz w:w="11900" w:h="16838" w:orient="portrait"/>
          <w:cols w:equalWidth="0" w:num="3">
            <w:col w:w="3400" w:space="520"/>
            <w:col w:w="3340" w:space="440"/>
            <w:col w:w="3720"/>
          </w:cols>
          <w:pgMar w:left="240" w:top="1188" w:right="239" w:bottom="1440" w:gutter="0" w:footer="0" w:header="0"/>
          <w:type w:val="continuous"/>
        </w:sectPr>
      </w:pP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FFFFFF"/>
        </w:rPr>
        <w:t>TechnipFMC</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$160 - 170 million for the full year (excluding the impact of foreign currency fluctuations)</w:t>
      </w:r>
    </w:p>
    <w:p>
      <w:pPr>
        <w:spacing w:after="0" w:line="200" w:lineRule="exact"/>
        <w:rPr>
          <w:sz w:val="20"/>
          <w:szCs w:val="20"/>
          <w:color w:val="auto"/>
        </w:rPr>
      </w:pPr>
    </w:p>
    <w:p>
      <w:pPr>
        <w:spacing w:after="0" w:line="340" w:lineRule="exact"/>
        <w:rPr>
          <w:sz w:val="20"/>
          <w:szCs w:val="20"/>
          <w:color w:val="auto"/>
        </w:rPr>
      </w:pPr>
    </w:p>
    <w:p>
      <w:pPr>
        <w:ind w:left="360" w:right="340"/>
        <w:spacing w:after="0" w:line="268"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$40 - 60 million for the full year (excluding the impact of revaluation of partners’ redeemable</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liability)</w:t>
      </w: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28 - 32% for the full year (excluding the impact of discrete items)</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$350 million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Cash flow from operating activities </w:t>
      </w:r>
      <w:r>
        <w:rPr>
          <w:rFonts w:ascii="Arial" w:cs="Arial" w:eastAsia="Arial" w:hAnsi="Arial"/>
          <w:sz w:val="20"/>
          <w:szCs w:val="20"/>
          <w:color w:val="auto"/>
        </w:rPr>
        <w:t>positive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approximately $50 million for the full year</w:t>
      </w:r>
    </w:p>
    <w:p>
      <w:pPr>
        <w:spacing w:after="0" w:line="200" w:lineRule="exact"/>
        <w:rPr>
          <w:sz w:val="20"/>
          <w:szCs w:val="20"/>
          <w:color w:val="auto"/>
        </w:rPr>
      </w:pPr>
    </w:p>
    <w:p>
      <w:pPr>
        <w:spacing w:after="0" w:line="340" w:lineRule="exact"/>
        <w:rPr>
          <w:sz w:val="20"/>
          <w:szCs w:val="20"/>
          <w:color w:val="auto"/>
        </w:rPr>
      </w:pPr>
    </w:p>
    <w:p>
      <w:pPr>
        <w:ind w:left="360" w:right="340"/>
        <w:spacing w:after="0" w:line="26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$450 million total savings ($220m exit run-rate 12/31/17, $400m exit run-rate 12/31/18, $450m exit run-rate 12/31/19)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22" w:lineRule="exact"/>
        <w:rPr>
          <w:sz w:val="20"/>
          <w:szCs w:val="20"/>
          <w:color w:val="auto"/>
        </w:rPr>
      </w:pPr>
    </w:p>
    <w:p>
      <w:pPr>
        <w:jc w:val="both"/>
        <w:ind w:firstLine="8"/>
        <w:spacing w:after="0" w:line="236" w:lineRule="auto"/>
        <w:tabs>
          <w:tab w:leader="none" w:pos="117"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 net (excluding the impact of foreign currency fluctuations), net interest expense (excluding the impact of revaluation of partners’ redeemable financial liability), and tax rate (excluding the impact of discrete items)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420"/>
          </w:cols>
          <w:pgMar w:left="240" w:top="1188"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Updates to the Company’s full-year guidance for 2019 are detailed below:</w:t>
      </w:r>
    </w:p>
    <w:p>
      <w:pPr>
        <w:spacing w:after="0" w:line="108" w:lineRule="exact"/>
        <w:rPr>
          <w:sz w:val="20"/>
          <w:szCs w:val="20"/>
          <w:color w:val="auto"/>
        </w:rPr>
      </w:pPr>
    </w:p>
    <w:p>
      <w:pPr>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Onshore/Offshore revenue in a range of $6.0 - 6.3 billion; revenue has been increased from the previous guidance range of $5.7 - 6.0 billion.</w:t>
      </w:r>
    </w:p>
    <w:p>
      <w:pPr>
        <w:ind w:left="660" w:hanging="328"/>
        <w:spacing w:after="0" w:line="25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9"/>
          <w:szCs w:val="19"/>
          <w:color w:val="auto"/>
        </w:rPr>
        <w:t>Onshore/Offshore EBITDA margin of at least 14% (excluding amortization related impact of purchase price accounting, and other charges and credits); EBITDA margin guidance has been increased from the previous guidance of at least 12%.</w:t>
      </w:r>
    </w:p>
    <w:p>
      <w:pPr>
        <w:ind w:left="660" w:right="20" w:hanging="328"/>
        <w:spacing w:after="0" w:line="23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Surface Technologies revenue in a range of $1.6 - 1.7 billion; revenue has been decreased from the previous guidance range of $1.7 - 1.8 billion.</w:t>
      </w:r>
    </w:p>
    <w:p>
      <w:pPr>
        <w:spacing w:after="0" w:line="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9"/>
          <w:szCs w:val="19"/>
          <w:color w:val="auto"/>
        </w:rPr>
        <w:t>Surface Technologies EBITDA margin of at least 12% (excluding amortization related impact of purchase price accounting, and other charges and credits); EBITDA margin guidance has been decreased from the previous guidance of at least 17%.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Teleconference</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will host a teleconference on Friday, April 26, 2019 to discuss the first quarter 2019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000000"/>
        </w:rPr>
        <w:t>.</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ectPr>
          <w:pgSz w:w="11900" w:h="16838" w:orient="portrait"/>
          <w:cols w:equalWidth="0" w:num="1">
            <w:col w:w="11420"/>
          </w:cols>
          <w:pgMar w:left="240" w:top="119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393"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06"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200" w:lineRule="exact"/>
        <w:rPr>
          <w:sz w:val="20"/>
          <w:szCs w:val="20"/>
          <w:color w:val="auto"/>
        </w:rPr>
      </w:pPr>
    </w:p>
    <w:p>
      <w:pPr>
        <w:spacing w:after="0" w:line="3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3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2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capital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U.S. and international laws and regulations, including existing or future environmental regulations, that may increase our costs, limit the demand for our products and services or restrict our operations;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disruptions in the political, regulatory, economic and social conditions of the countries in which we conduct business;</w:t>
      </w:r>
    </w:p>
    <w:p>
      <w:pPr>
        <w:sectPr>
          <w:pgSz w:w="11900" w:h="16838" w:orient="portrait"/>
          <w:cols w:equalWidth="0" w:num="1">
            <w:col w:w="11420"/>
          </w:cols>
          <w:pgMar w:left="240" w:top="1188" w:right="239" w:bottom="1440" w:gutter="0" w:footer="0" w:header="0"/>
        </w:sectPr>
      </w:pPr>
    </w:p>
    <w:bookmarkStart w:id="17" w:name="page18"/>
    <w:bookmarkEnd w:id="17"/>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risks associated with The Depository Trust Company and Euroclear for clearance services for shares traded on the NYSE and Euronext Paris, respectively;</w:t>
      </w: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United Kingdom’s proposed withdrawal from the European Union; 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significant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or any significant breach of security, including related to cyber attacks, and actual or perceived failure to comply with data security and privacy obligations;</w:t>
      </w: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to which they are subject;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remedial measures to address our material weaknesses could be insufficient or additional issues relating to disclosure controls and procedures or internal control over financial reporting could be identified; and</w:t>
      </w:r>
    </w:p>
    <w:p>
      <w:pPr>
        <w:ind w:left="660" w:hanging="328"/>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420"/>
          </w:cols>
          <w:pgMar w:left="240" w:top="1199"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Contacts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6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5120" w:type="dxa"/>
            <w:vAlign w:val="bottom"/>
            <w:gridSpan w:val="4"/>
          </w:tcPr>
          <w:p>
            <w:pPr>
              <w:ind w:left="1120"/>
              <w:spacing w:after="0"/>
              <w:rPr>
                <w:sz w:val="20"/>
                <w:szCs w:val="20"/>
                <w:color w:val="auto"/>
              </w:rPr>
            </w:pPr>
            <w:r>
              <w:rPr>
                <w:rFonts w:ascii="Arial" w:cs="Arial" w:eastAsia="Arial" w:hAnsi="Arial"/>
                <w:sz w:val="20"/>
                <w:szCs w:val="20"/>
                <w:b w:val="1"/>
                <w:bCs w:val="1"/>
                <w:color w:val="auto"/>
              </w:rPr>
              <w:t>Media relations</w:t>
            </w:r>
          </w:p>
        </w:tc>
      </w:tr>
      <w:tr>
        <w:trPr>
          <w:trHeight w:val="369"/>
        </w:trPr>
        <w:tc>
          <w:tcPr>
            <w:tcW w:w="426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Christophe Bélorgeot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Vice President Investor Relations</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w w:val="98"/>
              </w:rPr>
              <w:t>Senior Vice President Corporate Engagement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+1 281 260 3665</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39 92</w:t>
            </w:r>
          </w:p>
        </w:tc>
      </w:tr>
      <w:tr>
        <w:trPr>
          <w:trHeight w:val="219"/>
        </w:trPr>
        <w:tc>
          <w:tcPr>
            <w:tcW w:w="4260" w:type="dxa"/>
            <w:vAlign w:val="bottom"/>
            <w:gridSpan w:val="4"/>
          </w:tcPr>
          <w:p>
            <w:pPr>
              <w:spacing w:after="0" w:line="219"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Matt Seinsheimer</w:t>
            </w:r>
          </w:p>
        </w:tc>
        <w:tc>
          <w:tcPr>
            <w:tcW w:w="5120" w:type="dxa"/>
            <w:vAlign w:val="bottom"/>
            <w:gridSpan w:val="4"/>
          </w:tcPr>
          <w:p>
            <w:pPr>
              <w:ind w:left="1120"/>
              <w:spacing w:after="0" w:line="219"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Christophe Belorgeot</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0"/>
        </w:trPr>
        <w:tc>
          <w:tcPr>
            <w:tcW w:w="426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Delphine Nayral</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Director Investor Relations (Europe)</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Director Public Relations</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+44 (0) 20 3429 3929</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34 83</w:t>
            </w:r>
          </w:p>
        </w:tc>
      </w:tr>
      <w:tr>
        <w:trPr>
          <w:trHeight w:val="219"/>
        </w:trPr>
        <w:tc>
          <w:tcPr>
            <w:tcW w:w="4260" w:type="dxa"/>
            <w:vAlign w:val="bottom"/>
            <w:gridSpan w:val="4"/>
          </w:tcPr>
          <w:p>
            <w:pPr>
              <w:spacing w:after="0" w:line="219"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Phillip Lindsay</w:t>
            </w:r>
          </w:p>
        </w:tc>
        <w:tc>
          <w:tcPr>
            <w:tcW w:w="5120" w:type="dxa"/>
            <w:vAlign w:val="bottom"/>
            <w:gridSpan w:val="4"/>
          </w:tcPr>
          <w:p>
            <w:pPr>
              <w:ind w:left="1120"/>
              <w:spacing w:after="0" w:line="219"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Delphine Nayral</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ectPr>
          <w:pgSz w:w="11900" w:h="16838" w:orient="portrait"/>
          <w:cols w:equalWidth="0" w:num="1">
            <w:col w:w="10179"/>
          </w:cols>
          <w:pgMar w:left="280" w:top="1346"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17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u w:val="single" w:color="auto"/>
          <w:color w:val="auto"/>
        </w:rPr>
        <w:t>TECHNIPFMC PLC AND CONSOLIDATED SUBSIDIARIES</w:t>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2,913.0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3,125.2</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2,885.9</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48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net interest expense and income taxes</w:t>
            </w:r>
          </w:p>
        </w:tc>
        <w:tc>
          <w:tcPr>
            <w:tcW w:w="2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TechnipFMC plc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attributable to TechnipFMC plc:</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7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55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464.3</w:t>
            </w:r>
          </w:p>
        </w:tc>
        <w:tc>
          <w:tcPr>
            <w:tcW w:w="0" w:type="dxa"/>
            <w:vAlign w:val="bottom"/>
          </w:tcPr>
          <w:p>
            <w:pPr>
              <w:spacing w:after="0"/>
              <w:rPr>
                <w:sz w:val="1"/>
                <w:szCs w:val="1"/>
                <w:color w:val="auto"/>
              </w:rPr>
            </w:pPr>
          </w:p>
        </w:tc>
      </w:tr>
      <w:tr>
        <w:trPr>
          <w:trHeight w:val="27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w:t>
            </w:r>
          </w:p>
        </w:tc>
        <w:tc>
          <w:tcPr>
            <w:tcW w:w="0" w:type="dxa"/>
            <w:vAlign w:val="bottom"/>
          </w:tcPr>
          <w:p>
            <w:pPr>
              <w:spacing w:after="0"/>
              <w:rPr>
                <w:sz w:val="1"/>
                <w:szCs w:val="1"/>
                <w:color w:val="auto"/>
              </w:rPr>
            </w:pPr>
          </w:p>
        </w:tc>
      </w:tr>
      <w:tr>
        <w:trPr>
          <w:trHeight w:val="55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bl>
    <w:p>
      <w:pPr>
        <w:sectPr>
          <w:pgSz w:w="11900" w:h="16838" w:orient="portrait"/>
          <w:cols w:equalWidth="0" w:num="1">
            <w:col w:w="10280"/>
          </w:cols>
          <w:pgMar w:left="1380" w:top="522"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66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68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Subsea</w:t>
            </w:r>
          </w:p>
        </w:tc>
        <w:tc>
          <w:tcPr>
            <w:tcW w:w="6020" w:type="dxa"/>
            <w:vAlign w:val="bottom"/>
            <w:gridSpan w:val="4"/>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1,185.3</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1,180.2</w:t>
            </w:r>
          </w:p>
        </w:tc>
        <w:tc>
          <w:tcPr>
            <w:tcW w:w="0" w:type="dxa"/>
            <w:vAlign w:val="bottom"/>
          </w:tcPr>
          <w:p>
            <w:pPr>
              <w:spacing w:after="0"/>
              <w:rPr>
                <w:sz w:val="1"/>
                <w:szCs w:val="1"/>
                <w:color w:val="auto"/>
              </w:rPr>
            </w:pPr>
          </w:p>
        </w:tc>
      </w:tr>
      <w:tr>
        <w:trPr>
          <w:trHeight w:val="270"/>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Onshore/Offshore</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1,573.4</w:t>
            </w:r>
          </w:p>
        </w:tc>
        <w:tc>
          <w:tcPr>
            <w:tcW w:w="0" w:type="dxa"/>
            <w:vAlign w:val="bottom"/>
          </w:tcPr>
          <w:p>
            <w:pPr>
              <w:spacing w:after="0"/>
              <w:rPr>
                <w:sz w:val="1"/>
                <w:szCs w:val="1"/>
                <w:color w:val="auto"/>
              </w:rPr>
            </w:pPr>
          </w:p>
        </w:tc>
      </w:tr>
      <w:tr>
        <w:trPr>
          <w:trHeight w:val="270"/>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2,913.0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3,125.2</w:t>
            </w:r>
          </w:p>
        </w:tc>
        <w:tc>
          <w:tcPr>
            <w:tcW w:w="0" w:type="dxa"/>
            <w:vAlign w:val="bottom"/>
          </w:tcPr>
          <w:p>
            <w:pPr>
              <w:spacing w:after="0"/>
              <w:rPr>
                <w:sz w:val="1"/>
                <w:szCs w:val="1"/>
                <w:color w:val="auto"/>
              </w:rPr>
            </w:pPr>
          </w:p>
        </w:tc>
      </w:tr>
      <w:tr>
        <w:trPr>
          <w:trHeight w:val="27"/>
        </w:trPr>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Income before income taxes</w:t>
            </w:r>
          </w:p>
        </w:tc>
        <w:tc>
          <w:tcPr>
            <w:tcW w:w="4540" w:type="dxa"/>
            <w:vAlign w:val="bottom"/>
            <w:gridSpan w:val="2"/>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40" w:type="dxa"/>
            <w:vAlign w:val="bottom"/>
            <w:gridSpan w:val="3"/>
            <w:vMerge w:val="continue"/>
          </w:tcPr>
          <w:p>
            <w:pPr>
              <w:spacing w:after="0" w:line="20" w:lineRule="exact"/>
              <w:rPr>
                <w:sz w:val="1"/>
                <w:szCs w:val="1"/>
                <w:color w:val="auto"/>
              </w:rPr>
            </w:pPr>
          </w:p>
        </w:tc>
        <w:tc>
          <w:tcPr>
            <w:tcW w:w="454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140" w:type="dxa"/>
            <w:vAlign w:val="bottom"/>
            <w:tcBorders>
              <w:bottom w:val="single" w:sz="8" w:color="auto"/>
            </w:tcBorders>
            <w:gridSpan w:val="3"/>
            <w:vMerge w:val="continue"/>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Segment operating profit (loss)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Subsea</w:t>
            </w:r>
          </w:p>
        </w:tc>
        <w:tc>
          <w:tcPr>
            <w:tcW w:w="44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70"/>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Onshore/Offshore</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70"/>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segment operating profit</w:t>
            </w:r>
          </w:p>
        </w:tc>
        <w:tc>
          <w:tcPr>
            <w:tcW w:w="2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Corporate items</w:t>
            </w:r>
          </w:p>
        </w:tc>
        <w:tc>
          <w:tcPr>
            <w:tcW w:w="5520" w:type="dxa"/>
            <w:vAlign w:val="bottom"/>
            <w:gridSpan w:val="3"/>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5"/>
        </w:trPr>
        <w:tc>
          <w:tcPr>
            <w:tcW w:w="1160" w:type="dxa"/>
            <w:vAlign w:val="bottom"/>
            <w:tcBorders>
              <w:bottom w:val="single" w:sz="8" w:color="auto"/>
            </w:tcBorders>
            <w:gridSpan w:val="2"/>
            <w:vMerge w:val="continue"/>
          </w:tcPr>
          <w:p>
            <w:pPr>
              <w:spacing w:after="0"/>
              <w:rPr>
                <w:sz w:val="24"/>
                <w:szCs w:val="24"/>
                <w:color w:val="auto"/>
              </w:rPr>
            </w:pPr>
          </w:p>
        </w:tc>
        <w:tc>
          <w:tcPr>
            <w:tcW w:w="55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Corporate expense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4"/>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corporate items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Net income before income taxes </w:t>
            </w:r>
            <w:r>
              <w:rPr>
                <w:rFonts w:ascii="Times New Roman" w:cs="Times New Roman" w:eastAsia="Times New Roman" w:hAnsi="Times New Roman"/>
                <w:sz w:val="25"/>
                <w:szCs w:val="25"/>
                <w:color w:val="auto"/>
                <w:vertAlign w:val="superscript"/>
              </w:rPr>
              <w:t>(2)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expense primarily includes corporate staff expenses, share-based compensation expenses, other employee benefits, certain foreign exchange gains and losses, and merger transaction and integration expenses.</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attributable to noncontrolling interests.</w:t>
      </w:r>
    </w:p>
    <w:p>
      <w:pPr>
        <w:sectPr>
          <w:pgSz w:w="11900" w:h="16838" w:orient="portrait"/>
          <w:cols w:equalWidth="0" w:num="1">
            <w:col w:w="11420"/>
          </w:cols>
          <w:pgMar w:left="240" w:top="522"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0"/>
        </w:trPr>
        <w:tc>
          <w:tcPr>
            <w:tcW w:w="6760" w:type="dxa"/>
            <w:vAlign w:val="bottom"/>
            <w:gridSpan w:val="2"/>
          </w:tcPr>
          <w:p>
            <w:pPr>
              <w:spacing w:after="0" w:line="229" w:lineRule="exact"/>
              <w:rPr>
                <w:sz w:val="20"/>
                <w:szCs w:val="20"/>
                <w:color w:val="auto"/>
              </w:rPr>
            </w:pPr>
            <w:r>
              <w:rPr>
                <w:rFonts w:ascii="Times New Roman" w:cs="Times New Roman" w:eastAsia="Times New Roman" w:hAnsi="Times New Roman"/>
                <w:sz w:val="18"/>
                <w:szCs w:val="18"/>
                <w:b w:val="1"/>
                <w:bCs w:val="1"/>
                <w:color w:val="auto"/>
              </w:rPr>
              <w:t xml:space="preserve">Inbound Orders </w:t>
            </w:r>
            <w:r>
              <w:rPr>
                <w:rFonts w:ascii="Times New Roman" w:cs="Times New Roman" w:eastAsia="Times New Roman" w:hAnsi="Times New Roman"/>
                <w:sz w:val="25"/>
                <w:szCs w:val="25"/>
                <w:b w:val="1"/>
                <w:bCs w:val="1"/>
                <w:color w:val="auto"/>
                <w:vertAlign w:val="superscript"/>
              </w:rPr>
              <w:t>(1)</w:t>
            </w:r>
          </w:p>
        </w:tc>
        <w:tc>
          <w:tcPr>
            <w:tcW w:w="260" w:type="dxa"/>
            <w:vAlign w:val="bottom"/>
          </w:tcPr>
          <w:p>
            <w:pPr>
              <w:spacing w:after="0"/>
              <w:rPr>
                <w:sz w:val="19"/>
                <w:szCs w:val="19"/>
                <w:color w:val="auto"/>
              </w:rPr>
            </w:pPr>
          </w:p>
        </w:tc>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Pr>
          <w:p>
            <w:pPr>
              <w:spacing w:after="0"/>
              <w:rPr>
                <w:sz w:val="19"/>
                <w:szCs w:val="19"/>
                <w:color w:val="auto"/>
              </w:rPr>
            </w:pPr>
          </w:p>
        </w:tc>
      </w:tr>
      <w:tr>
        <w:trPr>
          <w:trHeight w:val="48"/>
        </w:trPr>
        <w:tc>
          <w:tcPr>
            <w:tcW w:w="1260" w:type="dxa"/>
            <w:vAlign w:val="bottom"/>
            <w:tcBorders>
              <w:top w:val="single" w:sz="8" w:color="auto"/>
            </w:tcBorders>
          </w:tcPr>
          <w:p>
            <w:pPr>
              <w:spacing w:after="0"/>
              <w:rPr>
                <w:sz w:val="4"/>
                <w:szCs w:val="4"/>
                <w:color w:val="auto"/>
              </w:rPr>
            </w:pPr>
          </w:p>
        </w:tc>
        <w:tc>
          <w:tcPr>
            <w:tcW w:w="5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7"/>
        </w:trPr>
        <w:tc>
          <w:tcPr>
            <w:tcW w:w="12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12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2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7"/>
        </w:trPr>
        <w:tc>
          <w:tcPr>
            <w:tcW w:w="12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inbound orders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3,487.0</w:t>
            </w:r>
          </w:p>
        </w:tc>
      </w:tr>
      <w:tr>
        <w:trPr>
          <w:trHeight w:val="20"/>
        </w:trPr>
        <w:tc>
          <w:tcPr>
            <w:tcW w:w="1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8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Order Backlog </w:t>
            </w:r>
            <w:r>
              <w:rPr>
                <w:rFonts w:ascii="Times New Roman" w:cs="Times New Roman" w:eastAsia="Times New Roman" w:hAnsi="Times New Roman"/>
                <w:sz w:val="25"/>
                <w:szCs w:val="25"/>
                <w:b w:val="1"/>
                <w:bCs w:val="1"/>
                <w:color w:val="auto"/>
                <w:vertAlign w:val="superscript"/>
              </w:rPr>
              <w:t>(2)</w:t>
            </w: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24"/>
                <w:szCs w:val="24"/>
                <w:color w:val="auto"/>
              </w:rPr>
            </w:pPr>
          </w:p>
        </w:tc>
      </w:tr>
      <w:tr>
        <w:trPr>
          <w:trHeight w:val="48"/>
        </w:trPr>
        <w:tc>
          <w:tcPr>
            <w:tcW w:w="1140" w:type="dxa"/>
            <w:vAlign w:val="bottom"/>
            <w:tcBorders>
              <w:top w:val="single" w:sz="8" w:color="auto"/>
            </w:tcBorders>
          </w:tcPr>
          <w:p>
            <w:pPr>
              <w:spacing w:after="0"/>
              <w:rPr>
                <w:sz w:val="4"/>
                <w:szCs w:val="4"/>
                <w:color w:val="auto"/>
              </w:rPr>
            </w:pPr>
          </w:p>
        </w:tc>
        <w:tc>
          <w:tcPr>
            <w:tcW w:w="56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7"/>
        </w:trPr>
        <w:tc>
          <w:tcPr>
            <w:tcW w:w="11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2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7,477.3</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6,110.9</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7,491.6</w:t>
            </w: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7"/>
        </w:trPr>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order backlog</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17,777.6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14,012.0</w:t>
            </w: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Inbound orders represent the estimated sales value of confirmed customer orders received during the reporting period.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backlog is calculated as the estimated sales value of unfilled, confirmed customer orders at the reporting date.</w:t>
      </w:r>
    </w:p>
    <w:p>
      <w:pPr>
        <w:sectPr>
          <w:pgSz w:w="11900" w:h="16838" w:orient="portrait"/>
          <w:cols w:equalWidth="0" w:num="1">
            <w:col w:w="11420"/>
          </w:cols>
          <w:pgMar w:left="240" w:top="522"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17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u w:val="single" w:color="auto"/>
          <w:color w:val="auto"/>
        </w:rPr>
        <w:t>TECHNIPFMC PLC AND CONSOLIDATED SUBSIDIARIES</w:t>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214"/>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2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4,965.3</w:t>
            </w:r>
          </w:p>
        </w:tc>
        <w:tc>
          <w:tcPr>
            <w:tcW w:w="10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5,540.0</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2,469.7</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1,251.2</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w:t>
            </w: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11,781.2</w:t>
            </w:r>
          </w:p>
        </w:tc>
      </w:tr>
      <w:tr>
        <w:trPr>
          <w:trHeight w:val="55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7,607.6</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25,671.9</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24,784.5</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4,085.1</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w:t>
            </w: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9,134.4</w:t>
            </w:r>
          </w:p>
        </w:tc>
      </w:tr>
      <w:tr>
        <w:trPr>
          <w:trHeight w:val="55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4,124.3</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TechnipFMC plc stockholders’ equity</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10,399.6</w:t>
            </w: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25,671.9</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24,784.5</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80"/>
          </w:cols>
          <w:pgMar w:left="1380" w:top="522"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6"/>
          <w:szCs w:val="16"/>
          <w:b w:val="1"/>
          <w:bCs w:val="1"/>
          <w:color w:val="auto"/>
        </w:rPr>
        <w:t>Exhibit 5</w:t>
      </w:r>
    </w:p>
    <w:p>
      <w:pPr>
        <w:spacing w:after="0" w:line="1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t>TECHNIPFMC PLC AND CONSOLIDATED SUBSIDIARIES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t>CONSOLIDATED STATEMENTS OF CASH FLOWS</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provided (required) by operating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3"/>
                <w:szCs w:val="23"/>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(required)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benefit plan and share-based compensation costs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 (benefit),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on derivative instruments and foreign exchange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equity affiliates, net of dividends received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Trade receivables, net and contract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trade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payable (receivable),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 and liabilities,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provided (required) by operating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provided (required) by investing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6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to acquire debt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provided (required) by investing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required by financing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6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in short-term debt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decrease in commercial paper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ordinary shares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Settlements of mandatorily redeemable financial liability</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required by financing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changes in foreign exchange rates on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6,737.4</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4,965.3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6,220.6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00"/>
          </w:cols>
          <w:pgMar w:left="1360" w:top="529"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4"/>
          <w:szCs w:val="14"/>
          <w:b w:val="1"/>
          <w:bCs w:val="1"/>
          <w:color w:val="auto"/>
        </w:rPr>
        <w:t>Exhibit 6</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RECONCILIATION OF GAAP TO NON-GAAP FINANCIAL MEASURES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Charges and Credits</w:t>
      </w:r>
    </w:p>
    <w:p>
      <w:pPr>
        <w:spacing w:after="0" w:line="1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In addition to financial results determined in accordance with U.S. generally accepted accounting principles (GAAP), the first quarter 2019 Earnings Release also includes non-GAAP financial measures (as defined in Item 10 of Regulation S-K of the Securities Exchange Act of 1934, as amended) and describes performance on a year-over-year basis against 2018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84455</wp:posOffset>
            </wp:positionV>
            <wp:extent cx="4673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1"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21"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3"/>
          <w:szCs w:val="13"/>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20955</wp:posOffset>
            </wp:positionV>
            <wp:extent cx="4673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19"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Earnings (loss)</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before net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Income (loss)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interest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before net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expense,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expense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income taxes,</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income (loss)</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and income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depreciation</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income (loss)</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Provision for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Net interest</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amortization</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TechnipFMC plc</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income taxes</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profit)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(EBITDA)</w:t>
            </w:r>
          </w:p>
        </w:tc>
        <w:tc>
          <w:tcPr>
            <w:tcW w:w="0" w:type="dxa"/>
            <w:vAlign w:val="bottom"/>
          </w:tcPr>
          <w:p>
            <w:pPr>
              <w:spacing w:after="0"/>
              <w:rPr>
                <w:sz w:val="1"/>
                <w:szCs w:val="1"/>
                <w:color w:val="auto"/>
              </w:rPr>
            </w:pPr>
          </w:p>
        </w:tc>
      </w:tr>
      <w:tr>
        <w:trPr>
          <w:trHeight w:val="241"/>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TechnipFMC plc, as reported</w:t>
            </w:r>
          </w:p>
        </w:tc>
        <w:tc>
          <w:tcPr>
            <w:tcW w:w="14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119.4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0" w:type="dxa"/>
            <w:vAlign w:val="bottom"/>
          </w:tcPr>
          <w:p>
            <w:pPr>
              <w:spacing w:after="0"/>
              <w:rPr>
                <w:sz w:val="1"/>
                <w:szCs w:val="1"/>
                <w:color w:val="auto"/>
              </w:rPr>
            </w:pPr>
          </w:p>
        </w:tc>
      </w:tr>
      <w:tr>
        <w:trPr>
          <w:trHeight w:val="486"/>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Charges and (credits):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Impairment and 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charges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Restructuring and 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severance charges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Business combination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transaction and integration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costs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27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Reorganization</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Purchase price accounting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adjustment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0"/>
        </w:trPr>
        <w:tc>
          <w:tcPr>
            <w:tcW w:w="1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Valuation allowance</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2"/>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financial measures</w:t>
            </w:r>
          </w:p>
        </w:tc>
        <w:tc>
          <w:tcPr>
            <w:tcW w:w="14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110.9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295.8</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attributable to TechnipFMC plc,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reported</w:t>
            </w:r>
          </w:p>
        </w:tc>
        <w:tc>
          <w:tcPr>
            <w:tcW w:w="14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diluted earnings (loss)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per share attributable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TechnipFMC plc</w:t>
            </w:r>
          </w:p>
        </w:tc>
        <w:tc>
          <w:tcPr>
            <w:tcW w:w="14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March 31, 2018</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Earnings before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net interest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expense,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income taxes,</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Net income</w:t>
            </w:r>
          </w:p>
        </w:tc>
        <w:tc>
          <w:tcPr>
            <w:tcW w:w="11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income (loss)</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depreciation</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TechnipFMC</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Provision for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Net interest</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amortization</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plc</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income taxes</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profit)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(EBITDA)</w:t>
            </w:r>
          </w:p>
        </w:tc>
        <w:tc>
          <w:tcPr>
            <w:tcW w:w="0" w:type="dxa"/>
            <w:vAlign w:val="bottom"/>
          </w:tcPr>
          <w:p>
            <w:pPr>
              <w:spacing w:after="0"/>
              <w:rPr>
                <w:sz w:val="1"/>
                <w:szCs w:val="1"/>
                <w:color w:val="auto"/>
              </w:rPr>
            </w:pPr>
          </w:p>
        </w:tc>
      </w:tr>
      <w:tr>
        <w:trPr>
          <w:trHeight w:val="241"/>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TechnipFMC plc, as reported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359.9</w:t>
            </w:r>
          </w:p>
        </w:tc>
        <w:tc>
          <w:tcPr>
            <w:tcW w:w="0" w:type="dxa"/>
            <w:vAlign w:val="bottom"/>
          </w:tcPr>
          <w:p>
            <w:pPr>
              <w:spacing w:after="0"/>
              <w:rPr>
                <w:sz w:val="1"/>
                <w:szCs w:val="1"/>
                <w:color w:val="auto"/>
              </w:rPr>
            </w:pPr>
          </w:p>
        </w:tc>
      </w:tr>
      <w:tr>
        <w:trPr>
          <w:trHeight w:val="486"/>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Charges and (credits):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w w:val="96"/>
              </w:rPr>
              <w:t>Impairment and other charges</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Restructuring and 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severance charges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Business combination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transaction and integration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costs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Purchase price accounting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adjustment</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241"/>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financial measures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110.1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386.6</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7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5"/>
              </w:rPr>
              <w:t>attributable to TechnipFMC plc, as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reported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diluted earnings (loss)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per share attributable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TechnipFMC plc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0"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171" w:lineRule="exact"/>
        <w:rPr>
          <w:sz w:val="20"/>
          <w:szCs w:val="20"/>
          <w:color w:val="auto"/>
        </w:rPr>
      </w:pPr>
    </w:p>
    <w:p>
      <w:pPr>
        <w:jc w:val="center"/>
        <w:ind w:right="11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TECHNIPFMC PLC AND CONSOLIDATED SUBSIDIARIES RECONCILIATION OF GAAP TO NON-GAAP FINANCIAL MEASURES </w:t>
      </w:r>
      <w:r>
        <w:rPr>
          <w:rFonts w:ascii="Times New Roman" w:cs="Times New Roman" w:eastAsia="Times New Roman" w:hAnsi="Times New Roman"/>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71120</wp:posOffset>
            </wp:positionV>
            <wp:extent cx="3232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Subsea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5" w:lineRule="exact"/>
              <w:rPr>
                <w:sz w:val="20"/>
                <w:szCs w:val="20"/>
                <w:color w:val="auto"/>
              </w:rPr>
            </w:pPr>
            <w:r>
              <w:rPr>
                <w:rFonts w:ascii="Times New Roman" w:cs="Times New Roman" w:eastAsia="Times New Roman" w:hAnsi="Times New Roman"/>
                <w:sz w:val="14"/>
                <w:szCs w:val="14"/>
                <w:b w:val="1"/>
                <w:bCs w:val="1"/>
                <w:color w:val="auto"/>
              </w:rPr>
              <w:t>Onshore/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Surface</w:t>
            </w:r>
          </w:p>
        </w:tc>
        <w:tc>
          <w:tcPr>
            <w:tcW w:w="100" w:type="dxa"/>
            <w:vAlign w:val="bottom"/>
          </w:tcPr>
          <w:p>
            <w:pPr>
              <w:spacing w:after="0"/>
              <w:rPr>
                <w:sz w:val="12"/>
                <w:szCs w:val="12"/>
                <w:color w:val="auto"/>
              </w:rPr>
            </w:pPr>
          </w:p>
        </w:tc>
        <w:tc>
          <w:tcPr>
            <w:tcW w:w="9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Offshore</w:t>
            </w: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1,335.1</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392.6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2,913.0</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155.7</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Reorganization</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7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price accounting adjustments - amortization related</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45"/>
        </w:trPr>
        <w:tc>
          <w:tcPr>
            <w:tcW w:w="4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184.9</w:t>
            </w:r>
          </w:p>
        </w:tc>
        <w:tc>
          <w:tcPr>
            <w:tcW w:w="0" w:type="dxa"/>
            <w:vAlign w:val="bottom"/>
          </w:tcPr>
          <w:p>
            <w:pPr>
              <w:spacing w:after="0"/>
              <w:rPr>
                <w:sz w:val="1"/>
                <w:szCs w:val="1"/>
                <w:color w:val="auto"/>
              </w:rPr>
            </w:pPr>
          </w:p>
        </w:tc>
      </w:tr>
      <w:tr>
        <w:trPr>
          <w:trHeight w:val="44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194.8</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503555</wp:posOffset>
            </wp:positionV>
            <wp:extent cx="3232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Subsea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5" w:lineRule="exact"/>
              <w:rPr>
                <w:sz w:val="20"/>
                <w:szCs w:val="20"/>
                <w:color w:val="auto"/>
              </w:rPr>
            </w:pPr>
            <w:r>
              <w:rPr>
                <w:rFonts w:ascii="Times New Roman" w:cs="Times New Roman" w:eastAsia="Times New Roman" w:hAnsi="Times New Roman"/>
                <w:sz w:val="14"/>
                <w:szCs w:val="14"/>
                <w:b w:val="1"/>
                <w:bCs w:val="1"/>
                <w:color w:val="auto"/>
              </w:rPr>
              <w:t>Onshore/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Surface</w:t>
            </w:r>
          </w:p>
        </w:tc>
        <w:tc>
          <w:tcPr>
            <w:tcW w:w="100" w:type="dxa"/>
            <w:vAlign w:val="bottom"/>
          </w:tcPr>
          <w:p>
            <w:pPr>
              <w:spacing w:after="0"/>
              <w:rPr>
                <w:sz w:val="12"/>
                <w:szCs w:val="12"/>
                <w:color w:val="auto"/>
              </w:rPr>
            </w:pPr>
          </w:p>
        </w:tc>
        <w:tc>
          <w:tcPr>
            <w:tcW w:w="9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Offshore</w:t>
            </w: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1,573.4</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371.6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3,125.2</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202.9</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63"/>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price accounting adjustments - non-amortization</w:t>
            </w:r>
          </w:p>
        </w:tc>
        <w:tc>
          <w:tcPr>
            <w:tcW w:w="18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8"/>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related</w:t>
            </w: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price accounting adjustments - amortization related</w:t>
            </w: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45"/>
        </w:trPr>
        <w:tc>
          <w:tcPr>
            <w:tcW w:w="4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Subtotal</w:t>
            </w:r>
          </w:p>
        </w:tc>
        <w:tc>
          <w:tcPr>
            <w:tcW w:w="180" w:type="dxa"/>
            <w:vAlign w:val="bottom"/>
          </w:tcPr>
          <w:p>
            <w:pPr>
              <w:spacing w:after="0"/>
              <w:rPr>
                <w:sz w:val="21"/>
                <w:szCs w:val="21"/>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276.5</w:t>
            </w:r>
          </w:p>
        </w:tc>
        <w:tc>
          <w:tcPr>
            <w:tcW w:w="0" w:type="dxa"/>
            <w:vAlign w:val="bottom"/>
          </w:tcPr>
          <w:p>
            <w:pPr>
              <w:spacing w:after="0"/>
              <w:rPr>
                <w:sz w:val="1"/>
                <w:szCs w:val="1"/>
                <w:color w:val="auto"/>
              </w:rPr>
            </w:pPr>
          </w:p>
        </w:tc>
      </w:tr>
      <w:tr>
        <w:trPr>
          <w:trHeight w:val="44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110.1</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215.0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386.6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1400" w:top="522" w:right="239" w:bottom="721" w:gutter="0" w:footer="0" w:header="0"/>
        </w:sectPr>
      </w:pPr>
    </w:p>
    <w:p>
      <w:pPr>
        <w:spacing w:after="0" w:line="71" w:lineRule="exact"/>
        <w:rPr>
          <w:sz w:val="20"/>
          <w:szCs w:val="20"/>
          <w:color w:val="auto"/>
        </w:rPr>
      </w:pPr>
    </w:p>
    <w:p>
      <w:pPr>
        <w:spacing w:after="0"/>
        <w:tabs>
          <w:tab w:leader="none" w:pos="4560" w:val="left"/>
          <w:tab w:leader="none" w:pos="5600" w:val="left"/>
          <w:tab w:leader="none" w:pos="6660" w:val="left"/>
          <w:tab w:leader="none" w:pos="8720" w:val="left"/>
        </w:tabs>
        <w:rPr>
          <w:sz w:val="20"/>
          <w:szCs w:val="20"/>
          <w:color w:val="auto"/>
        </w:rPr>
      </w:pPr>
      <w:r>
        <w:rPr>
          <w:rFonts w:ascii="Times New Roman" w:cs="Times New Roman" w:eastAsia="Times New Roman" w:hAnsi="Times New Roman"/>
          <w:sz w:val="14"/>
          <w:szCs w:val="14"/>
          <w:color w:val="auto"/>
        </w:rPr>
        <w:t>Adjusted EBITDA margin</w:t>
      </w:r>
      <w:r>
        <w:rPr>
          <w:sz w:val="20"/>
          <w:szCs w:val="20"/>
          <w:color w:val="auto"/>
        </w:rPr>
        <w:tab/>
      </w:r>
      <w:r>
        <w:rPr>
          <w:rFonts w:ascii="Times New Roman" w:cs="Times New Roman" w:eastAsia="Times New Roman" w:hAnsi="Times New Roman"/>
          <w:sz w:val="14"/>
          <w:szCs w:val="14"/>
          <w:color w:val="auto"/>
        </w:rPr>
        <w:t>14.6%</w:t>
      </w:r>
      <w:r>
        <w:rPr>
          <w:sz w:val="20"/>
          <w:szCs w:val="20"/>
          <w:color w:val="auto"/>
        </w:rPr>
        <w:tab/>
      </w:r>
      <w:r>
        <w:rPr>
          <w:rFonts w:ascii="Times New Roman" w:cs="Times New Roman" w:eastAsia="Times New Roman" w:hAnsi="Times New Roman"/>
          <w:sz w:val="14"/>
          <w:szCs w:val="14"/>
          <w:color w:val="auto"/>
        </w:rPr>
        <w:t>13.7%</w:t>
      </w:r>
      <w:r>
        <w:rPr>
          <w:sz w:val="20"/>
          <w:szCs w:val="20"/>
          <w:color w:val="auto"/>
        </w:rPr>
        <w:tab/>
      </w:r>
      <w:r>
        <w:rPr>
          <w:rFonts w:ascii="Times New Roman" w:cs="Times New Roman" w:eastAsia="Times New Roman" w:hAnsi="Times New Roman"/>
          <w:sz w:val="14"/>
          <w:szCs w:val="14"/>
          <w:color w:val="auto"/>
        </w:rPr>
        <w:t>13.5%</w:t>
      </w:r>
      <w:r>
        <w:rPr>
          <w:sz w:val="20"/>
          <w:szCs w:val="20"/>
          <w:color w:val="auto"/>
        </w:rPr>
        <w:tab/>
      </w:r>
      <w:r>
        <w:rPr>
          <w:rFonts w:ascii="Times New Roman" w:cs="Times New Roman" w:eastAsia="Times New Roman" w:hAnsi="Times New Roman"/>
          <w:sz w:val="13"/>
          <w:szCs w:val="13"/>
          <w:color w:val="auto"/>
        </w:rPr>
        <w:t>12.4%</w:t>
      </w:r>
    </w:p>
    <w:p>
      <w:pPr>
        <w:sectPr>
          <w:pgSz w:w="11900" w:h="16838" w:orient="portrait"/>
          <w:cols w:equalWidth="0" w:num="1">
            <w:col w:w="10260"/>
          </w:cols>
          <w:pgMar w:left="1400" w:top="522" w:right="239" w:bottom="721" w:gutter="0" w:footer="0" w:header="0"/>
          <w:type w:val="continuous"/>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8</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TECHNIPFMC PLC AND CONSOLIDATED SUBSIDIARIES RECONCILIATION OF GAAP TO NON-GAAP FINANCIAL MEASURES </w:t>
      </w:r>
      <w:r>
        <w:rPr>
          <w:rFonts w:ascii="Times New Roman" w:cs="Times New Roman" w:eastAsia="Times New Roman" w:hAnsi="Times New Roman"/>
          <w:sz w:val="18"/>
          <w:szCs w:val="18"/>
          <w:b w:val="1"/>
          <w:bCs w:val="1"/>
          <w:color w:val="auto"/>
        </w:rPr>
        <w:t>(In millions, unaudited)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4,965.3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5,540.0</w:t>
            </w: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(4,124.3)</w:t>
            </w:r>
          </w:p>
        </w:tc>
      </w:tr>
      <w:tr>
        <w:trPr>
          <w:trHeight w:val="27"/>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1,348.3</w:t>
            </w: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sectPr>
      <w:pgSz w:w="11900" w:h="16838" w:orient="portrait"/>
      <w:cols w:equalWidth="0" w:num="1">
        <w:col w:w="11420"/>
      </w:cols>
      <w:pgMar w:left="240" w:top="5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2019-12-28T13:43:39Z</dcterms:created>
  <dcterms:modified xsi:type="dcterms:W3CDTF">2019-12-28T13:43:39Z</dcterms:modified>
</cp:coreProperties>
</file>