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0" w:hAnchor="page" w:vAnchor="page" w:x="280" w:y="129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-GCGPD" w:hAnsi="DejaVuSans-GCGPD" w:fareast="DejaVuSans-GCGPD" w:cs="DejaVuSans-GCGPD"/>
          <w:color w:val="000000"/>
          <w:w w:val="100"/>
          <w:sz w:val="20"/>
          <w:szCs w:val="20"/>
        </w:rPr>
        <w:t>☐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Rule 13q-1 under the Securities Exchange Act (17 CFR 240.13q-1) for the fiscal year ended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___________________</w:t>
      </w:r>
    </w:p>
    <w:p>
      <w:pPr>
        <w:pStyle w:val="Normal"/>
        <w:framePr w:w="2368" w:hAnchor="page" w:vAnchor="page" w:x="280" w:y="124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December 31, 2025</w:t>
      </w:r>
    </w:p>
    <w:p>
      <w:pPr>
        <w:pStyle w:val="Normal"/>
        <w:framePr w:w="12177" w:hAnchor="page" w:vAnchor="page" w:x="280" w:y="12101"/>
        <w:widowControl w:val="off"/>
        <w:autoSpaceDE w:val="off"/>
        <w:autoSpaceDN w:val="off"/>
        <w:spacing w:before="0" w:after="0" w:line="2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DejaVuSans" w:hAnsi="DejaVuSans" w:fareast="DejaVuSans" w:cs="DejaVuSans"/>
          <w:color w:val="000000"/>
          <w:w w:val="100"/>
          <w:sz w:val="22"/>
          <w:szCs w:val="22"/>
        </w:rPr>
        <w:t>☑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Rule 13p-1 under the Securities Exchange Act (17 CFR 240.13p-1) for the reporting period from January 1 to</w:t>
      </w:r>
    </w:p>
    <w:p>
      <w:pPr>
        <w:pStyle w:val="Normal"/>
        <w:framePr w:w="3995" w:hAnchor="page" w:vAnchor="page" w:x="280" w:y="115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information in this form applies:</w:t>
      </w:r>
    </w:p>
    <w:p>
      <w:pPr>
        <w:pStyle w:val="Normal"/>
        <w:framePr w:w="12996" w:hAnchor="page" w:vAnchor="page" w:x="280" w:y="112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Check the appropriate box to indicate the rule pursuant to which this form is being filed, and provide the period to which</w:t>
      </w:r>
    </w:p>
    <w:p>
      <w:pPr>
        <w:pStyle w:val="Normal"/>
        <w:framePr w:w="11624" w:hAnchor="page" w:vAnchor="page" w:x="921" w:y="109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(Name and telephone number, including area code, of the person to contact in connection with this report.)</w:t>
      </w:r>
    </w:p>
    <w:p>
      <w:pPr>
        <w:pStyle w:val="Normal"/>
        <w:framePr w:w="1897" w:hAnchor="page" w:vAnchor="page" w:x="5368" w:y="106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(281) 591-4000</w:t>
      </w:r>
    </w:p>
    <w:p>
      <w:pPr>
        <w:pStyle w:val="Normal"/>
        <w:framePr w:w="5756" w:hAnchor="page" w:vAnchor="page" w:x="3614" w:y="103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Legal Director, Corporate - Global Sustainability</w:t>
      </w:r>
    </w:p>
    <w:p>
      <w:pPr>
        <w:pStyle w:val="Normal"/>
        <w:framePr w:w="1829" w:hAnchor="page" w:vAnchor="page" w:x="5398" w:y="101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Davis Stewart</w:t>
      </w:r>
    </w:p>
    <w:p>
      <w:pPr>
        <w:pStyle w:val="Normal"/>
        <w:framePr w:w="1071" w:hAnchor="page" w:vAnchor="page" w:x="1772" w:y="97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Offices)</w:t>
      </w:r>
    </w:p>
    <w:p>
      <w:pPr>
        <w:pStyle w:val="Normal"/>
        <w:framePr w:w="3592" w:hAnchor="page" w:vAnchor="page" w:x="627" w:y="95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(Address of Principal Executive</w:t>
      </w:r>
    </w:p>
    <w:p>
      <w:pPr>
        <w:pStyle w:val="Normal"/>
        <w:framePr w:w="1385" w:hAnchor="page" w:vAnchor="page" w:x="9571" w:y="95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(Zip Code)</w:t>
      </w:r>
    </w:p>
    <w:p>
      <w:pPr>
        <w:pStyle w:val="Normal"/>
        <w:framePr w:w="3107" w:hAnchor="page" w:vAnchor="page" w:x="847" w:y="92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States of America</w:t>
      </w:r>
    </w:p>
    <w:p>
      <w:pPr>
        <w:pStyle w:val="Normal"/>
        <w:framePr w:w="915" w:hAnchor="page" w:vAnchor="page" w:x="9785" w:y="9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77044</w:t>
      </w:r>
    </w:p>
    <w:p>
      <w:pPr>
        <w:pStyle w:val="Normal"/>
        <w:framePr w:w="2161" w:hAnchor="page" w:vAnchor="page" w:x="1277" w:y="89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 Houston, Texas </w:t>
      </w:r>
    </w:p>
    <w:p>
      <w:pPr>
        <w:pStyle w:val="Normal"/>
        <w:framePr w:w="2273" w:hAnchor="page" w:vAnchor="page" w:x="1226" w:y="86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One Subsea Lane</w:t>
      </w:r>
    </w:p>
    <w:p>
      <w:pPr>
        <w:pStyle w:val="Normal"/>
        <w:framePr w:w="3659" w:hAnchor="page" w:vAnchor="page" w:x="566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incorporation or organization)</w:t>
      </w:r>
    </w:p>
    <w:p>
      <w:pPr>
        <w:pStyle w:val="Normal"/>
        <w:framePr w:w="2125" w:hAnchor="page" w:vAnchor="page" w:x="9272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Identification No.)</w:t>
      </w:r>
    </w:p>
    <w:p>
      <w:pPr>
        <w:pStyle w:val="Normal"/>
        <w:framePr w:w="3067" w:hAnchor="page" w:vAnchor="page" w:x="835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(State or other jurisdiction </w:t>
      </w:r>
    </w:p>
    <w:p>
      <w:pPr>
        <w:pStyle w:val="Normal"/>
        <w:framePr w:w="3120" w:hAnchor="page" w:vAnchor="page" w:x="4819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(Commission File Number)</w:t>
      </w:r>
    </w:p>
    <w:p>
      <w:pPr>
        <w:pStyle w:val="Normal"/>
        <w:framePr w:w="2085" w:hAnchor="page" w:vAnchor="page" w:x="9291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(I.R.S. Employer </w:t>
      </w:r>
    </w:p>
    <w:p>
      <w:pPr>
        <w:pStyle w:val="Normal"/>
        <w:framePr w:w="2452" w:hAnchor="page" w:vAnchor="page" w:x="1115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England and Wales</w:t>
      </w:r>
    </w:p>
    <w:p>
      <w:pPr>
        <w:pStyle w:val="Normal"/>
        <w:framePr w:w="1399" w:hAnchor="page" w:vAnchor="page" w:x="5601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001-37983</w:t>
      </w:r>
    </w:p>
    <w:p>
      <w:pPr>
        <w:pStyle w:val="Normal"/>
        <w:framePr w:w="1534" w:hAnchor="page" w:vAnchor="page" w:x="9541" w:y="73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98-1283037</w:t>
      </w:r>
    </w:p>
    <w:p>
      <w:pPr>
        <w:pStyle w:val="Normal"/>
        <w:framePr w:w="2800" w:hAnchor="page" w:vAnchor="page" w:x="4957" w:y="67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5757" w:hAnchor="page" w:vAnchor="page" w:x="3613" w:y="61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(Exact name of registrant as specified in its charter)</w:t>
      </w:r>
    </w:p>
    <w:p>
      <w:pPr>
        <w:pStyle w:val="Normal"/>
        <w:framePr w:w="2093" w:hAnchor="page" w:vAnchor="page" w:x="5279" w:y="57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4572" w:hAnchor="page" w:vAnchor="page" w:x="4152" w:y="48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SPECIALIZED DISCLOSURE REPORT</w:t>
      </w:r>
    </w:p>
    <w:p>
      <w:pPr>
        <w:pStyle w:val="Normal"/>
        <w:framePr w:w="2800" w:hAnchor="page" w:vAnchor="page" w:x="4957" w:y="42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1358" w:hAnchor="page" w:vAnchor="page" w:x="5613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FORM SD</w:t>
      </w:r>
    </w:p>
    <w:p>
      <w:pPr>
        <w:pStyle w:val="Normal"/>
        <w:framePr w:w="2800" w:hAnchor="page" w:vAnchor="page" w:x="4957" w:y="36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___________________</w:t>
      </w:r>
    </w:p>
    <w:p>
      <w:pPr>
        <w:pStyle w:val="Normal"/>
        <w:framePr w:w="2842" w:hAnchor="page" w:vAnchor="page" w:x="4938" w:y="29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Washington, DC 20549</w:t>
      </w:r>
    </w:p>
    <w:p>
      <w:pPr>
        <w:pStyle w:val="Normal"/>
        <w:framePr w:w="5379" w:hAnchor="page" w:vAnchor="page" w:x="3785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SECURITIES AND EXCHANGE COMMISSION</w:t>
      </w:r>
    </w:p>
    <w:p>
      <w:pPr>
        <w:pStyle w:val="Normal"/>
        <w:framePr w:w="2129" w:hAnchor="page" w:vAnchor="page" w:x="5262" w:y="24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68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69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68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68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90.3pt;z-index:-1677719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46.85pt;margin-top:191.65pt;z-index:-16777188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246.85pt;margin-top:222.45pt;z-index:-16777184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246.85pt;margin-top:348.55pt;z-index:-16777180;width:11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669.8pt;z-index:-167771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672.05pt;z-index:-167771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5.5pt;margin-top:669.8pt;z-index:-16777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95.5pt;margin-top:672.05pt;z-index:-16777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8.25pt;margin-top:669.8pt;z-index:-16777160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8.25pt;margin-top:672.05pt;z-index:-16777156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669.8pt;z-index:-167771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672.05pt;z-index:-167771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</w:p>
    <w:p>
      <w:pPr>
        <w:pStyle w:val="Normal"/>
        <w:framePr w:w="3699" w:hAnchor="page" w:vAnchor="page" w:x="280" w:y="80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1.01     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Conflict Minerals Report</w:t>
      </w:r>
    </w:p>
    <w:p>
      <w:pPr>
        <w:pStyle w:val="Normal"/>
        <w:framePr w:w="4022" w:hAnchor="page" w:vAnchor="page" w:x="280" w:y="75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Exhibit No.     Description of Exhibit</w:t>
      </w:r>
    </w:p>
    <w:p>
      <w:pPr>
        <w:pStyle w:val="Normal"/>
        <w:framePr w:w="2556" w:hAnchor="page" w:vAnchor="page" w:x="280" w:y="70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3.01     Exhibits</w:t>
      </w:r>
    </w:p>
    <w:p>
      <w:pPr>
        <w:pStyle w:val="Normal"/>
        <w:framePr w:w="2529" w:hAnchor="page" w:vAnchor="page" w:x="280" w:y="65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3 – Exhibits</w:t>
      </w:r>
    </w:p>
    <w:p>
      <w:pPr>
        <w:pStyle w:val="Normal"/>
        <w:framePr w:w="5618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TechnipFMC’s CMR is filed as Exhibit 1.01 hereto.</w:t>
      </w:r>
    </w:p>
    <w:p>
      <w:pPr>
        <w:pStyle w:val="Normal"/>
        <w:framePr w:w="2152" w:hAnchor="page" w:vAnchor="page" w:x="280" w:y="53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1.02 Exhibit</w:t>
      </w:r>
    </w:p>
    <w:p>
      <w:pPr>
        <w:pStyle w:val="Normal"/>
        <w:framePr w:w="11709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A copy of this Form SD and CMR are publicly available on the Company's website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9188" w:hAnchor="page" w:vAnchor="page" w:x="280" w:y="39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determined that these minerals may not have come from recycled or scrap sources.</w:t>
      </w:r>
    </w:p>
    <w:p>
      <w:pPr>
        <w:pStyle w:val="Normal"/>
        <w:framePr w:w="13077" w:hAnchor="page" w:vAnchor="page" w:x="280" w:y="37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Congo or an adjoining country and are necessary to the functionality or production of such product(s). TechnipFMC</w:t>
      </w:r>
    </w:p>
    <w:p>
      <w:pPr>
        <w:pStyle w:val="Normal"/>
        <w:framePr w:w="13081" w:hAnchor="page" w:vAnchor="page" w:x="280" w:y="34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 contracts to manufacture may contain tin, tungsten, tantalum, and/or gold originating in the Democratic Republic of</w:t>
      </w:r>
    </w:p>
    <w:p>
      <w:pPr>
        <w:pStyle w:val="Normal"/>
        <w:framePr w:w="13079" w:hAnchor="page" w:vAnchor="page" w:x="280" w:y="32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December 31, 2025 (the “CMR”), evaluated its product lines and determined that certain products that it manufactures</w:t>
      </w:r>
    </w:p>
    <w:p>
      <w:pPr>
        <w:pStyle w:val="Normal"/>
        <w:framePr w:w="13088" w:hAnchor="page" w:vAnchor="page" w:x="280" w:y="29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diligence,  as  further  outlined  in  the  Conflict  Minerals  Report  attached  hereto  as  Exhibit  1.01  for  the  year  ended</w:t>
      </w:r>
    </w:p>
    <w:p>
      <w:pPr>
        <w:pStyle w:val="Normal"/>
        <w:framePr w:w="13087" w:hAnchor="page" w:vAnchor="page" w:x="280" w:y="27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plc (the “Company” and “TechnipFMC”), through a good faith, reasonable country of origin inquiry and subsequent due</w:t>
      </w:r>
    </w:p>
    <w:p>
      <w:pPr>
        <w:pStyle w:val="Normal"/>
        <w:framePr w:w="13076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 accordance with the requirements of Rule 13p-1 of the Securities Exchange Act of 1934, as amended, TechnipFMC</w:t>
      </w:r>
    </w:p>
    <w:p>
      <w:pPr>
        <w:pStyle w:val="Normal"/>
        <w:framePr w:w="6214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Item 1.01     Conflict Minerals Disclosure and Report</w:t>
      </w:r>
    </w:p>
    <w:p>
      <w:pPr>
        <w:pStyle w:val="Normal"/>
        <w:framePr w:w="4842" w:hAnchor="page" w:vAnchor="page" w:x="280" w:y="150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Section 1 – Conflict Minerals Disclosure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pt;margin-top:1pt;z-index:-167771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pt;margin-top:539.2pt;z-index:-167771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539.95pt;z-index:-167771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596.25pt;margin-top:539.2pt;z-index:-167771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539.2pt;z-index:-167771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27.85pt;margin-top:233.7pt;z-index:-16777124;width:10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386.05pt;z-index:-16777120;width:55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81.5pt;margin-top:386.05pt;z-index:-16777116;width:10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.75pt;margin-top:411.6pt;z-index:-16777112;width:119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52.75pt;margin-top:411.6pt;z-index:-16777108;width:119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</w:p>
    <w:p>
      <w:pPr>
        <w:pStyle w:val="Normal"/>
        <w:framePr w:w="2535" w:hAnchor="page" w:vAnchor="page" w:x="4188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    and Secretary</w:t>
      </w:r>
    </w:p>
    <w:p>
      <w:pPr>
        <w:pStyle w:val="Normal"/>
        <w:framePr w:w="5654" w:hAnchor="page" w:vAnchor="page" w:x="4188" w:y="46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Title: Executive Vice President, Chief Legal Officer </w:t>
      </w:r>
    </w:p>
    <w:p>
      <w:pPr>
        <w:pStyle w:val="Normal"/>
        <w:framePr w:w="2336" w:hAnchor="page" w:vAnchor="page" w:x="30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Date: May 19, 2026</w:t>
      </w:r>
    </w:p>
    <w:p>
      <w:pPr>
        <w:pStyle w:val="Normal"/>
        <w:framePr w:w="2709" w:hAnchor="page" w:vAnchor="page" w:x="4188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669" w:hAnchor="page" w:vAnchor="page" w:x="4188" w:y="4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2093" w:hAnchor="page" w:vAnchor="page" w:x="4188" w:y="34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7252" w:hAnchor="page" w:vAnchor="page" w:x="280" w:y="22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signed on its behalf by the undersigned hereunto duly authorized.</w:t>
      </w:r>
    </w:p>
    <w:p>
      <w:pPr>
        <w:pStyle w:val="Normal"/>
        <w:framePr w:w="12714" w:hAnchor="page" w:vAnchor="page" w:x="280" w:y="20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Pursuant to the requirements of the Securities Exchange Act of 1934, the registrant has duly caused this report to be</w:t>
      </w:r>
    </w:p>
    <w:p>
      <w:pPr>
        <w:pStyle w:val="Normal"/>
        <w:framePr w:w="1811" w:hAnchor="page" w:vAnchor="page" w:x="5407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SIGNATURES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pt;margin-top:1pt;z-index:-167771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07.4pt;margin-top:214.2pt;z-index:-16777100;width:30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</w:p>
    <w:p>
      <w:pPr>
        <w:pStyle w:val="Normal"/>
        <w:framePr w:w="1937" w:hAnchor="page" w:vAnchor="page" w:x="280" w:y="128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 TechnipFMC.</w:t>
      </w:r>
    </w:p>
    <w:p>
      <w:pPr>
        <w:pStyle w:val="Normal"/>
        <w:framePr w:w="13074" w:hAnchor="page" w:vAnchor="page" w:x="280" w:y="125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those suppliers regarding the presence and sourcing of 3TG used in the products and components they have supplied</w:t>
      </w:r>
    </w:p>
    <w:p>
      <w:pPr>
        <w:pStyle w:val="Normal"/>
        <w:framePr w:w="13080" w:hAnchor="page" w:vAnchor="page" w:x="280" w:y="123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TechnipFMC’s  influence  over  the  manufacturing  process  and  potential  use  of  3TG;  and  (3)  collect  information  from</w:t>
      </w:r>
    </w:p>
    <w:p>
      <w:pPr>
        <w:pStyle w:val="Normal"/>
        <w:framePr w:w="13082" w:hAnchor="page" w:vAnchor="page" w:x="280" w:y="120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origin inquiry (“RCOI”) to establish a list of Tier 1 Suppliers that are in-scope for regulatory reporting purposes based on</w:t>
      </w:r>
    </w:p>
    <w:p>
      <w:pPr>
        <w:pStyle w:val="Normal"/>
        <w:framePr w:w="13086" w:hAnchor="page" w:vAnchor="page" w:x="280" w:y="117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those offerings that are in-scope for the purposes of regulatory reporting; (2) conduct a good faith, reasonable country of</w:t>
      </w:r>
    </w:p>
    <w:p>
      <w:pPr>
        <w:pStyle w:val="Normal"/>
        <w:framePr w:w="13083" w:hAnchor="page" w:vAnchor="page" w:x="280" w:y="115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With the assistance of the third-party vendor Source Intelligence (“SI”), we (1) filter our product offerings to identify</w:t>
      </w:r>
    </w:p>
    <w:p>
      <w:pPr>
        <w:pStyle w:val="Normal"/>
        <w:framePr w:w="6794" w:hAnchor="page" w:vAnchor="page" w:x="280" w:y="109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accurate chain of custody information to inform this reporting.</w:t>
      </w:r>
    </w:p>
    <w:p>
      <w:pPr>
        <w:pStyle w:val="Normal"/>
        <w:framePr w:w="13088" w:hAnchor="page" w:vAnchor="page" w:x="280" w:y="107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those  Tier  1  Suppliers  to  implement  policies  and  procedures  comparable  to  ours  in  order  to  obtain  thorough  and</w:t>
      </w:r>
    </w:p>
    <w:p>
      <w:pPr>
        <w:pStyle w:val="Normal"/>
        <w:framePr w:w="13080" w:hAnchor="page" w:vAnchor="page" w:x="280" w:y="104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minerals in both the raw materials and parts that we purchase to use in the manufacture of our products. We expect</w:t>
      </w:r>
    </w:p>
    <w:p>
      <w:pPr>
        <w:pStyle w:val="Normal"/>
        <w:framePr w:w="13081" w:hAnchor="page" w:vAnchor="page" w:x="280" w:y="101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suppliers that deliver directly to TechnipFMC (the “Tier 1 Suppliers”) to provide input regarding the source of conflict</w:t>
      </w:r>
    </w:p>
    <w:p>
      <w:pPr>
        <w:pStyle w:val="Normal"/>
        <w:framePr w:w="13074" w:hAnchor="page" w:vAnchor="page" w:x="280" w:y="99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is a global company with a complex and multi-tiered supply chain. Because of this complexity, we rely on</w:t>
      </w:r>
    </w:p>
    <w:p>
      <w:pPr>
        <w:pStyle w:val="Normal"/>
        <w:framePr w:w="4929" w:hAnchor="page" w:vAnchor="page" w:x="280" w:y="93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2.   Reasonable Country of Origin Inquiry</w:t>
      </w:r>
    </w:p>
    <w:p>
      <w:pPr>
        <w:pStyle w:val="Normal"/>
        <w:framePr w:w="12644" w:hAnchor="page" w:vAnchor="page" w:x="280" w:y="88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vehicle systems, manipulator systems, subsea control systems, fracturing flowback services, and umbilical systems.</w:t>
      </w:r>
    </w:p>
    <w:p>
      <w:pPr>
        <w:pStyle w:val="Normal"/>
        <w:framePr w:w="13076" w:hAnchor="page" w:vAnchor="page" w:x="280" w:y="85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processing systems, surface wellhead production systems, high pressure fluid control equipment, remotely operating</w:t>
      </w:r>
    </w:p>
    <w:p>
      <w:pPr>
        <w:pStyle w:val="Normal"/>
        <w:framePr w:w="13081" w:hAnchor="page" w:vAnchor="page" w:x="280" w:y="83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functionality or production of such product(s). These products include, but are not limited to, subsea production and</w:t>
      </w:r>
    </w:p>
    <w:p>
      <w:pPr>
        <w:pStyle w:val="Normal"/>
        <w:framePr w:w="13075" w:hAnchor="page" w:vAnchor="page" w:x="280" w:y="80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manufacture contain tin, tantalum, tungsten, and/or gold (collectively, “3TG”) and that such 3TG are necessary to the</w:t>
      </w:r>
    </w:p>
    <w:p>
      <w:pPr>
        <w:pStyle w:val="Normal"/>
        <w:framePr w:w="13085" w:hAnchor="page" w:vAnchor="page" w:x="280" w:y="77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After  evaluating  our  product  lines,  we  have  determined  that  certain  products  that  we  manufacture  or  contract  to</w:t>
      </w:r>
    </w:p>
    <w:p>
      <w:pPr>
        <w:pStyle w:val="Normal"/>
        <w:framePr w:w="11463" w:hAnchor="page" w:vAnchor="page" w:x="280" w:y="72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energy industry with our pioneering integrated ecosystems, technology leadership, and digital innovation.</w:t>
      </w:r>
    </w:p>
    <w:p>
      <w:pPr>
        <w:pStyle w:val="Normal"/>
        <w:framePr w:w="13077" w:hAnchor="page" w:vAnchor="page" w:x="280" w:y="70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Organized  in  two  business  segments—Subsea  and  Surface  Technologies—we  will  continue  driving  change  in  the</w:t>
      </w:r>
    </w:p>
    <w:p>
      <w:pPr>
        <w:pStyle w:val="Normal"/>
        <w:framePr w:w="6363" w:hAnchor="page" w:vAnchor="page" w:x="280" w:y="64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intensity and supporting their energy transition ambitions.</w:t>
      </w:r>
    </w:p>
    <w:p>
      <w:pPr>
        <w:pStyle w:val="Normal"/>
        <w:framePr w:w="13080" w:hAnchor="page" w:vAnchor="page" w:x="280" w:y="62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our clients’ project economics, helping them unlock new possibilities to develop energy resources while reducing carbon</w:t>
      </w:r>
    </w:p>
    <w:p>
      <w:pPr>
        <w:pStyle w:val="Normal"/>
        <w:framePr w:w="13088" w:hAnchor="page" w:vAnchor="page" w:x="280" w:y="59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projects, products, and services. With our proprietary technologies and comprehensive solutions, we are transforming</w:t>
      </w:r>
    </w:p>
    <w:p>
      <w:pPr>
        <w:pStyle w:val="Normal"/>
        <w:framePr w:w="13078" w:hAnchor="page" w:vAnchor="page" w:x="280" w:y="56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is a leading technology provider to the traditional and new energy industries, delivering fully integrated</w:t>
      </w:r>
    </w:p>
    <w:p>
      <w:pPr>
        <w:pStyle w:val="Normal"/>
        <w:framePr w:w="5314" w:hAnchor="page" w:vAnchor="page" w:x="280" w:y="51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headquarters in Houston, Texas, United States.</w:t>
      </w:r>
    </w:p>
    <w:p>
      <w:pPr>
        <w:pStyle w:val="Normal"/>
        <w:framePr w:w="13075" w:hAnchor="page" w:vAnchor="page" w:x="280" w:y="488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Hadrian House, Wincomblee Road, Newcastle Upon Tyne, NE6 3PL, United Kingdom. The Company has operational</w:t>
      </w:r>
    </w:p>
    <w:p>
      <w:pPr>
        <w:pStyle w:val="Normal"/>
        <w:framePr w:w="13078" w:hAnchor="page" w:vAnchor="page" w:x="280" w:y="46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organized  under  the  laws  of  England  and  Wales,  with  registered  number  09909709,  and  with  registered  office  at</w:t>
      </w:r>
    </w:p>
    <w:p>
      <w:pPr>
        <w:pStyle w:val="Normal"/>
        <w:framePr w:w="13081" w:hAnchor="page" w:vAnchor="page" w:x="280" w:y="434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 plc  (the  “Company,”  “TechnipFMC,”   “we,”  and  “our”)  is  a  public  limited   company  incorporated  and</w:t>
      </w:r>
    </w:p>
    <w:p>
      <w:pPr>
        <w:pStyle w:val="Normal"/>
        <w:framePr w:w="6462" w:hAnchor="page" w:vAnchor="page" w:x="280" w:y="38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1.   Company Overview and Applicability of Rule 13p-1</w:t>
      </w:r>
    </w:p>
    <w:p>
      <w:pPr>
        <w:pStyle w:val="Normal"/>
        <w:framePr w:w="4628" w:hAnchor="page" w:vAnchor="page" w:x="4127" w:y="30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for the Year Ended December 31, 2025</w:t>
      </w:r>
    </w:p>
    <w:p>
      <w:pPr>
        <w:pStyle w:val="Normal"/>
        <w:framePr w:w="3039" w:hAnchor="page" w:vAnchor="page" w:x="4849" w:y="27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Conflict Minerals Report</w:t>
      </w:r>
    </w:p>
    <w:p>
      <w:pPr>
        <w:pStyle w:val="Normal"/>
        <w:framePr w:w="2093" w:hAnchor="page" w:vAnchor="page" w:x="5279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plc</w:t>
      </w:r>
    </w:p>
    <w:p>
      <w:pPr>
        <w:pStyle w:val="Normal"/>
        <w:framePr w:w="1587" w:hAnchor="page" w:vAnchor="page" w:x="10737" w:y="16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Exhibit 1.01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pt;margin-top:1pt;z-index:-167770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pt;margin-top:745.6pt;z-index:-167770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pt;margin-top:746.4pt;z-index:-167770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6.25pt;margin-top:745.6pt;z-index:-167770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pt;margin-top:745.6pt;z-index:-167770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</w:p>
    <w:p>
      <w:pPr>
        <w:pStyle w:val="Normal"/>
        <w:framePr w:w="7556" w:hAnchor="page" w:vAnchor="page" w:x="280" w:y="27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SEC Division of Corporation Finance’s April 7, 2017, no action relief.</w:t>
      </w:r>
    </w:p>
    <w:p>
      <w:pPr>
        <w:pStyle w:val="Normal"/>
        <w:framePr w:w="13083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This Conflict Minerals Report does not provide disclosure under paragraph (c) of Item 1.01 of Form SD pursuant to the</w:t>
      </w:r>
    </w:p>
    <w:p>
      <w:pPr>
        <w:pStyle w:val="Normal"/>
        <w:framePr w:w="10009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the Congo or its adjoining countries and did not originate from recycled or scrap sources.</w:t>
      </w:r>
    </w:p>
    <w:p>
      <w:pPr>
        <w:pStyle w:val="Normal"/>
        <w:framePr w:w="13082" w:hAnchor="page" w:vAnchor="page" w:x="280" w:y="16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Based on our RCOI, we believe that certain of our products may contain 3TG that originated in the Democratic Republic</w:t>
      </w:r>
    </w:p>
    <w:p>
      <w:pPr>
        <w:pStyle w:val="Normal"/>
        <w:framePr w:w="774" w:hAnchor="page" w:vAnchor="page" w:x="280" w:y="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2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framePr w:w="774" w:hAnchor="page" w:vAnchor="page" w:x="280" w:y="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  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pt;margin-top:1pt;z-index:-16777076;width:598pt;height:228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ejaVuSans-GCGPD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4663f907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styles.xml" Type="http://schemas.openxmlformats.org/officeDocument/2006/relationships/styles"/><Relationship Id="rId37" Target="fontTable.xml" Type="http://schemas.openxmlformats.org/officeDocument/2006/relationships/fontTable"/><Relationship Id="rId38" Target="settings.xml" Type="http://schemas.openxmlformats.org/officeDocument/2006/relationships/settings"/><Relationship Id="rId39" Target="webSettings.xml" Type="http://schemas.openxmlformats.org/officeDocument/2006/relationships/webSettings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870</Words>
  <Characters>5019</Characters>
  <Application>e-iceblue</Application>
  <DocSecurity>0</DocSecurity>
  <Lines>107</Lines>
  <Paragraphs>107</Paragraphs>
  <ScaleCrop>false</ScaleCrop>
  <Company>e-iceblue</Company>
  <LinksUpToDate>false</LinksUpToDate>
  <CharactersWithSpaces>6037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2026-05-19T21:42:31Z</dcterms:created>
  <dc:creator>root</dc:creator>
  <cp:lastModifiedBy>root</cp:lastModifiedBy>
  <dcterms:modified xsi:type="dcterms:W3CDTF">2026-05-19T21:42:31Z</dcterms:modified>
  <cp:revision>1</cp:revision>
</cp:coreProperties>
</file>