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jc w:val="center"/>
        <w:spacing w:after="0" w:line="205"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42" w:lineRule="exact"/>
        <w:rPr>
          <w:sz w:val="24"/>
          <w:szCs w:val="24"/>
          <w:color w:val="auto"/>
        </w:rPr>
      </w:pPr>
    </w:p>
    <w:p>
      <w:pPr>
        <w:ind w:left="178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6"/>
          <w:szCs w:val="16"/>
          <w:b w:val="1"/>
          <w:bCs w:val="1"/>
          <w:color w:val="auto"/>
        </w:rPr>
        <w:t>QUARTERLY REPORT PURSUANT TO SECTION 13 OR 15(d) OF THE SECURITIES EXCHANGE ACT OF 1934</w:t>
      </w:r>
    </w:p>
    <w:p>
      <w:pPr>
        <w:spacing w:after="0" w:line="97"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For the quarterly period ended September 30, 2019</w:t>
      </w:r>
    </w:p>
    <w:p>
      <w:pPr>
        <w:spacing w:after="0" w:line="34" w:lineRule="exact"/>
        <w:rPr>
          <w:sz w:val="24"/>
          <w:szCs w:val="24"/>
          <w:color w:val="auto"/>
        </w:rPr>
      </w:pPr>
    </w:p>
    <w:p>
      <w:pPr>
        <w:ind w:left="5640"/>
        <w:spacing w:after="0"/>
        <w:rPr>
          <w:sz w:val="20"/>
          <w:szCs w:val="20"/>
          <w:color w:val="auto"/>
        </w:rPr>
      </w:pPr>
      <w:r>
        <w:rPr>
          <w:rFonts w:ascii="Arial" w:cs="Arial" w:eastAsia="Arial" w:hAnsi="Arial"/>
          <w:sz w:val="16"/>
          <w:szCs w:val="16"/>
          <w:color w:val="auto"/>
        </w:rPr>
        <w:t>or</w:t>
      </w:r>
    </w:p>
    <w:p>
      <w:pPr>
        <w:spacing w:after="0" w:line="70" w:lineRule="exact"/>
        <w:rPr>
          <w:sz w:val="24"/>
          <w:szCs w:val="24"/>
          <w:color w:val="auto"/>
        </w:rPr>
      </w:pPr>
    </w:p>
    <w:p>
      <w:pPr>
        <w:ind w:left="178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6"/>
          <w:szCs w:val="16"/>
          <w:b w:val="1"/>
          <w:bCs w:val="1"/>
          <w:color w:val="auto"/>
        </w:rPr>
        <w:t>TRANSITION REPORT PURSUANT TO SECTION 13 OR 15(d) OF THE SECURITIES EXCHANGE ACT OF 1934</w:t>
      </w:r>
    </w:p>
    <w:p>
      <w:pPr>
        <w:spacing w:after="0" w:line="78"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 xml:space="preserve">For the transition period from </w:t>
      </w:r>
      <w:r>
        <w:rPr>
          <w:rFonts w:ascii="Arial" w:cs="Arial" w:eastAsia="Arial" w:hAnsi="Arial"/>
          <w:sz w:val="16"/>
          <w:szCs w:val="16"/>
          <w:color w:val="FFFFFF"/>
        </w:rPr>
        <w:t>_____</w:t>
      </w:r>
      <w:r>
        <w:rPr>
          <w:rFonts w:ascii="Arial" w:cs="Arial" w:eastAsia="Arial" w:hAnsi="Arial"/>
          <w:sz w:val="16"/>
          <w:szCs w:val="16"/>
          <w:color w:val="auto"/>
        </w:rPr>
        <w:t xml:space="preserve"> to </w:t>
      </w:r>
      <w:r>
        <w:rPr>
          <w:rFonts w:ascii="Arial" w:cs="Arial" w:eastAsia="Arial" w:hAnsi="Arial"/>
          <w:sz w:val="16"/>
          <w:szCs w:val="16"/>
          <w:color w:val="FFFFFF"/>
        </w:rPr>
        <w:t>_____</w:t>
      </w:r>
      <w:r>
        <w:rPr>
          <w:rFonts w:ascii="Arial" w:cs="Arial" w:eastAsia="Arial" w:hAnsi="Arial"/>
          <w:sz w:val="16"/>
          <w:szCs w:val="16"/>
          <w:color w:val="auto"/>
        </w:rPr>
        <w:t xml:space="preserve"> .</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001-37983</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0" w:lineRule="exact"/>
        <w:rPr>
          <w:sz w:val="24"/>
          <w:szCs w:val="24"/>
          <w:color w:val="auto"/>
        </w:rPr>
      </w:pPr>
    </w:p>
    <w:p>
      <w:pPr>
        <w:spacing w:after="0" w:line="244" w:lineRule="exact"/>
        <w:rPr>
          <w:sz w:val="24"/>
          <w:szCs w:val="24"/>
          <w:color w:val="auto"/>
        </w:rPr>
      </w:pPr>
    </w:p>
    <w:tbl>
      <w:tblPr>
        <w:tblLayout w:type="fixed"/>
        <w:tblInd w:w="1240" w:type="dxa"/>
        <w:tblCellMar>
          <w:top w:w="0" w:type="dxa"/>
          <w:left w:w="0" w:type="dxa"/>
          <w:bottom w:w="0" w:type="dxa"/>
          <w:right w:w="0" w:type="dxa"/>
        </w:tblCellMar>
      </w:tblPr>
      <w:tr>
        <w:trPr>
          <w:trHeight w:val="229"/>
        </w:trPr>
        <w:tc>
          <w:tcPr>
            <w:tcW w:w="6160" w:type="dxa"/>
            <w:vAlign w:val="bottom"/>
          </w:tcPr>
          <w:p>
            <w:pPr>
              <w:jc w:val="center"/>
              <w:ind w:right="2826"/>
              <w:spacing w:after="0"/>
              <w:rPr>
                <w:sz w:val="20"/>
                <w:szCs w:val="20"/>
                <w:color w:val="auto"/>
              </w:rPr>
            </w:pPr>
            <w:r>
              <w:rPr>
                <w:rFonts w:ascii="Arial" w:cs="Arial" w:eastAsia="Arial" w:hAnsi="Arial"/>
                <w:sz w:val="16"/>
                <w:szCs w:val="16"/>
                <w:b w:val="1"/>
                <w:bCs w:val="1"/>
                <w:color w:val="auto"/>
              </w:rPr>
              <w:t>United Kingdom</w:t>
            </w:r>
          </w:p>
        </w:tc>
        <w:tc>
          <w:tcPr>
            <w:tcW w:w="2140" w:type="dxa"/>
            <w:vAlign w:val="bottom"/>
          </w:tcPr>
          <w:p>
            <w:pPr>
              <w:jc w:val="right"/>
              <w:ind w:right="468"/>
              <w:spacing w:after="0"/>
              <w:rPr>
                <w:sz w:val="20"/>
                <w:szCs w:val="20"/>
                <w:color w:val="auto"/>
              </w:rPr>
            </w:pPr>
            <w:r>
              <w:rPr>
                <w:rFonts w:ascii="Arial" w:cs="Arial" w:eastAsia="Arial" w:hAnsi="Arial"/>
                <w:sz w:val="16"/>
                <w:szCs w:val="16"/>
                <w:b w:val="1"/>
                <w:bCs w:val="1"/>
                <w:color w:val="auto"/>
              </w:rPr>
              <w:t>98-1283037</w:t>
            </w:r>
          </w:p>
        </w:tc>
      </w:tr>
      <w:tr>
        <w:trPr>
          <w:trHeight w:val="183"/>
        </w:trPr>
        <w:tc>
          <w:tcPr>
            <w:tcW w:w="6160" w:type="dxa"/>
            <w:vAlign w:val="bottom"/>
          </w:tcPr>
          <w:p>
            <w:pPr>
              <w:jc w:val="center"/>
              <w:ind w:right="2826"/>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2140" w:type="dxa"/>
            <w:vAlign w:val="bottom"/>
          </w:tcPr>
          <w:p>
            <w:pPr>
              <w:jc w:val="center"/>
              <w:ind w:left="128"/>
              <w:spacing w:after="0"/>
              <w:rPr>
                <w:sz w:val="20"/>
                <w:szCs w:val="20"/>
                <w:color w:val="auto"/>
              </w:rPr>
            </w:pPr>
            <w:r>
              <w:rPr>
                <w:rFonts w:ascii="Arial" w:cs="Arial" w:eastAsia="Arial" w:hAnsi="Arial"/>
                <w:sz w:val="13"/>
                <w:szCs w:val="13"/>
                <w:color w:val="auto"/>
                <w:w w:val="96"/>
              </w:rPr>
              <w:t>(I.R.S. Employer Identification No.)</w:t>
            </w:r>
          </w:p>
        </w:tc>
      </w:tr>
      <w:tr>
        <w:trPr>
          <w:trHeight w:val="479"/>
        </w:trPr>
        <w:tc>
          <w:tcPr>
            <w:tcW w:w="6160" w:type="dxa"/>
            <w:vAlign w:val="bottom"/>
          </w:tcPr>
          <w:p>
            <w:pPr>
              <w:jc w:val="center"/>
              <w:ind w:right="2806"/>
              <w:spacing w:after="0"/>
              <w:rPr>
                <w:sz w:val="20"/>
                <w:szCs w:val="20"/>
                <w:color w:val="auto"/>
              </w:rPr>
            </w:pPr>
            <w:r>
              <w:rPr>
                <w:rFonts w:ascii="Arial" w:cs="Arial" w:eastAsia="Arial" w:hAnsi="Arial"/>
                <w:sz w:val="16"/>
                <w:szCs w:val="16"/>
                <w:b w:val="1"/>
                <w:bCs w:val="1"/>
                <w:color w:val="auto"/>
              </w:rPr>
              <w:t>One St. Paul’s Churchyard</w:t>
            </w:r>
          </w:p>
        </w:tc>
        <w:tc>
          <w:tcPr>
            <w:tcW w:w="2140" w:type="dxa"/>
            <w:vAlign w:val="bottom"/>
          </w:tcPr>
          <w:p>
            <w:pPr>
              <w:spacing w:after="0"/>
              <w:rPr>
                <w:sz w:val="24"/>
                <w:szCs w:val="24"/>
                <w:color w:val="auto"/>
              </w:rPr>
            </w:pPr>
          </w:p>
        </w:tc>
      </w:tr>
      <w:tr>
        <w:trPr>
          <w:trHeight w:val="270"/>
        </w:trPr>
        <w:tc>
          <w:tcPr>
            <w:tcW w:w="6160" w:type="dxa"/>
            <w:vAlign w:val="bottom"/>
          </w:tcPr>
          <w:p>
            <w:pPr>
              <w:jc w:val="center"/>
              <w:ind w:right="2826"/>
              <w:spacing w:after="0"/>
              <w:rPr>
                <w:sz w:val="20"/>
                <w:szCs w:val="20"/>
                <w:color w:val="auto"/>
              </w:rPr>
            </w:pPr>
            <w:r>
              <w:rPr>
                <w:rFonts w:ascii="Arial" w:cs="Arial" w:eastAsia="Arial" w:hAnsi="Arial"/>
                <w:sz w:val="16"/>
                <w:szCs w:val="16"/>
                <w:b w:val="1"/>
                <w:bCs w:val="1"/>
                <w:color w:val="auto"/>
                <w:w w:val="98"/>
              </w:rPr>
              <w:t>London</w:t>
            </w:r>
          </w:p>
        </w:tc>
        <w:tc>
          <w:tcPr>
            <w:tcW w:w="2140" w:type="dxa"/>
            <w:vAlign w:val="bottom"/>
          </w:tcPr>
          <w:p>
            <w:pPr>
              <w:spacing w:after="0"/>
              <w:rPr>
                <w:sz w:val="23"/>
                <w:szCs w:val="23"/>
                <w:color w:val="auto"/>
              </w:rPr>
            </w:pPr>
          </w:p>
        </w:tc>
      </w:tr>
      <w:tr>
        <w:trPr>
          <w:trHeight w:val="270"/>
        </w:trPr>
        <w:tc>
          <w:tcPr>
            <w:tcW w:w="6160" w:type="dxa"/>
            <w:vAlign w:val="bottom"/>
          </w:tcPr>
          <w:p>
            <w:pPr>
              <w:jc w:val="center"/>
              <w:ind w:right="2826"/>
              <w:spacing w:after="0"/>
              <w:rPr>
                <w:sz w:val="20"/>
                <w:szCs w:val="20"/>
                <w:color w:val="auto"/>
              </w:rPr>
            </w:pPr>
            <w:r>
              <w:rPr>
                <w:rFonts w:ascii="Arial" w:cs="Arial" w:eastAsia="Arial" w:hAnsi="Arial"/>
                <w:sz w:val="16"/>
                <w:szCs w:val="16"/>
                <w:b w:val="1"/>
                <w:bCs w:val="1"/>
                <w:color w:val="auto"/>
              </w:rPr>
              <w:t>United Kingdom</w:t>
            </w:r>
          </w:p>
        </w:tc>
        <w:tc>
          <w:tcPr>
            <w:tcW w:w="2140" w:type="dxa"/>
            <w:vAlign w:val="bottom"/>
          </w:tcPr>
          <w:p>
            <w:pPr>
              <w:jc w:val="center"/>
              <w:ind w:left="108"/>
              <w:spacing w:after="0"/>
              <w:rPr>
                <w:sz w:val="20"/>
                <w:szCs w:val="20"/>
                <w:color w:val="auto"/>
              </w:rPr>
            </w:pPr>
            <w:r>
              <w:rPr>
                <w:rFonts w:ascii="Arial" w:cs="Arial" w:eastAsia="Arial" w:hAnsi="Arial"/>
                <w:sz w:val="16"/>
                <w:szCs w:val="16"/>
                <w:b w:val="1"/>
                <w:bCs w:val="1"/>
                <w:color w:val="auto"/>
                <w:w w:val="99"/>
              </w:rPr>
              <w:t>EC4M 8AP</w:t>
            </w:r>
          </w:p>
        </w:tc>
      </w:tr>
      <w:tr>
        <w:trPr>
          <w:trHeight w:val="183"/>
        </w:trPr>
        <w:tc>
          <w:tcPr>
            <w:tcW w:w="6160" w:type="dxa"/>
            <w:vAlign w:val="bottom"/>
          </w:tcPr>
          <w:p>
            <w:pPr>
              <w:jc w:val="center"/>
              <w:ind w:right="2826"/>
              <w:spacing w:after="0"/>
              <w:rPr>
                <w:sz w:val="20"/>
                <w:szCs w:val="20"/>
                <w:color w:val="auto"/>
              </w:rPr>
            </w:pPr>
            <w:r>
              <w:rPr>
                <w:rFonts w:ascii="Arial" w:cs="Arial" w:eastAsia="Arial" w:hAnsi="Arial"/>
                <w:sz w:val="13"/>
                <w:szCs w:val="13"/>
                <w:color w:val="auto"/>
                <w:w w:val="96"/>
              </w:rPr>
              <w:t>(Address of principal executive offices)</w:t>
            </w:r>
          </w:p>
        </w:tc>
        <w:tc>
          <w:tcPr>
            <w:tcW w:w="2140" w:type="dxa"/>
            <w:vAlign w:val="bottom"/>
          </w:tcPr>
          <w:p>
            <w:pPr>
              <w:jc w:val="center"/>
              <w:ind w:left="108"/>
              <w:spacing w:after="0"/>
              <w:rPr>
                <w:sz w:val="20"/>
                <w:szCs w:val="20"/>
                <w:color w:val="auto"/>
              </w:rPr>
            </w:pPr>
            <w:r>
              <w:rPr>
                <w:rFonts w:ascii="Arial" w:cs="Arial" w:eastAsia="Arial" w:hAnsi="Arial"/>
                <w:sz w:val="13"/>
                <w:szCs w:val="13"/>
                <w:color w:val="auto"/>
                <w:w w:val="97"/>
              </w:rPr>
              <w:t>(Zip Code)</w:t>
            </w:r>
          </w:p>
        </w:tc>
      </w:tr>
      <w:tr>
        <w:trPr>
          <w:trHeight w:val="249"/>
        </w:trPr>
        <w:tc>
          <w:tcPr>
            <w:tcW w:w="6160" w:type="dxa"/>
            <w:vAlign w:val="bottom"/>
          </w:tcPr>
          <w:p>
            <w:pPr>
              <w:jc w:val="right"/>
              <w:ind w:right="946"/>
              <w:spacing w:after="0"/>
              <w:rPr>
                <w:sz w:val="20"/>
                <w:szCs w:val="20"/>
                <w:color w:val="auto"/>
              </w:rPr>
            </w:pPr>
            <w:r>
              <w:rPr>
                <w:rFonts w:ascii="Arial" w:cs="Arial" w:eastAsia="Arial" w:hAnsi="Arial"/>
                <w:sz w:val="16"/>
                <w:szCs w:val="16"/>
                <w:b w:val="1"/>
                <w:bCs w:val="1"/>
                <w:color w:val="auto"/>
              </w:rPr>
              <w:t>+44 203-429-3950</w:t>
            </w:r>
          </w:p>
        </w:tc>
        <w:tc>
          <w:tcPr>
            <w:tcW w:w="2140" w:type="dxa"/>
            <w:vAlign w:val="bottom"/>
          </w:tcPr>
          <w:p>
            <w:pPr>
              <w:spacing w:after="0"/>
              <w:rPr>
                <w:sz w:val="21"/>
                <w:szCs w:val="21"/>
                <w:color w:val="auto"/>
              </w:rPr>
            </w:pPr>
          </w:p>
        </w:tc>
      </w:tr>
      <w:tr>
        <w:trPr>
          <w:trHeight w:val="148"/>
        </w:trPr>
        <w:tc>
          <w:tcPr>
            <w:tcW w:w="6160" w:type="dxa"/>
            <w:vAlign w:val="bottom"/>
          </w:tcPr>
          <w:p>
            <w:pPr>
              <w:jc w:val="center"/>
              <w:ind w:left="2726"/>
              <w:spacing w:after="0" w:line="149" w:lineRule="exact"/>
              <w:rPr>
                <w:sz w:val="20"/>
                <w:szCs w:val="20"/>
                <w:color w:val="auto"/>
              </w:rPr>
            </w:pPr>
            <w:r>
              <w:rPr>
                <w:rFonts w:ascii="Arial" w:cs="Arial" w:eastAsia="Arial" w:hAnsi="Arial"/>
                <w:sz w:val="13"/>
                <w:szCs w:val="13"/>
                <w:color w:val="auto"/>
                <w:w w:val="96"/>
              </w:rPr>
              <w:t>(Registrant’s telephone number, including area code)</w:t>
            </w:r>
          </w:p>
        </w:tc>
        <w:tc>
          <w:tcPr>
            <w:tcW w:w="2140" w:type="dxa"/>
            <w:vAlign w:val="bottom"/>
          </w:tcPr>
          <w:p>
            <w:pPr>
              <w:spacing w:after="0"/>
              <w:rPr>
                <w:sz w:val="12"/>
                <w:szCs w:val="12"/>
                <w:color w:val="auto"/>
              </w:rPr>
            </w:pPr>
          </w:p>
        </w:tc>
      </w:tr>
    </w:tbl>
    <w:p>
      <w:pPr>
        <w:ind w:left="3560"/>
        <w:spacing w:after="0"/>
        <w:rPr>
          <w:sz w:val="20"/>
          <w:szCs w:val="20"/>
          <w:color w:val="auto"/>
        </w:rPr>
      </w:pPr>
      <w:r>
        <w:rPr>
          <w:rFonts w:ascii="Arial" w:cs="Arial" w:eastAsia="Arial" w:hAnsi="Arial"/>
          <w:sz w:val="14"/>
          <w:szCs w:val="14"/>
          <w:color w:val="auto"/>
        </w:rPr>
        <w:t>______________________________________________________</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528" w:right="239" w:bottom="1440" w:gutter="0" w:footer="0" w:header="0"/>
        </w:sectPr>
      </w:pPr>
    </w:p>
    <w:p>
      <w:pPr>
        <w:spacing w:after="0" w:line="55"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520" w:space="720"/>
            <w:col w:w="1600" w:space="720"/>
            <w:col w:w="3860"/>
          </w:cols>
          <w:pgMar w:left="240" w:top="528" w:right="23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53" w:lineRule="exact"/>
        <w:rPr>
          <w:sz w:val="24"/>
          <w:szCs w:val="24"/>
          <w:color w:val="auto"/>
        </w:rPr>
      </w:pPr>
    </w:p>
    <w:p>
      <w:pPr>
        <w:sectPr>
          <w:pgSz w:w="11900" w:h="16838" w:orient="portrait"/>
          <w:cols w:equalWidth="0" w:num="3">
            <w:col w:w="4940" w:space="720"/>
            <w:col w:w="1920" w:space="720"/>
            <w:col w:w="3120"/>
          </w:cols>
          <w:pgMar w:left="240" w:top="528"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192"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20"/>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20"/>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52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52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8"/>
        </w:trPr>
        <w:tc>
          <w:tcPr>
            <w:tcW w:w="22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920" w:type="dxa"/>
            <w:vAlign w:val="bottom"/>
          </w:tcPr>
          <w:p>
            <w:pPr>
              <w:ind w:left="252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380"/>
        <w:spacing w:after="0" w:line="25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100" w:type="dxa"/>
            <w:vAlign w:val="bottom"/>
          </w:tcPr>
          <w:p>
            <w:pPr>
              <w:spacing w:after="0"/>
              <w:rPr>
                <w:sz w:val="14"/>
                <w:szCs w:val="14"/>
                <w:color w:val="auto"/>
              </w:rPr>
            </w:pPr>
          </w:p>
        </w:tc>
        <w:tc>
          <w:tcPr>
            <w:tcW w:w="3740" w:type="dxa"/>
            <w:vAlign w:val="bottom"/>
            <w:gridSpan w:val="2"/>
          </w:tcPr>
          <w:p>
            <w:pPr>
              <w:jc w:val="center"/>
              <w:ind w:right="3360"/>
              <w:spacing w:after="0"/>
              <w:rPr>
                <w:sz w:val="20"/>
                <w:szCs w:val="20"/>
                <w:color w:val="auto"/>
              </w:rPr>
            </w:pPr>
            <w:r>
              <w:rPr>
                <w:rFonts w:ascii="Arial" w:cs="Arial" w:eastAsia="Arial" w:hAnsi="Arial"/>
                <w:sz w:val="14"/>
                <w:szCs w:val="14"/>
                <w:b w:val="1"/>
                <w:bCs w:val="1"/>
                <w:color w:val="auto"/>
              </w:rPr>
              <w:t>Class</w:t>
            </w:r>
          </w:p>
        </w:tc>
        <w:tc>
          <w:tcPr>
            <w:tcW w:w="5580" w:type="dxa"/>
            <w:vAlign w:val="bottom"/>
            <w:gridSpan w:val="3"/>
          </w:tcPr>
          <w:p>
            <w:pPr>
              <w:jc w:val="center"/>
              <w:ind w:left="828"/>
              <w:spacing w:after="0"/>
              <w:rPr>
                <w:sz w:val="20"/>
                <w:szCs w:val="20"/>
                <w:color w:val="auto"/>
              </w:rPr>
            </w:pPr>
            <w:r>
              <w:rPr>
                <w:rFonts w:ascii="Arial" w:cs="Arial" w:eastAsia="Arial" w:hAnsi="Arial"/>
                <w:sz w:val="14"/>
                <w:szCs w:val="14"/>
                <w:b w:val="1"/>
                <w:bCs w:val="1"/>
                <w:color w:val="auto"/>
              </w:rPr>
              <w:t>Outstanding at November 8, 2019</w:t>
            </w:r>
          </w:p>
        </w:tc>
      </w:tr>
      <w:tr>
        <w:trPr>
          <w:trHeight w:val="20"/>
        </w:trPr>
        <w:tc>
          <w:tcPr>
            <w:tcW w:w="2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5"/>
        </w:trPr>
        <w:tc>
          <w:tcPr>
            <w:tcW w:w="584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rPr>
              <w:t>Ordinary shares, $1.00 par value per share</w:t>
            </w:r>
          </w:p>
        </w:tc>
        <w:tc>
          <w:tcPr>
            <w:tcW w:w="4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447,064,767</w:t>
            </w:r>
          </w:p>
        </w:tc>
        <w:tc>
          <w:tcPr>
            <w:tcW w:w="1200" w:type="dxa"/>
            <w:vAlign w:val="bottom"/>
          </w:tcPr>
          <w:p>
            <w:pPr>
              <w:spacing w:after="0"/>
              <w:rPr>
                <w:sz w:val="20"/>
                <w:szCs w:val="20"/>
                <w:color w:val="auto"/>
              </w:rPr>
            </w:pPr>
          </w:p>
        </w:tc>
      </w:tr>
      <w:tr>
        <w:trPr>
          <w:trHeight w:val="191"/>
        </w:trPr>
        <w:tc>
          <w:tcPr>
            <w:tcW w:w="2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15"/>
        </w:trPr>
        <w:tc>
          <w:tcPr>
            <w:tcW w:w="2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28"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16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54"/>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60" w:type="dxa"/>
            <w:vAlign w:val="bottom"/>
            <w:gridSpan w:val="4"/>
          </w:tcPr>
          <w:p>
            <w:pPr>
              <w:ind w:left="2180"/>
              <w:spacing w:after="0"/>
              <w:rPr>
                <w:sz w:val="20"/>
                <w:szCs w:val="20"/>
                <w:color w:val="auto"/>
              </w:rPr>
            </w:pPr>
            <w:r>
              <w:rPr>
                <w:rFonts w:ascii="Arial" w:cs="Arial" w:eastAsia="Arial" w:hAnsi="Arial"/>
                <w:sz w:val="14"/>
                <w:szCs w:val="14"/>
                <w:b w:val="1"/>
                <w:bCs w:val="1"/>
                <w:color w:val="auto"/>
              </w:rPr>
              <w:t>Page</w:t>
            </w:r>
          </w:p>
        </w:tc>
      </w:tr>
      <w:tr>
        <w:trPr>
          <w:trHeight w:val="177"/>
        </w:trPr>
        <w:tc>
          <w:tcPr>
            <w:tcW w:w="8860" w:type="dxa"/>
            <w:vAlign w:val="bottom"/>
            <w:gridSpan w:val="32"/>
            <w:shd w:val="clear" w:color="auto" w:fill="CCEEFF"/>
          </w:tcPr>
          <w:p>
            <w:pPr>
              <w:ind w:left="40"/>
              <w:spacing w:after="0"/>
              <w:rPr>
                <w:rFonts w:ascii="Arial" w:cs="Arial" w:eastAsia="Arial" w:hAnsi="Arial"/>
                <w:sz w:val="14"/>
                <w:szCs w:val="14"/>
                <w:color w:val="0000EE"/>
              </w:rPr>
            </w:pPr>
            <w:hyperlink w:anchor="page5">
              <w:r>
                <w:rPr>
                  <w:rFonts w:ascii="Arial" w:cs="Arial" w:eastAsia="Arial" w:hAnsi="Arial"/>
                  <w:sz w:val="14"/>
                  <w:szCs w:val="14"/>
                  <w:color w:val="0000EE"/>
                </w:rPr>
                <w:t>PART I — Financial Information</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30"/>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Item 1. Financial Statements (Unaudited)</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60" w:type="dxa"/>
            <w:vAlign w:val="bottom"/>
            <w:gridSpan w:val="21"/>
            <w:shd w:val="clear" w:color="auto" w:fill="CCEEFF"/>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Condensed Consolidated Statements of Income</w:t>
              </w:r>
            </w:hyperlink>
          </w:p>
        </w:tc>
        <w:tc>
          <w:tcPr>
            <w:tcW w:w="5200" w:type="dxa"/>
            <w:vAlign w:val="bottom"/>
            <w:gridSpan w:val="8"/>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9"/>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Statements of Comprehensive Income</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9"/>
            <w:shd w:val="clear" w:color="auto" w:fill="CCEEFF"/>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Condensed Consolidated Balance Sheets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9"/>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Condensed Consolidated Statements of Cash Flows</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60" w:type="dxa"/>
            <w:vAlign w:val="bottom"/>
            <w:gridSpan w:val="27"/>
            <w:shd w:val="clear" w:color="auto" w:fill="CCEEFF"/>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Condensed Consolidated Statements of Changes in Stockholders’ Equity</w:t>
              </w:r>
            </w:hyperlink>
          </w:p>
        </w:tc>
        <w:tc>
          <w:tcPr>
            <w:tcW w:w="3600" w:type="dxa"/>
            <w:vAlign w:val="bottom"/>
            <w:gridSpan w:val="2"/>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60" w:type="dxa"/>
            <w:vAlign w:val="bottom"/>
            <w:gridSpan w:val="27"/>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Condensed Consolidated Financial Statements</w:t>
              </w:r>
            </w:hyperlink>
          </w:p>
        </w:tc>
        <w:tc>
          <w:tcPr>
            <w:tcW w:w="3600" w:type="dxa"/>
            <w:vAlign w:val="bottom"/>
            <w:gridSpan w:val="2"/>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140" w:type="dxa"/>
            <w:vAlign w:val="bottom"/>
            <w:gridSpan w:val="29"/>
            <w:shd w:val="clear" w:color="auto" w:fill="CCEEFF"/>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Item 2. Management’s Discussion and Analysis of Financial Condition and Results of Operations</w:t>
              </w:r>
            </w:hyperlink>
          </w:p>
        </w:tc>
        <w:tc>
          <w:tcPr>
            <w:tcW w:w="2440" w:type="dxa"/>
            <w:vAlign w:val="bottom"/>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37">
              <w:r>
                <w:rPr>
                  <w:rFonts w:ascii="Arial" w:cs="Arial" w:eastAsia="Arial" w:hAnsi="Arial"/>
                  <w:sz w:val="14"/>
                  <w:szCs w:val="14"/>
                  <w:color w:val="0000EE"/>
                </w:rPr>
                <w:t>37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140" w:type="dxa"/>
            <w:vAlign w:val="bottom"/>
            <w:gridSpan w:val="29"/>
          </w:tcPr>
          <w:p>
            <w:pPr>
              <w:ind w:left="320"/>
              <w:spacing w:after="0"/>
              <w:rPr>
                <w:rFonts w:ascii="Arial" w:cs="Arial" w:eastAsia="Arial" w:hAnsi="Arial"/>
                <w:sz w:val="14"/>
                <w:szCs w:val="14"/>
                <w:color w:val="0000EE"/>
              </w:rPr>
            </w:pPr>
            <w:hyperlink w:anchor="page37">
              <w:r>
                <w:rPr>
                  <w:rFonts w:ascii="Arial" w:cs="Arial" w:eastAsia="Arial" w:hAnsi="Arial"/>
                  <w:sz w:val="14"/>
                  <w:szCs w:val="14"/>
                  <w:color w:val="0000EE"/>
                </w:rPr>
                <w:t>Business Outlook</w:t>
              </w:r>
            </w:hyperlink>
          </w:p>
        </w:tc>
        <w:tc>
          <w:tcPr>
            <w:tcW w:w="2440" w:type="dxa"/>
            <w:vAlign w:val="bottom"/>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37">
              <w:r>
                <w:rPr>
                  <w:rFonts w:ascii="Arial" w:cs="Arial" w:eastAsia="Arial" w:hAnsi="Arial"/>
                  <w:sz w:val="14"/>
                  <w:szCs w:val="14"/>
                  <w:color w:val="0000EE"/>
                </w:rPr>
                <w:t>37</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9"/>
            <w:shd w:val="clear" w:color="auto" w:fill="CCEEFF"/>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Consolidated Results of Operations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39">
              <w:r>
                <w:rPr>
                  <w:rFonts w:ascii="Arial" w:cs="Arial" w:eastAsia="Arial" w:hAnsi="Arial"/>
                  <w:sz w:val="14"/>
                  <w:szCs w:val="14"/>
                  <w:color w:val="0000EE"/>
                </w:rPr>
                <w:t>39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gridSpan w:val="18"/>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Segment Results of Operations</w:t>
              </w:r>
            </w:hyperlink>
          </w:p>
        </w:tc>
        <w:tc>
          <w:tcPr>
            <w:tcW w:w="6000" w:type="dxa"/>
            <w:vAlign w:val="bottom"/>
            <w:gridSpan w:val="11"/>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43">
              <w:r>
                <w:rPr>
                  <w:rFonts w:ascii="Arial" w:cs="Arial" w:eastAsia="Arial" w:hAnsi="Arial"/>
                  <w:sz w:val="14"/>
                  <w:szCs w:val="14"/>
                  <w:color w:val="0000EE"/>
                </w:rPr>
                <w:t>43</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9"/>
            <w:shd w:val="clear" w:color="auto" w:fill="CCEEFF"/>
          </w:tcPr>
          <w:p>
            <w:pPr>
              <w:spacing w:after="0"/>
              <w:rPr>
                <w:rFonts w:ascii="Arial" w:cs="Arial" w:eastAsia="Arial" w:hAnsi="Arial"/>
                <w:sz w:val="14"/>
                <w:szCs w:val="14"/>
                <w:color w:val="0000EE"/>
              </w:rPr>
            </w:pPr>
            <w:hyperlink w:anchor="page47">
              <w:r>
                <w:rPr>
                  <w:rFonts w:ascii="Arial" w:cs="Arial" w:eastAsia="Arial" w:hAnsi="Arial"/>
                  <w:sz w:val="14"/>
                  <w:szCs w:val="14"/>
                  <w:color w:val="0000EE"/>
                </w:rPr>
                <w:t>Non-GAAP Measures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47">
              <w:r>
                <w:rPr>
                  <w:rFonts w:ascii="Arial" w:cs="Arial" w:eastAsia="Arial" w:hAnsi="Arial"/>
                  <w:sz w:val="14"/>
                  <w:szCs w:val="14"/>
                  <w:color w:val="0000EE"/>
                </w:rPr>
                <w:t>47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9"/>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Inbound Orders and Order Backlog</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54">
              <w:r>
                <w:rPr>
                  <w:rFonts w:ascii="Arial" w:cs="Arial" w:eastAsia="Arial" w:hAnsi="Arial"/>
                  <w:sz w:val="14"/>
                  <w:szCs w:val="14"/>
                  <w:color w:val="0000EE"/>
                </w:rPr>
                <w:t>54</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9"/>
            <w:shd w:val="clear" w:color="auto" w:fill="CCEEFF"/>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Liquidity and Capital Resources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5">
              <w:r>
                <w:rPr>
                  <w:rFonts w:ascii="Arial" w:cs="Arial" w:eastAsia="Arial" w:hAnsi="Arial"/>
                  <w:sz w:val="14"/>
                  <w:szCs w:val="14"/>
                  <w:color w:val="0000EE"/>
                </w:rPr>
                <w:t>55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15"/>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Critical Accounting Estimates</w:t>
              </w:r>
            </w:hyperlink>
          </w:p>
        </w:tc>
        <w:tc>
          <w:tcPr>
            <w:tcW w:w="6240" w:type="dxa"/>
            <w:vAlign w:val="bottom"/>
            <w:gridSpan w:val="14"/>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57">
              <w:r>
                <w:rPr>
                  <w:rFonts w:ascii="Arial" w:cs="Arial" w:eastAsia="Arial" w:hAnsi="Arial"/>
                  <w:sz w:val="14"/>
                  <w:szCs w:val="14"/>
                  <w:color w:val="0000EE"/>
                </w:rPr>
                <w:t>57</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9"/>
            <w:shd w:val="clear" w:color="auto" w:fill="CCEEFF"/>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Other Matters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30"/>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3. Quantitative and Qualitative Disclosures About Market Risk</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30"/>
            <w:shd w:val="clear" w:color="auto" w:fill="CCEEFF"/>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4. Controls and Procedures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60" w:type="dxa"/>
            <w:vAlign w:val="bottom"/>
            <w:gridSpan w:val="32"/>
          </w:tcPr>
          <w:p>
            <w:pPr>
              <w:ind w:left="40"/>
              <w:spacing w:after="0"/>
              <w:rPr>
                <w:rFonts w:ascii="Arial" w:cs="Arial" w:eastAsia="Arial" w:hAnsi="Arial"/>
                <w:sz w:val="14"/>
                <w:szCs w:val="14"/>
                <w:color w:val="0000EE"/>
              </w:rPr>
            </w:pPr>
            <w:hyperlink w:anchor="page60">
              <w:r>
                <w:rPr>
                  <w:rFonts w:ascii="Arial" w:cs="Arial" w:eastAsia="Arial" w:hAnsi="Arial"/>
                  <w:sz w:val="14"/>
                  <w:szCs w:val="14"/>
                  <w:color w:val="0000EE"/>
                </w:rPr>
                <w:t>PART II — Other Information</w:t>
              </w:r>
            </w:hyperlink>
          </w:p>
        </w:tc>
        <w:tc>
          <w:tcPr>
            <w:tcW w:w="2560" w:type="dxa"/>
            <w:vAlign w:val="bottom"/>
            <w:gridSpan w:val="4"/>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gridSpan w:val="9"/>
            <w:shd w:val="clear" w:color="auto" w:fill="CCEEFF"/>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Item 1. Legal Proceedings</w:t>
              </w:r>
            </w:hyperlink>
          </w:p>
        </w:tc>
        <w:tc>
          <w:tcPr>
            <w:tcW w:w="6900" w:type="dxa"/>
            <w:vAlign w:val="bottom"/>
            <w:gridSpan w:val="21"/>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9"/>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Item 1A. Risk Factors</w:t>
              </w:r>
            </w:hyperlink>
          </w:p>
        </w:tc>
        <w:tc>
          <w:tcPr>
            <w:tcW w:w="6900" w:type="dxa"/>
            <w:vAlign w:val="bottom"/>
            <w:gridSpan w:val="21"/>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360" w:type="dxa"/>
            <w:vAlign w:val="bottom"/>
            <w:gridSpan w:val="26"/>
            <w:shd w:val="clear" w:color="auto" w:fill="CCEEFF"/>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Item 2. Unregistered Sales of Equity Securities and Use of Proceeds</w:t>
              </w:r>
            </w:hyperlink>
          </w:p>
        </w:tc>
        <w:tc>
          <w:tcPr>
            <w:tcW w:w="4220" w:type="dxa"/>
            <w:vAlign w:val="bottom"/>
            <w:gridSpan w:val="4"/>
            <w:shd w:val="clear" w:color="auto" w:fill="CCEEFF"/>
          </w:tcPr>
          <w:p>
            <w:pPr>
              <w:spacing w:after="0"/>
              <w:rPr>
                <w:sz w:val="15"/>
                <w:szCs w:val="15"/>
                <w:color w:val="auto"/>
              </w:rPr>
            </w:pPr>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gridSpan w:val="26"/>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Item 3. Defaults Upon Senior Securities</w:t>
              </w:r>
            </w:hyperlink>
          </w:p>
        </w:tc>
        <w:tc>
          <w:tcPr>
            <w:tcW w:w="4220" w:type="dxa"/>
            <w:vAlign w:val="bottom"/>
            <w:gridSpan w:val="4"/>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61">
              <w:r>
                <w:rPr>
                  <w:rFonts w:ascii="Arial" w:cs="Arial" w:eastAsia="Arial" w:hAnsi="Arial"/>
                  <w:sz w:val="14"/>
                  <w:szCs w:val="14"/>
                  <w:color w:val="0000EE"/>
                </w:rPr>
                <w:t>61</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30"/>
            <w:shd w:val="clear" w:color="auto" w:fill="CCEEFF"/>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Item 4. Mine Safety Disclosures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61">
              <w:r>
                <w:rPr>
                  <w:rFonts w:ascii="Arial" w:cs="Arial" w:eastAsia="Arial" w:hAnsi="Arial"/>
                  <w:sz w:val="14"/>
                  <w:szCs w:val="14"/>
                  <w:color w:val="0000EE"/>
                </w:rPr>
                <w:t>61</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12"/>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Item 5. Other Information</w:t>
              </w:r>
            </w:hyperlink>
          </w:p>
        </w:tc>
        <w:tc>
          <w:tcPr>
            <w:tcW w:w="6560" w:type="dxa"/>
            <w:vAlign w:val="bottom"/>
            <w:gridSpan w:val="18"/>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61">
              <w:r>
                <w:rPr>
                  <w:rFonts w:ascii="Arial" w:cs="Arial" w:eastAsia="Arial" w:hAnsi="Arial"/>
                  <w:sz w:val="14"/>
                  <w:szCs w:val="14"/>
                  <w:color w:val="0000EE"/>
                </w:rPr>
                <w:t>61</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30"/>
            <w:shd w:val="clear" w:color="auto" w:fill="CCEEFF"/>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Item 6. Exhibits</w:t>
              </w:r>
            </w:hyperlink>
          </w:p>
        </w:tc>
        <w:tc>
          <w:tcPr>
            <w:tcW w:w="2560" w:type="dxa"/>
            <w:vAlign w:val="bottom"/>
            <w:gridSpan w:val="4"/>
            <w:shd w:val="clear" w:color="auto" w:fill="CCEEFF"/>
          </w:tcPr>
          <w:p>
            <w:pPr>
              <w:jc w:val="right"/>
              <w:ind w:right="20"/>
              <w:spacing w:after="0"/>
              <w:rPr>
                <w:rFonts w:ascii="Arial" w:cs="Arial" w:eastAsia="Arial" w:hAnsi="Arial"/>
                <w:sz w:val="14"/>
                <w:szCs w:val="14"/>
                <w:color w:val="0000EE"/>
              </w:rPr>
            </w:pPr>
            <w:hyperlink w:anchor="page62">
              <w:r>
                <w:rPr>
                  <w:rFonts w:ascii="Arial" w:cs="Arial" w:eastAsia="Arial" w:hAnsi="Arial"/>
                  <w:sz w:val="14"/>
                  <w:szCs w:val="14"/>
                  <w:color w:val="0000EE"/>
                </w:rPr>
                <w:t>62</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Signature</w:t>
              </w:r>
            </w:hyperlink>
          </w:p>
        </w:tc>
        <w:tc>
          <w:tcPr>
            <w:tcW w:w="360" w:type="dxa"/>
            <w:vAlign w:val="bottom"/>
          </w:tcPr>
          <w:p>
            <w:pPr>
              <w:spacing w:after="0"/>
              <w:rPr>
                <w:sz w:val="15"/>
                <w:szCs w:val="15"/>
                <w:color w:val="auto"/>
              </w:rPr>
            </w:pPr>
          </w:p>
        </w:tc>
        <w:tc>
          <w:tcPr>
            <w:tcW w:w="7600" w:type="dxa"/>
            <w:vAlign w:val="bottom"/>
            <w:gridSpan w:val="27"/>
          </w:tcPr>
          <w:p>
            <w:pPr>
              <w:spacing w:after="0"/>
              <w:rPr>
                <w:sz w:val="15"/>
                <w:szCs w:val="15"/>
                <w:color w:val="auto"/>
              </w:rPr>
            </w:pPr>
          </w:p>
        </w:tc>
        <w:tc>
          <w:tcPr>
            <w:tcW w:w="2560" w:type="dxa"/>
            <w:vAlign w:val="bottom"/>
            <w:gridSpan w:val="4"/>
          </w:tcPr>
          <w:p>
            <w:pPr>
              <w:jc w:val="right"/>
              <w:ind w:right="20"/>
              <w:spacing w:after="0"/>
              <w:rPr>
                <w:rFonts w:ascii="Arial" w:cs="Arial" w:eastAsia="Arial" w:hAnsi="Arial"/>
                <w:sz w:val="14"/>
                <w:szCs w:val="14"/>
                <w:color w:val="0000EE"/>
              </w:rPr>
            </w:pPr>
            <w:hyperlink w:anchor="page63">
              <w:r>
                <w:rPr>
                  <w:rFonts w:ascii="Arial" w:cs="Arial" w:eastAsia="Arial" w:hAnsi="Arial"/>
                  <w:sz w:val="14"/>
                  <w:szCs w:val="14"/>
                  <w:color w:val="0000EE"/>
                </w:rPr>
                <w:t>63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of TechnipFMC plc (the Company, we, us, or our) contains “forward-looking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2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in this Quarterly Report on Form 10-Q, as well as the following:</w:t>
      </w:r>
    </w:p>
    <w:p>
      <w:pPr>
        <w:spacing w:after="0" w:line="116" w:lineRule="exact"/>
        <w:rPr>
          <w:sz w:val="20"/>
          <w:szCs w:val="20"/>
          <w:color w:val="auto"/>
        </w:rPr>
      </w:pPr>
    </w:p>
    <w:p>
      <w:pPr>
        <w:ind w:left="340" w:right="160" w:hanging="332"/>
        <w:spacing w:after="0" w:line="29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our ability to consummate our proposed separation and spin-off, and our ability to achieve the intended benefits and synergies of the transaction;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71" w:lineRule="exact"/>
        <w:rPr>
          <w:rFonts w:ascii="Arial" w:cs="Arial" w:eastAsia="Arial" w:hAnsi="Arial"/>
          <w:sz w:val="18"/>
          <w:szCs w:val="18"/>
          <w:color w:val="auto"/>
        </w:rPr>
      </w:pPr>
    </w:p>
    <w:p>
      <w:pPr>
        <w:ind w:left="340" w:right="140" w:hanging="332"/>
        <w:spacing w:after="0" w:line="29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90" w:lineRule="exact"/>
        <w:rPr>
          <w:rFonts w:ascii="Arial" w:cs="Arial" w:eastAsia="Arial" w:hAnsi="Arial"/>
          <w:sz w:val="18"/>
          <w:szCs w:val="18"/>
          <w:color w:val="auto"/>
        </w:rPr>
      </w:pPr>
    </w:p>
    <w:p>
      <w:pPr>
        <w:ind w:left="340" w:right="640" w:hanging="332"/>
        <w:spacing w:after="0" w:line="29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capital asset construction projects that may affect revenues;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subcontractors, suppliers, and joint venture partners in the performance of our contracts;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71" w:lineRule="exact"/>
        <w:rPr>
          <w:rFonts w:ascii="Arial" w:cs="Arial" w:eastAsia="Arial" w:hAnsi="Arial"/>
          <w:sz w:val="18"/>
          <w:szCs w:val="18"/>
          <w:color w:val="auto"/>
        </w:rPr>
      </w:pPr>
    </w:p>
    <w:p>
      <w:pPr>
        <w:ind w:left="340" w:right="320" w:hanging="332"/>
        <w:spacing w:after="0" w:line="29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existing or future environmental regulations, that may increase our costs, limit the demand for our products and services or restrict our operations;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171" w:lineRule="exact"/>
        <w:rPr>
          <w:rFonts w:ascii="Arial" w:cs="Arial" w:eastAsia="Arial" w:hAnsi="Arial"/>
          <w:sz w:val="18"/>
          <w:szCs w:val="18"/>
          <w:color w:val="auto"/>
        </w:rPr>
      </w:pPr>
    </w:p>
    <w:p>
      <w:pPr>
        <w:ind w:left="340" w:right="280" w:hanging="332"/>
        <w:spacing w:after="0" w:line="29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United Kingdom’s proposed withdrawal from the European Union;</w:t>
      </w:r>
    </w:p>
    <w:p>
      <w:pPr>
        <w:spacing w:after="0" w:line="171" w:lineRule="exact"/>
        <w:rPr>
          <w:rFonts w:ascii="Arial" w:cs="Arial" w:eastAsia="Arial" w:hAnsi="Arial"/>
          <w:sz w:val="18"/>
          <w:szCs w:val="18"/>
          <w:color w:val="auto"/>
        </w:rPr>
      </w:pPr>
    </w:p>
    <w:p>
      <w:pPr>
        <w:jc w:val="both"/>
        <w:ind w:left="340" w:right="100" w:hanging="332"/>
        <w:spacing w:after="0" w:line="27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36" w:right="259" w:bottom="1440" w:gutter="0" w:footer="0" w:header="0"/>
        </w:sectPr>
      </w:pPr>
    </w:p>
    <w:bookmarkStart w:id="3" w:name="page4"/>
    <w:bookmarkEnd w:id="3"/>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merger-related costs;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acquisition and divestiture activities;</w:t>
      </w:r>
    </w:p>
    <w:p>
      <w:pPr>
        <w:spacing w:after="0" w:line="171" w:lineRule="exact"/>
        <w:rPr>
          <w:rFonts w:ascii="Arial" w:cs="Arial" w:eastAsia="Arial" w:hAnsi="Arial"/>
          <w:sz w:val="18"/>
          <w:szCs w:val="18"/>
          <w:color w:val="auto"/>
        </w:rPr>
      </w:pPr>
    </w:p>
    <w:p>
      <w:pPr>
        <w:ind w:left="340" w:right="380" w:hanging="332"/>
        <w:spacing w:after="0" w:line="29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 including related to cyber attacks, and actual or perceived failure to comply with data security and privacy obligations;</w:t>
      </w:r>
    </w:p>
    <w:p>
      <w:pPr>
        <w:spacing w:after="0" w:line="90"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0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tax liabilities, changes in U.S. federal or international tax laws, or interpretations to which we are subject;</w:t>
      </w:r>
    </w:p>
    <w:p>
      <w:pPr>
        <w:spacing w:after="0" w:line="171" w:lineRule="exact"/>
        <w:rPr>
          <w:rFonts w:ascii="Arial" w:cs="Arial" w:eastAsia="Arial" w:hAnsi="Arial"/>
          <w:sz w:val="18"/>
          <w:szCs w:val="18"/>
          <w:color w:val="auto"/>
        </w:rPr>
      </w:pPr>
    </w:p>
    <w:p>
      <w:pPr>
        <w:ind w:left="340" w:right="360" w:hanging="332"/>
        <w:spacing w:after="0" w:line="29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remedial measures to address our material weaknesses could be insufficient or additional issues relating to disclosure controls and procedures or internal control over financial reporting could be identified; and</w:t>
      </w:r>
    </w:p>
    <w:p>
      <w:pPr>
        <w:spacing w:after="0" w:line="90" w:lineRule="exact"/>
        <w:rPr>
          <w:rFonts w:ascii="Arial" w:cs="Arial" w:eastAsia="Arial" w:hAnsi="Arial"/>
          <w:sz w:val="18"/>
          <w:szCs w:val="18"/>
          <w:color w:val="auto"/>
        </w:rPr>
      </w:pPr>
    </w:p>
    <w:p>
      <w:pPr>
        <w:ind w:left="340" w:right="400" w:hanging="332"/>
        <w:spacing w:after="0" w:line="29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U.S. Securities and Exchange Commission and in our filings with the Autorité des marchés financiers or the U.K. Financial Conduct Authority.</w:t>
      </w:r>
    </w:p>
    <w:p>
      <w:pPr>
        <w:spacing w:after="0" w:line="9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76"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6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5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3"/>
                <w:szCs w:val="23"/>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65"/>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2,409.6</w:t>
            </w:r>
          </w:p>
        </w:tc>
        <w:tc>
          <w:tcPr>
            <w:tcW w:w="12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2,276.9</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7,009.5</w:t>
            </w:r>
          </w:p>
        </w:tc>
        <w:tc>
          <w:tcPr>
            <w:tcW w:w="10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6,616.9</w:t>
            </w: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839.8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806.2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2,471.9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2,449.6</w:t>
            </w:r>
          </w:p>
        </w:tc>
      </w:tr>
      <w:tr>
        <w:trPr>
          <w:trHeight w:val="266"/>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Lease revenue</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163.4</w:t>
            </w:r>
          </w:p>
        </w:tc>
      </w:tr>
      <w:tr>
        <w:trPr>
          <w:trHeight w:val="25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3,335.1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3,143.8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9,682.3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9,229.9</w:t>
            </w:r>
          </w:p>
        </w:tc>
      </w:tr>
      <w:tr>
        <w:trPr>
          <w:trHeight w:val="28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1,926.0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1,860.2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5,520.1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5,488.4</w:t>
            </w: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743.9</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667.4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2,237.2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1,917.5</w:t>
            </w: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Cost of lease revenue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126.2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99.4</w:t>
            </w: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919.7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835.1</w:t>
            </w: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133.3</w:t>
            </w: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16)</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Separation costs (Note 2)</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Merger transaction and integration costs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r>
      <w:tr>
        <w:trPr>
          <w:trHeight w:val="249"/>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3,221.0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2,863.7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9,119.8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8,527.2</w:t>
            </w:r>
          </w:p>
        </w:tc>
      </w:tr>
      <w:tr>
        <w:trPr>
          <w:trHeight w:val="285"/>
        </w:trPr>
        <w:tc>
          <w:tcPr>
            <w:tcW w:w="5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Other income (expense), net</w:t>
            </w: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from equity affiliates (Note 11)</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Income before net interest expense and income taxes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460.0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760.7</w:t>
            </w: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expense</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(116.5)</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(244.3)</w:t>
            </w: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516.4</w:t>
            </w: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income taxes (Note 18)</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81.1</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180.7</w:t>
            </w:r>
          </w:p>
        </w:tc>
      </w:tr>
      <w:tr>
        <w:trPr>
          <w:trHeight w:val="249"/>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335.7</w:t>
            </w:r>
          </w:p>
        </w:tc>
      </w:tr>
      <w:tr>
        <w:trPr>
          <w:trHeight w:val="267"/>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noncontrolling interests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8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(119.1)</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337.7</w:t>
            </w:r>
          </w:p>
        </w:tc>
      </w:tr>
      <w:tr>
        <w:trPr>
          <w:trHeight w:val="264"/>
        </w:trPr>
        <w:tc>
          <w:tcPr>
            <w:tcW w:w="5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Earnings (loss) per share attributable to TechnipFMC plc (Note 8)</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0.73</w:t>
            </w:r>
          </w:p>
        </w:tc>
      </w:tr>
      <w:tr>
        <w:trPr>
          <w:trHeight w:val="266"/>
        </w:trPr>
        <w:tc>
          <w:tcPr>
            <w:tcW w:w="5160" w:type="dxa"/>
            <w:vAlign w:val="bottom"/>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0.73</w:t>
            </w:r>
          </w:p>
        </w:tc>
      </w:tr>
      <w:tr>
        <w:trPr>
          <w:trHeight w:val="288"/>
        </w:trPr>
        <w:tc>
          <w:tcPr>
            <w:tcW w:w="5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Weighted average shares outstanding (Note 8)</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446.9</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460.0</w:t>
            </w:r>
          </w:p>
        </w:tc>
      </w:tr>
      <w:tr>
        <w:trPr>
          <w:trHeight w:val="262"/>
        </w:trPr>
        <w:tc>
          <w:tcPr>
            <w:tcW w:w="5160" w:type="dxa"/>
            <w:vAlign w:val="bottom"/>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446.9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459.0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448.6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464.0</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3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6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3"/>
                <w:szCs w:val="23"/>
                <w:color w:val="auto"/>
              </w:rPr>
            </w:pPr>
          </w:p>
        </w:tc>
      </w:tr>
      <w:tr>
        <w:trPr>
          <w:trHeight w:val="277"/>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Net income (loss)</w:t>
            </w:r>
          </w:p>
        </w:tc>
        <w:tc>
          <w:tcPr>
            <w:tcW w:w="3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(115.3)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335.7</w:t>
            </w:r>
          </w:p>
        </w:tc>
      </w:tr>
      <w:tr>
        <w:trPr>
          <w:trHeight w:val="270"/>
        </w:trPr>
        <w:tc>
          <w:tcPr>
            <w:tcW w:w="5160" w:type="dxa"/>
            <w:vAlign w:val="bottom"/>
            <w:gridSpan w:val="3"/>
          </w:tcPr>
          <w:p>
            <w:pPr>
              <w:ind w:left="40"/>
              <w:spacing w:after="0"/>
              <w:rPr>
                <w:sz w:val="20"/>
                <w:szCs w:val="20"/>
                <w:color w:val="auto"/>
              </w:rPr>
            </w:pPr>
            <w:r>
              <w:rPr>
                <w:rFonts w:ascii="Arial" w:cs="Arial" w:eastAsia="Arial" w:hAnsi="Arial"/>
                <w:sz w:val="14"/>
                <w:szCs w:val="14"/>
                <w:color w:val="auto"/>
              </w:rPr>
              <w:t>Foreign currency translation adjustments</w:t>
            </w:r>
            <w:r>
              <w:rPr>
                <w:rFonts w:ascii="Arial" w:cs="Arial" w:eastAsia="Arial" w:hAnsi="Arial"/>
                <w:sz w:val="17"/>
                <w:szCs w:val="17"/>
                <w:color w:val="auto"/>
                <w:vertAlign w:val="superscript"/>
              </w:rPr>
              <w:t>(a)</w:t>
            </w: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(282.1)</w:t>
            </w:r>
          </w:p>
        </w:tc>
      </w:tr>
      <w:tr>
        <w:trPr>
          <w:trHeight w:val="284"/>
        </w:trPr>
        <w:tc>
          <w:tcPr>
            <w:tcW w:w="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6"/>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Net gains (losses) on hedging instruments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4"/>
        </w:trPr>
        <w:tc>
          <w:tcPr>
            <w:tcW w:w="40" w:type="dxa"/>
            <w:vAlign w:val="bottom"/>
            <w:shd w:val="clear" w:color="auto" w:fill="CCEEFF"/>
          </w:tcPr>
          <w:p>
            <w:pPr>
              <w:spacing w:after="0"/>
              <w:rPr>
                <w:sz w:val="23"/>
                <w:szCs w:val="23"/>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Net gain (losses) arising during the period</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66"/>
        </w:trPr>
        <w:tc>
          <w:tcPr>
            <w:tcW w:w="4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Reclassification adjustment for net losses included in net income</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254"/>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Net gains (losses) on hedging instruments</w:t>
            </w:r>
            <w:r>
              <w:rPr>
                <w:rFonts w:ascii="Arial" w:cs="Arial" w:eastAsia="Arial" w:hAnsi="Arial"/>
                <w:sz w:val="17"/>
                <w:szCs w:val="17"/>
                <w:b w:val="1"/>
                <w:bCs w:val="1"/>
                <w:color w:val="auto"/>
                <w:vertAlign w:val="superscript"/>
              </w:rPr>
              <w:t>(b)</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284"/>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6"/>
        </w:trPr>
        <w:tc>
          <w:tcPr>
            <w:tcW w:w="40" w:type="dxa"/>
            <w:vAlign w:val="bottom"/>
          </w:tcPr>
          <w:p>
            <w:pPr>
              <w:spacing w:after="0"/>
              <w:rPr>
                <w:sz w:val="23"/>
                <w:szCs w:val="23"/>
                <w:color w:val="auto"/>
              </w:rPr>
            </w:pPr>
          </w:p>
        </w:tc>
        <w:tc>
          <w:tcPr>
            <w:tcW w:w="5120" w:type="dxa"/>
            <w:vAlign w:val="bottom"/>
            <w:gridSpan w:val="2"/>
          </w:tcPr>
          <w:p>
            <w:pPr>
              <w:ind w:left="240"/>
              <w:spacing w:after="0"/>
              <w:rPr>
                <w:sz w:val="20"/>
                <w:szCs w:val="20"/>
                <w:color w:val="auto"/>
              </w:rPr>
            </w:pPr>
            <w:r>
              <w:rPr>
                <w:rFonts w:ascii="Arial" w:cs="Arial" w:eastAsia="Arial" w:hAnsi="Arial"/>
                <w:sz w:val="14"/>
                <w:szCs w:val="14"/>
                <w:color w:val="auto"/>
              </w:rPr>
              <w:t>Net gains arising during the period</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180"/>
        </w:trPr>
        <w:tc>
          <w:tcPr>
            <w:tcW w:w="40" w:type="dxa"/>
            <w:vAlign w:val="bottom"/>
            <w:shd w:val="clear" w:color="auto" w:fill="CCEEFF"/>
          </w:tcPr>
          <w:p>
            <w:pPr>
              <w:spacing w:after="0"/>
              <w:rPr>
                <w:sz w:val="15"/>
                <w:szCs w:val="15"/>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Reclassification adjustment for amortization of prior service cost included in</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2"/>
        </w:trPr>
        <w:tc>
          <w:tcPr>
            <w:tcW w:w="40" w:type="dxa"/>
            <w:vAlign w:val="bottom"/>
            <w:shd w:val="clear" w:color="auto" w:fill="CCEEFF"/>
          </w:tcPr>
          <w:p>
            <w:pPr>
              <w:spacing w:after="0"/>
              <w:rPr>
                <w:sz w:val="17"/>
                <w:szCs w:val="17"/>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50"/>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7"/>
                <w:szCs w:val="17"/>
                <w:b w:val="1"/>
                <w:bCs w:val="1"/>
                <w:color w:val="auto"/>
                <w:vertAlign w:val="superscript"/>
              </w:rPr>
              <w:t>(c)</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r>
      <w:tr>
        <w:trPr>
          <w:trHeight w:val="250"/>
        </w:trPr>
        <w:tc>
          <w:tcPr>
            <w:tcW w:w="40" w:type="dxa"/>
            <w:vAlign w:val="bottom"/>
            <w:shd w:val="clear" w:color="auto" w:fill="CCEEFF"/>
          </w:tcPr>
          <w:p>
            <w:pPr>
              <w:spacing w:after="0"/>
              <w:rPr>
                <w:sz w:val="21"/>
                <w:szCs w:val="21"/>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Other comprehensive losses, net of tax</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(95.6)</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(309.4)</w:t>
            </w:r>
          </w:p>
        </w:tc>
      </w:tr>
      <w:tr>
        <w:trPr>
          <w:trHeight w:val="24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3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(210.9)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26.3</w:t>
            </w:r>
          </w:p>
        </w:tc>
      </w:tr>
      <w:tr>
        <w:trPr>
          <w:trHeight w:val="267"/>
        </w:trPr>
        <w:tc>
          <w:tcPr>
            <w:tcW w:w="40" w:type="dxa"/>
            <w:vAlign w:val="bottom"/>
            <w:shd w:val="clear" w:color="auto" w:fill="CCEEFF"/>
          </w:tcPr>
          <w:p>
            <w:pPr>
              <w:spacing w:after="0"/>
              <w:rPr>
                <w:sz w:val="23"/>
                <w:szCs w:val="23"/>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41"/>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(210.3)</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40" w:right="240" w:hanging="332"/>
        <w:spacing w:after="0" w:line="28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$7.9 and nil for the three months ended September 30, 2019 and 2018, respectively, and $7.9 and $(0.5) for the nine months ended September 30, 2019 and 2018, respectively.</w:t>
      </w:r>
    </w:p>
    <w:p>
      <w:pPr>
        <w:spacing w:after="0" w:line="1" w:lineRule="exact"/>
        <w:rPr>
          <w:rFonts w:ascii="Arial" w:cs="Arial" w:eastAsia="Arial" w:hAnsi="Arial"/>
          <w:sz w:val="14"/>
          <w:szCs w:val="14"/>
          <w:color w:val="auto"/>
        </w:rPr>
      </w:pPr>
    </w:p>
    <w:p>
      <w:pPr>
        <w:ind w:left="340" w:right="380" w:hanging="332"/>
        <w:spacing w:after="0" w:line="28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$14.4 and $(4.1) for the three months ended September 30, 2019 and 2018, respectively. and $14.1 and $4.8 for the nine months ended September 30, 2019 and 2018, respectively.</w:t>
      </w:r>
    </w:p>
    <w:p>
      <w:pPr>
        <w:spacing w:after="0" w:line="1" w:lineRule="exact"/>
        <w:rPr>
          <w:rFonts w:ascii="Arial" w:cs="Arial" w:eastAsia="Arial" w:hAnsi="Arial"/>
          <w:sz w:val="14"/>
          <w:szCs w:val="14"/>
          <w:color w:val="auto"/>
        </w:rPr>
      </w:pPr>
    </w:p>
    <w:p>
      <w:pPr>
        <w:ind w:left="340" w:right="360" w:hanging="332"/>
        <w:spacing w:after="0" w:line="29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$(0.2) and $(0.3) for the three months ended September 30, 2019 and 2018, respectively, and $0.4 and $(0.5) for the nine months ended September 30, 2019 and 2018,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3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par value data)</w:t>
            </w: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4,504.4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5,540.0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of allowances of $109.7 in 2019 and $119.6 in 2018</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2,469.7</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Contract assets</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1,503.0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1,295.0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 net (Note 9)</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1,411.9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1,251.2</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Derivative financial instruments (Note 19)</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receivable</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284.3</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Advances paid to suppliers</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189.7</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 (Note 10)</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744.2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655.6</w:t>
            </w:r>
          </w:p>
        </w:tc>
        <w:tc>
          <w:tcPr>
            <w:tcW w:w="0" w:type="dxa"/>
            <w:vAlign w:val="bottom"/>
          </w:tcPr>
          <w:p>
            <w:pPr>
              <w:spacing w:after="0"/>
              <w:rPr>
                <w:sz w:val="1"/>
                <w:szCs w:val="1"/>
                <w:color w:val="auto"/>
              </w:rPr>
            </w:pPr>
          </w:p>
        </w:tc>
      </w:tr>
      <w:tr>
        <w:trPr>
          <w:trHeight w:val="250"/>
        </w:trPr>
        <w:tc>
          <w:tcPr>
            <w:tcW w:w="858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10,993.4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11,781.2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equity affiliates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433.3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Property, plant and equipment, net of accumulated depreciation of $2,054.0 in 2019 and $2,068.5 in 2018</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3,092.0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3,259.8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right-of-use assets (Note 5)</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904.5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7,577.3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7,607.6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 of accumulated amortization of $728.3 in 2019 and $658.1 in 2018</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1,105.6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1,176.7</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333.7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 (Note 19)</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293.8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314.0</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24,779.7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24,784.5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Liabilities and equity</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Short-term debt and current portion of long-term debt (Note 13)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299.4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 (Note 5)</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2,556.4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2,600.3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4,122.5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4,085.1</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Accrued payroll</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402.1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394.7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 (Note 19)</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138.4</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 (Note 10)</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1,471.0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1,771.6</w:t>
            </w:r>
          </w:p>
        </w:tc>
        <w:tc>
          <w:tcPr>
            <w:tcW w:w="0" w:type="dxa"/>
            <w:vAlign w:val="bottom"/>
          </w:tcPr>
          <w:p>
            <w:pPr>
              <w:spacing w:after="0"/>
              <w:rPr>
                <w:sz w:val="1"/>
                <w:szCs w:val="1"/>
                <w:color w:val="auto"/>
              </w:rPr>
            </w:pPr>
          </w:p>
        </w:tc>
      </w:tr>
      <w:tr>
        <w:trPr>
          <w:trHeight w:val="250"/>
        </w:trPr>
        <w:tc>
          <w:tcPr>
            <w:tcW w:w="858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9,396.0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9,139.4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less current portion (Note 13)</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3,608.8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4,124.3</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Operating lease liabilities (Note 5)</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743.4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272.3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298.9</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 (Note 19)</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316.3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540.4</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14,617.4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14,357.1</w:t>
            </w:r>
          </w:p>
        </w:tc>
        <w:tc>
          <w:tcPr>
            <w:tcW w:w="0" w:type="dxa"/>
            <w:vAlign w:val="bottom"/>
          </w:tcPr>
          <w:p>
            <w:pPr>
              <w:spacing w:after="0"/>
              <w:rPr>
                <w:sz w:val="1"/>
                <w:szCs w:val="1"/>
                <w:color w:val="auto"/>
              </w:rPr>
            </w:pPr>
          </w:p>
        </w:tc>
      </w:tr>
      <w:tr>
        <w:trPr>
          <w:trHeight w:val="244"/>
        </w:trPr>
        <w:tc>
          <w:tcPr>
            <w:tcW w:w="8580" w:type="dxa"/>
            <w:vAlign w:val="bottom"/>
          </w:tcPr>
          <w:p>
            <w:pPr>
              <w:ind w:left="280"/>
              <w:spacing w:after="0"/>
              <w:rPr>
                <w:sz w:val="20"/>
                <w:szCs w:val="20"/>
                <w:color w:val="auto"/>
              </w:rPr>
            </w:pPr>
            <w:r>
              <w:rPr>
                <w:rFonts w:ascii="Arial" w:cs="Arial" w:eastAsia="Arial" w:hAnsi="Arial"/>
                <w:sz w:val="14"/>
                <w:szCs w:val="14"/>
                <w:color w:val="auto"/>
              </w:rPr>
              <w:t>Commitments and contingent liabilities (Note 17)</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Mezzanine equity</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Redeemable noncontrolling interest (Note 20)</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Stockholders’ equity (Note 14)</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580" w:type="dxa"/>
            <w:vAlign w:val="bottom"/>
          </w:tcPr>
          <w:p>
            <w:pPr>
              <w:ind w:left="280"/>
              <w:spacing w:after="0" w:line="159" w:lineRule="exact"/>
              <w:rPr>
                <w:sz w:val="20"/>
                <w:szCs w:val="20"/>
                <w:color w:val="auto"/>
              </w:rPr>
            </w:pPr>
            <w:r>
              <w:rPr>
                <w:rFonts w:ascii="Arial" w:cs="Arial" w:eastAsia="Arial" w:hAnsi="Arial"/>
                <w:sz w:val="14"/>
                <w:szCs w:val="14"/>
                <w:color w:val="auto"/>
              </w:rPr>
              <w:t>Ordinary shares, $1.00 par value; 618.3 shares and 618.3 shares authorized in 2019 and 2018, respectively; 447.1 shares and 450.5</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580" w:type="dxa"/>
            <w:vAlign w:val="bottom"/>
          </w:tcPr>
          <w:p>
            <w:pPr>
              <w:ind w:left="280"/>
              <w:spacing w:after="0"/>
              <w:rPr>
                <w:sz w:val="20"/>
                <w:szCs w:val="20"/>
                <w:color w:val="auto"/>
              </w:rPr>
            </w:pPr>
            <w:r>
              <w:rPr>
                <w:rFonts w:ascii="Arial" w:cs="Arial" w:eastAsia="Arial" w:hAnsi="Arial"/>
                <w:sz w:val="14"/>
                <w:szCs w:val="14"/>
                <w:color w:val="auto"/>
              </w:rPr>
              <w:t>shares issued and outstanding in 2019 and 2018, respectively; 4.0 and 14.8 shares canceled in 2019 and 2018, respectively</w:t>
            </w:r>
          </w:p>
        </w:tc>
        <w:tc>
          <w:tcPr>
            <w:tcW w:w="140" w:type="dxa"/>
            <w:vAlign w:val="bottom"/>
          </w:tcPr>
          <w:p>
            <w:pPr>
              <w:spacing w:after="0"/>
              <w:rPr>
                <w:sz w:val="16"/>
                <w:szCs w:val="16"/>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447.1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450.5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Ordinary shares held in employee benefit trust, at cost; nil and 0.1 shares in 2019 and 2018, respectively</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Capital in excess of par value of ordinary shares</w:t>
            </w:r>
          </w:p>
        </w:tc>
        <w:tc>
          <w:tcPr>
            <w:tcW w:w="140" w:type="dxa"/>
            <w:vAlign w:val="bottom"/>
          </w:tcPr>
          <w:p>
            <w:pPr>
              <w:spacing w:after="0"/>
              <w:rPr>
                <w:sz w:val="22"/>
                <w:szCs w:val="22"/>
                <w:color w:val="auto"/>
              </w:rPr>
            </w:pPr>
          </w:p>
        </w:tc>
        <w:tc>
          <w:tcPr>
            <w:tcW w:w="1240" w:type="dxa"/>
            <w:vAlign w:val="bottom"/>
          </w:tcPr>
          <w:p>
            <w:pPr>
              <w:jc w:val="right"/>
              <w:ind w:right="52"/>
              <w:spacing w:after="0"/>
              <w:rPr>
                <w:sz w:val="20"/>
                <w:szCs w:val="20"/>
                <w:color w:val="auto"/>
              </w:rPr>
            </w:pPr>
            <w:r>
              <w:rPr>
                <w:rFonts w:ascii="Arial" w:cs="Arial" w:eastAsia="Arial" w:hAnsi="Arial"/>
                <w:sz w:val="14"/>
                <w:szCs w:val="14"/>
                <w:color w:val="auto"/>
              </w:rPr>
              <w:t>10,169.7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10,197.0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901.6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1,072.2</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(1,439.5)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(1,359.7)</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TechnipFMC plc stockholders’ equity</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10,078.9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10,357.6</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44.9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10,123.8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10,388.9</w:t>
            </w:r>
          </w:p>
        </w:tc>
        <w:tc>
          <w:tcPr>
            <w:tcW w:w="0" w:type="dxa"/>
            <w:vAlign w:val="bottom"/>
          </w:tcPr>
          <w:p>
            <w:pPr>
              <w:spacing w:after="0"/>
              <w:rPr>
                <w:sz w:val="1"/>
                <w:szCs w:val="1"/>
                <w:color w:val="auto"/>
              </w:rPr>
            </w:pPr>
          </w:p>
        </w:tc>
      </w:tr>
      <w:tr>
        <w:trPr>
          <w:trHeight w:val="216"/>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24,779.7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24,784.5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420"/>
          </w:cols>
          <w:pgMar w:left="240" w:top="736" w:right="239" w:bottom="282"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36" w:right="239" w:bottom="282"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Nine Months Ended</w:t>
            </w:r>
          </w:p>
        </w:tc>
      </w:tr>
      <w:tr>
        <w:trPr>
          <w:trHeight w:val="217"/>
        </w:trPr>
        <w:tc>
          <w:tcPr>
            <w:tcW w:w="8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r>
      <w:tr>
        <w:trPr>
          <w:trHeight w:val="265"/>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3"/>
                <w:szCs w:val="23"/>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335.7</w:t>
            </w:r>
          </w:p>
        </w:tc>
      </w:tr>
      <w:tr>
        <w:trPr>
          <w:trHeight w:val="27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Adjustments to reconcile net income to cash provided (required)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282.5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276.3</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Impairments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14.1</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Employee benefit plan and share-based compensation costs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Deferred income tax provision (benefit), net</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(44.6)</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loss on derivative instruments and foreign exchange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Income from equity affiliates, net of dividends received</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(67.3)</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and contract assets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(259.6)</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trade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(938.2)</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 (receivable),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Other current assets and liabilities, net</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(431.1)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416.6</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noncurrent assets and liabilities, net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(182.6)</w:t>
            </w:r>
          </w:p>
        </w:tc>
      </w:tr>
      <w:tr>
        <w:trPr>
          <w:trHeight w:val="249"/>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(344.7)</w:t>
            </w:r>
          </w:p>
        </w:tc>
      </w:tr>
      <w:tr>
        <w:trPr>
          <w:trHeight w:val="278"/>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(368.4)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Payment to acquire debt securities</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debt securities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(103.4)</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divested from deconsolidation</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Proceeds from sale of assets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7.9</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repayment of advance to joint venture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9"/>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required by investing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(357.2)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(358.2)</w:t>
            </w:r>
          </w:p>
        </w:tc>
      </w:tr>
      <w:tr>
        <w:trPr>
          <w:trHeight w:val="278"/>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6"/>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Cash required by financing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decrease in short-term debt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Net (decrease) increase in commercial paper</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(255.5)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309.3</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Purchase of ordinary shares</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(384.2)</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w:t>
            </w:r>
          </w:p>
        </w:tc>
      </w:tr>
      <w:tr>
        <w:trPr>
          <w:trHeight w:val="266"/>
        </w:trPr>
        <w:tc>
          <w:tcPr>
            <w:tcW w:w="8580" w:type="dxa"/>
            <w:vAlign w:val="bottom"/>
          </w:tcPr>
          <w:p>
            <w:pPr>
              <w:ind w:left="280"/>
              <w:spacing w:after="0"/>
              <w:rPr>
                <w:sz w:val="20"/>
                <w:szCs w:val="20"/>
                <w:color w:val="auto"/>
              </w:rPr>
            </w:pPr>
            <w:r>
              <w:rPr>
                <w:rFonts w:ascii="Arial" w:cs="Arial" w:eastAsia="Arial" w:hAnsi="Arial"/>
                <w:sz w:val="14"/>
                <w:szCs w:val="14"/>
                <w:color w:val="auto"/>
              </w:rPr>
              <w:t>Settlements of mandatorily redeemable financial liability</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(443.7)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(124.2)</w:t>
            </w:r>
          </w:p>
        </w:tc>
      </w:tr>
      <w:tr>
        <w:trPr>
          <w:trHeight w:val="274"/>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49"/>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required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(898.9)</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(403.0)</w:t>
            </w:r>
          </w:p>
        </w:tc>
      </w:tr>
      <w:tr>
        <w:trPr>
          <w:trHeight w:val="247"/>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w:t>
            </w:r>
          </w:p>
        </w:tc>
      </w:tr>
      <w:tr>
        <w:trPr>
          <w:trHeight w:val="250"/>
        </w:trPr>
        <w:tc>
          <w:tcPr>
            <w:tcW w:w="8580" w:type="dxa"/>
            <w:vAlign w:val="bottom"/>
          </w:tcPr>
          <w:p>
            <w:pPr>
              <w:ind w:left="280"/>
              <w:spacing w:after="0"/>
              <w:rPr>
                <w:sz w:val="20"/>
                <w:szCs w:val="20"/>
                <w:color w:val="auto"/>
              </w:rPr>
            </w:pPr>
            <w:r>
              <w:rPr>
                <w:rFonts w:ascii="Arial" w:cs="Arial" w:eastAsia="Arial" w:hAnsi="Arial"/>
                <w:sz w:val="14"/>
                <w:szCs w:val="14"/>
                <w:color w:val="auto"/>
              </w:rPr>
              <w:t>Decrease in cash and cash equivalents</w:t>
            </w:r>
          </w:p>
        </w:tc>
        <w:tc>
          <w:tcPr>
            <w:tcW w:w="32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(1,035.6)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(1,184.1)</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5,540.0</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6,737.4</w:t>
            </w:r>
          </w:p>
        </w:tc>
      </w:tr>
      <w:tr>
        <w:trPr>
          <w:trHeight w:val="241"/>
        </w:trPr>
        <w:tc>
          <w:tcPr>
            <w:tcW w:w="858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4,504.4</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5,553.3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73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36" w:right="239" w:bottom="1440" w:gutter="0" w:footer="0" w:header="0"/>
          <w:type w:val="continuous"/>
        </w:sectPr>
      </w:pPr>
    </w:p>
    <w:bookmarkStart w:id="8" w:name="page9"/>
    <w:bookmarkEnd w:id="8"/>
    <w:p>
      <w:pPr>
        <w:jc w:val="center"/>
        <w:ind w:right="20"/>
        <w:spacing w:after="0" w:line="277"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THREE MONTHS ENDED SEPTEMBER 30, 2019 AND 2018</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Ordinary</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Shares Held in</w:t>
            </w:r>
          </w:p>
        </w:tc>
        <w:tc>
          <w:tcPr>
            <w:tcW w:w="12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Capital in</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Treasury and</w:t>
            </w: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1"/>
                <w:szCs w:val="11"/>
                <w:color w:val="auto"/>
              </w:rPr>
            </w:pPr>
          </w:p>
        </w:tc>
        <w:tc>
          <w:tcPr>
            <w:tcW w:w="108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9"/>
              </w:rPr>
              <w:t>Ordinary</w:t>
            </w:r>
          </w:p>
        </w:tc>
        <w:tc>
          <w:tcPr>
            <w:tcW w:w="16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Employee</w:t>
            </w:r>
          </w:p>
        </w:tc>
        <w:tc>
          <w:tcPr>
            <w:tcW w:w="12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4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Benefit</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Value of</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40" w:type="dxa"/>
            <w:vAlign w:val="bottom"/>
          </w:tcPr>
          <w:p>
            <w:pPr>
              <w:spacing w:after="0"/>
              <w:rPr>
                <w:sz w:val="11"/>
                <w:szCs w:val="11"/>
                <w:color w:val="auto"/>
              </w:rPr>
            </w:pPr>
          </w:p>
        </w:tc>
        <w:tc>
          <w:tcPr>
            <w:tcW w:w="10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82"/>
        </w:trPr>
        <w:tc>
          <w:tcPr>
            <w:tcW w:w="2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Shares</w:t>
            </w:r>
          </w:p>
        </w:tc>
        <w:tc>
          <w:tcPr>
            <w:tcW w:w="16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Trust</w:t>
            </w:r>
          </w:p>
        </w:tc>
        <w:tc>
          <w:tcPr>
            <w:tcW w:w="12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Ordinary Shares</w:t>
            </w:r>
          </w:p>
        </w:tc>
        <w:tc>
          <w:tcPr>
            <w:tcW w:w="1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4"/>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2018</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457.5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10,335.5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3,334.5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(1,180.1)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12,965.9</w:t>
            </w:r>
          </w:p>
        </w:tc>
        <w:tc>
          <w:tcPr>
            <w:tcW w:w="0" w:type="dxa"/>
            <w:vAlign w:val="bottom"/>
          </w:tcPr>
          <w:p>
            <w:pPr>
              <w:spacing w:after="0"/>
              <w:rPr>
                <w:sz w:val="1"/>
                <w:szCs w:val="1"/>
                <w:color w:val="auto"/>
              </w:rPr>
            </w:pPr>
          </w:p>
        </w:tc>
      </w:tr>
      <w:tr>
        <w:trPr>
          <w:trHeight w:val="263"/>
        </w:trPr>
        <w:tc>
          <w:tcPr>
            <w:tcW w:w="2220" w:type="dxa"/>
            <w:vAlign w:val="bottom"/>
          </w:tcPr>
          <w:p>
            <w:pPr>
              <w:ind w:left="160"/>
              <w:spacing w:after="0"/>
              <w:rPr>
                <w:sz w:val="20"/>
                <w:szCs w:val="20"/>
                <w:color w:val="auto"/>
              </w:rPr>
            </w:pPr>
            <w:r>
              <w:rPr>
                <w:rFonts w:ascii="Arial" w:cs="Arial" w:eastAsia="Arial" w:hAnsi="Arial"/>
                <w:sz w:val="13"/>
                <w:szCs w:val="13"/>
                <w:color w:val="auto"/>
              </w:rPr>
              <w:t>Net income (loss)</w:t>
            </w:r>
          </w:p>
        </w:tc>
        <w:tc>
          <w:tcPr>
            <w:tcW w:w="18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134.2</w:t>
            </w:r>
          </w:p>
        </w:tc>
        <w:tc>
          <w:tcPr>
            <w:tcW w:w="0" w:type="dxa"/>
            <w:vAlign w:val="bottom"/>
          </w:tcPr>
          <w:p>
            <w:pPr>
              <w:spacing w:after="0"/>
              <w:rPr>
                <w:sz w:val="1"/>
                <w:szCs w:val="1"/>
                <w:color w:val="auto"/>
              </w:rPr>
            </w:pPr>
          </w:p>
        </w:tc>
      </w:tr>
      <w:tr>
        <w:trPr>
          <w:trHeight w:val="277"/>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comprehensive loss</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(134.0)</w:t>
            </w:r>
          </w:p>
        </w:tc>
        <w:tc>
          <w:tcPr>
            <w:tcW w:w="0" w:type="dxa"/>
            <w:vAlign w:val="bottom"/>
          </w:tcPr>
          <w:p>
            <w:pPr>
              <w:spacing w:after="0"/>
              <w:rPr>
                <w:sz w:val="1"/>
                <w:szCs w:val="1"/>
                <w:color w:val="auto"/>
              </w:rPr>
            </w:pPr>
          </w:p>
        </w:tc>
      </w:tr>
      <w:tr>
        <w:trPr>
          <w:trHeight w:val="263"/>
        </w:trPr>
        <w:tc>
          <w:tcPr>
            <w:tcW w:w="2220" w:type="dxa"/>
            <w:vAlign w:val="bottom"/>
          </w:tcPr>
          <w:p>
            <w:pPr>
              <w:ind w:left="160"/>
              <w:spacing w:after="0"/>
              <w:rPr>
                <w:sz w:val="20"/>
                <w:szCs w:val="20"/>
                <w:color w:val="auto"/>
              </w:rPr>
            </w:pPr>
            <w:r>
              <w:rPr>
                <w:rFonts w:ascii="Arial" w:cs="Arial" w:eastAsia="Arial" w:hAnsi="Arial"/>
                <w:sz w:val="13"/>
                <w:szCs w:val="13"/>
                <w:color w:val="auto"/>
              </w:rPr>
              <w:t>Cancellation of treasury shares</w:t>
            </w:r>
          </w:p>
        </w:tc>
        <w:tc>
          <w:tcPr>
            <w:tcW w:w="18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(104.3)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(142.2)</w:t>
            </w:r>
          </w:p>
        </w:tc>
        <w:tc>
          <w:tcPr>
            <w:tcW w:w="0" w:type="dxa"/>
            <w:vAlign w:val="bottom"/>
          </w:tcPr>
          <w:p>
            <w:pPr>
              <w:spacing w:after="0"/>
              <w:rPr>
                <w:sz w:val="1"/>
                <w:szCs w:val="1"/>
                <w:color w:val="auto"/>
              </w:rPr>
            </w:pPr>
          </w:p>
        </w:tc>
      </w:tr>
      <w:tr>
        <w:trPr>
          <w:trHeight w:val="147"/>
        </w:trPr>
        <w:tc>
          <w:tcPr>
            <w:tcW w:w="2220" w:type="dxa"/>
            <w:vAlign w:val="bottom"/>
            <w:shd w:val="clear" w:color="auto" w:fill="CCEEFF"/>
          </w:tcPr>
          <w:p>
            <w:pPr>
              <w:ind w:left="160"/>
              <w:spacing w:after="0" w:line="148" w:lineRule="exact"/>
              <w:rPr>
                <w:sz w:val="20"/>
                <w:szCs w:val="20"/>
                <w:color w:val="auto"/>
              </w:rPr>
            </w:pPr>
            <w:r>
              <w:rPr>
                <w:rFonts w:ascii="Arial" w:cs="Arial" w:eastAsia="Arial" w:hAnsi="Arial"/>
                <w:sz w:val="13"/>
                <w:szCs w:val="13"/>
                <w:color w:val="auto"/>
              </w:rPr>
              <w:t>Net sales of ordinary shares for</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employee benefit trust</w:t>
            </w: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60"/>
              <w:spacing w:after="0" w:line="140" w:lineRule="exact"/>
              <w:rPr>
                <w:sz w:val="20"/>
                <w:szCs w:val="20"/>
                <w:color w:val="auto"/>
              </w:rPr>
            </w:pPr>
            <w:r>
              <w:rPr>
                <w:rFonts w:ascii="Arial" w:cs="Arial" w:eastAsia="Arial" w:hAnsi="Arial"/>
                <w:sz w:val="13"/>
                <w:szCs w:val="13"/>
                <w:color w:val="auto"/>
                <w:w w:val="99"/>
              </w:rPr>
              <w:t>Cash dividends declared ($0.13 per</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(59.0)</w:t>
            </w:r>
          </w:p>
        </w:tc>
        <w:tc>
          <w:tcPr>
            <w:tcW w:w="0" w:type="dxa"/>
            <w:vAlign w:val="bottom"/>
          </w:tcPr>
          <w:p>
            <w:pPr>
              <w:spacing w:after="0"/>
              <w:rPr>
                <w:sz w:val="1"/>
                <w:szCs w:val="1"/>
                <w:color w:val="auto"/>
              </w:rPr>
            </w:pPr>
          </w:p>
        </w:tc>
      </w:tr>
      <w:tr>
        <w:trPr>
          <w:trHeight w:val="177"/>
        </w:trPr>
        <w:tc>
          <w:tcPr>
            <w:tcW w:w="2220" w:type="dxa"/>
            <w:vAlign w:val="bottom"/>
          </w:tcPr>
          <w:p>
            <w:pPr>
              <w:ind w:left="160"/>
              <w:spacing w:after="0"/>
              <w:rPr>
                <w:sz w:val="20"/>
                <w:szCs w:val="20"/>
                <w:color w:val="auto"/>
              </w:rPr>
            </w:pPr>
            <w:r>
              <w:rPr>
                <w:rFonts w:ascii="Arial" w:cs="Arial" w:eastAsia="Arial" w:hAnsi="Arial"/>
                <w:sz w:val="13"/>
                <w:szCs w:val="13"/>
                <w:color w:val="auto"/>
              </w:rPr>
              <w:t>share)</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Share-based compensation</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283"/>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Balance as of September 30, 2018</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452.9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10,247.1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3,379.1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(1,313.9)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19.5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12,782.3</w:t>
            </w:r>
          </w:p>
        </w:tc>
        <w:tc>
          <w:tcPr>
            <w:tcW w:w="0" w:type="dxa"/>
            <w:vAlign w:val="bottom"/>
          </w:tcPr>
          <w:p>
            <w:pPr>
              <w:spacing w:after="0"/>
              <w:rPr>
                <w:sz w:val="1"/>
                <w:szCs w:val="1"/>
                <w:color w:val="auto"/>
              </w:rPr>
            </w:pPr>
          </w:p>
        </w:tc>
      </w:tr>
      <w:tr>
        <w:trPr>
          <w:trHeight w:val="251"/>
        </w:trPr>
        <w:tc>
          <w:tcPr>
            <w:tcW w:w="2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 2019</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446.5</w:t>
            </w:r>
          </w:p>
        </w:tc>
        <w:tc>
          <w:tcPr>
            <w:tcW w:w="120" w:type="dxa"/>
            <w:vAlign w:val="bottom"/>
          </w:tcPr>
          <w:p>
            <w:pPr>
              <w:spacing w:after="0"/>
              <w:rPr>
                <w:sz w:val="23"/>
                <w:szCs w:val="2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10,152.4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1,084.0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(1,348.3)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45.8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10,380.4</w:t>
            </w:r>
          </w:p>
        </w:tc>
        <w:tc>
          <w:tcPr>
            <w:tcW w:w="0" w:type="dxa"/>
            <w:vAlign w:val="bottom"/>
          </w:tcPr>
          <w:p>
            <w:pPr>
              <w:spacing w:after="0"/>
              <w:rPr>
                <w:sz w:val="1"/>
                <w:szCs w:val="1"/>
                <w:color w:val="auto"/>
              </w:rPr>
            </w:pPr>
          </w:p>
        </w:tc>
      </w:tr>
      <w:tr>
        <w:trPr>
          <w:trHeight w:val="274"/>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w:t>
            </w:r>
          </w:p>
        </w:tc>
        <w:tc>
          <w:tcPr>
            <w:tcW w:w="0" w:type="dxa"/>
            <w:vAlign w:val="bottom"/>
          </w:tcPr>
          <w:p>
            <w:pPr>
              <w:spacing w:after="0"/>
              <w:rPr>
                <w:sz w:val="1"/>
                <w:szCs w:val="1"/>
                <w:color w:val="auto"/>
              </w:rPr>
            </w:pPr>
          </w:p>
        </w:tc>
      </w:tr>
      <w:tr>
        <w:trPr>
          <w:trHeight w:val="263"/>
        </w:trPr>
        <w:tc>
          <w:tcPr>
            <w:tcW w:w="2220" w:type="dxa"/>
            <w:vAlign w:val="bottom"/>
          </w:tcPr>
          <w:p>
            <w:pPr>
              <w:ind w:left="160"/>
              <w:spacing w:after="0"/>
              <w:rPr>
                <w:sz w:val="20"/>
                <w:szCs w:val="20"/>
                <w:color w:val="auto"/>
              </w:rPr>
            </w:pPr>
            <w:r>
              <w:rPr>
                <w:rFonts w:ascii="Arial" w:cs="Arial" w:eastAsia="Arial" w:hAnsi="Arial"/>
                <w:sz w:val="13"/>
                <w:szCs w:val="13"/>
                <w:color w:val="auto"/>
              </w:rPr>
              <w:t>Other comprehensive loss</w:t>
            </w:r>
          </w:p>
        </w:tc>
        <w:tc>
          <w:tcPr>
            <w:tcW w:w="18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(95.6)</w:t>
            </w:r>
          </w:p>
        </w:tc>
        <w:tc>
          <w:tcPr>
            <w:tcW w:w="0" w:type="dxa"/>
            <w:vAlign w:val="bottom"/>
          </w:tcPr>
          <w:p>
            <w:pPr>
              <w:spacing w:after="0"/>
              <w:rPr>
                <w:sz w:val="1"/>
                <w:szCs w:val="1"/>
                <w:color w:val="auto"/>
              </w:rPr>
            </w:pPr>
          </w:p>
        </w:tc>
      </w:tr>
      <w:tr>
        <w:trPr>
          <w:trHeight w:val="277"/>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63"/>
        </w:trPr>
        <w:tc>
          <w:tcPr>
            <w:tcW w:w="2220" w:type="dxa"/>
            <w:vAlign w:val="bottom"/>
          </w:tcPr>
          <w:p>
            <w:pPr>
              <w:ind w:left="160"/>
              <w:spacing w:after="0"/>
              <w:rPr>
                <w:sz w:val="20"/>
                <w:szCs w:val="20"/>
                <w:color w:val="auto"/>
              </w:rPr>
            </w:pPr>
            <w:r>
              <w:rPr>
                <w:rFonts w:ascii="Arial" w:cs="Arial" w:eastAsia="Arial" w:hAnsi="Arial"/>
                <w:sz w:val="13"/>
                <w:szCs w:val="13"/>
                <w:color w:val="auto"/>
              </w:rPr>
              <w:t>Issuance of ordinary shares</w:t>
            </w:r>
          </w:p>
        </w:tc>
        <w:tc>
          <w:tcPr>
            <w:tcW w:w="180" w:type="dxa"/>
            <w:vAlign w:val="bottom"/>
          </w:tcPr>
          <w:p>
            <w:pPr>
              <w:spacing w:after="0"/>
              <w:rPr>
                <w:sz w:val="22"/>
                <w:szCs w:val="22"/>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7"/>
        </w:trPr>
        <w:tc>
          <w:tcPr>
            <w:tcW w:w="2220" w:type="dxa"/>
            <w:vAlign w:val="bottom"/>
            <w:shd w:val="clear" w:color="auto" w:fill="CCEEFF"/>
          </w:tcPr>
          <w:p>
            <w:pPr>
              <w:ind w:left="160"/>
              <w:spacing w:after="0" w:line="148" w:lineRule="exact"/>
              <w:rPr>
                <w:sz w:val="20"/>
                <w:szCs w:val="20"/>
                <w:color w:val="auto"/>
              </w:rPr>
            </w:pPr>
            <w:r>
              <w:rPr>
                <w:rFonts w:ascii="Arial" w:cs="Arial" w:eastAsia="Arial" w:hAnsi="Arial"/>
                <w:sz w:val="13"/>
                <w:szCs w:val="13"/>
                <w:color w:val="auto"/>
                <w:w w:val="99"/>
              </w:rPr>
              <w:t>Cash dividends declared ($0.13 per</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w:t>
            </w: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220" w:type="dxa"/>
            <w:vAlign w:val="bottom"/>
          </w:tcPr>
          <w:p>
            <w:pPr>
              <w:ind w:left="160"/>
              <w:spacing w:after="0"/>
              <w:rPr>
                <w:sz w:val="20"/>
                <w:szCs w:val="20"/>
                <w:color w:val="auto"/>
              </w:rPr>
            </w:pPr>
            <w:r>
              <w:rPr>
                <w:rFonts w:ascii="Arial" w:cs="Arial" w:eastAsia="Arial" w:hAnsi="Arial"/>
                <w:sz w:val="13"/>
                <w:szCs w:val="13"/>
                <w:color w:val="auto"/>
              </w:rPr>
              <w:t>Share-based compensation</w:t>
            </w:r>
          </w:p>
        </w:tc>
        <w:tc>
          <w:tcPr>
            <w:tcW w:w="18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43"/>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Balance as of September 30, 2019</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447.1</w:t>
            </w:r>
          </w:p>
        </w:tc>
        <w:tc>
          <w:tcPr>
            <w:tcW w:w="12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10,169.7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(1,439.5)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10,123.8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400" w:top="736" w:right="379" w:bottom="1440" w:gutter="0" w:footer="0" w:header="0"/>
        </w:sectPr>
      </w:pPr>
    </w:p>
    <w:bookmarkStart w:id="9" w:name="page10"/>
    <w:bookmarkEnd w:id="9"/>
    <w:p>
      <w:pPr>
        <w:jc w:val="center"/>
        <w:spacing w:after="0" w:line="277"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NINE MONTHS ENDED SEPTEMBER 30, 2019 AND 2018</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Ordinary</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Shares Held in</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Capital in</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Treasury and</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1"/>
                <w:szCs w:val="11"/>
                <w:color w:val="auto"/>
              </w:rPr>
            </w:pPr>
          </w:p>
        </w:tc>
        <w:tc>
          <w:tcPr>
            <w:tcW w:w="106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5"/>
              </w:rPr>
              <w:t>Ordinary</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Employee</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Benefit</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Value of</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40" w:type="dxa"/>
            <w:vAlign w:val="bottom"/>
          </w:tcPr>
          <w:p>
            <w:pPr>
              <w:spacing w:after="0"/>
              <w:rPr>
                <w:sz w:val="11"/>
                <w:szCs w:val="11"/>
                <w:color w:val="auto"/>
              </w:rPr>
            </w:pPr>
          </w:p>
        </w:tc>
        <w:tc>
          <w:tcPr>
            <w:tcW w:w="10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82"/>
        </w:trPr>
        <w:tc>
          <w:tcPr>
            <w:tcW w:w="2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Trust</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Ordinary Shares</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tcPr>
          <w:p>
            <w:pPr>
              <w:spacing w:after="0"/>
              <w:rPr>
                <w:sz w:val="15"/>
                <w:szCs w:val="15"/>
                <w:color w:val="auto"/>
              </w:rPr>
            </w:pPr>
          </w:p>
        </w:tc>
        <w:tc>
          <w:tcPr>
            <w:tcW w:w="106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4"/>
        </w:trPr>
        <w:tc>
          <w:tcPr>
            <w:tcW w:w="2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December 31, 2017</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10,483.3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3,406.0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13,367.4</w:t>
            </w:r>
          </w:p>
        </w:tc>
        <w:tc>
          <w:tcPr>
            <w:tcW w:w="0" w:type="dxa"/>
            <w:vAlign w:val="bottom"/>
          </w:tcPr>
          <w:p>
            <w:pPr>
              <w:spacing w:after="0"/>
              <w:rPr>
                <w:sz w:val="1"/>
                <w:szCs w:val="1"/>
                <w:color w:val="auto"/>
              </w:rPr>
            </w:pPr>
          </w:p>
        </w:tc>
      </w:tr>
      <w:tr>
        <w:trPr>
          <w:trHeight w:val="140"/>
        </w:trPr>
        <w:tc>
          <w:tcPr>
            <w:tcW w:w="2320" w:type="dxa"/>
            <w:vAlign w:val="bottom"/>
          </w:tcPr>
          <w:p>
            <w:pPr>
              <w:ind w:left="160"/>
              <w:spacing w:after="0" w:line="140" w:lineRule="exact"/>
              <w:rPr>
                <w:sz w:val="20"/>
                <w:szCs w:val="20"/>
                <w:color w:val="auto"/>
              </w:rPr>
            </w:pPr>
            <w:r>
              <w:rPr>
                <w:rFonts w:ascii="Arial" w:cs="Arial" w:eastAsia="Arial" w:hAnsi="Arial"/>
                <w:sz w:val="13"/>
                <w:szCs w:val="13"/>
                <w:color w:val="auto"/>
              </w:rPr>
              <w:t>Adoption of accounting standards</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(91.5)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r>
        <w:trPr>
          <w:trHeight w:val="177"/>
        </w:trPr>
        <w:tc>
          <w:tcPr>
            <w:tcW w:w="2320" w:type="dxa"/>
            <w:vAlign w:val="bottom"/>
          </w:tcPr>
          <w:p>
            <w:pPr>
              <w:ind w:left="160"/>
              <w:spacing w:after="0"/>
              <w:rPr>
                <w:sz w:val="20"/>
                <w:szCs w:val="20"/>
                <w:color w:val="auto"/>
              </w:rPr>
            </w:pPr>
            <w:r>
              <w:rPr>
                <w:rFonts w:ascii="Arial" w:cs="Arial" w:eastAsia="Arial" w:hAnsi="Arial"/>
                <w:sz w:val="13"/>
                <w:szCs w:val="13"/>
                <w:color w:val="auto"/>
              </w:rPr>
              <w:t>(Note 6)</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337.7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335.7</w:t>
            </w:r>
          </w:p>
        </w:tc>
        <w:tc>
          <w:tcPr>
            <w:tcW w:w="0" w:type="dxa"/>
            <w:vAlign w:val="bottom"/>
          </w:tcPr>
          <w:p>
            <w:pPr>
              <w:spacing w:after="0"/>
              <w:rPr>
                <w:sz w:val="1"/>
                <w:szCs w:val="1"/>
                <w:color w:val="auto"/>
              </w:rPr>
            </w:pPr>
          </w:p>
        </w:tc>
      </w:tr>
      <w:tr>
        <w:trPr>
          <w:trHeight w:val="95"/>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60"/>
              <w:spacing w:after="0"/>
              <w:rPr>
                <w:sz w:val="20"/>
                <w:szCs w:val="20"/>
                <w:color w:val="auto"/>
              </w:rPr>
            </w:pPr>
            <w:r>
              <w:rPr>
                <w:rFonts w:ascii="Arial" w:cs="Arial" w:eastAsia="Arial" w:hAnsi="Arial"/>
                <w:sz w:val="13"/>
                <w:szCs w:val="13"/>
                <w:color w:val="auto"/>
              </w:rPr>
              <w:t>Other comprehensive income (loss)</w:t>
            </w:r>
          </w:p>
        </w:tc>
        <w:tc>
          <w:tcPr>
            <w:tcW w:w="18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(310.2)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(309.4)</w:t>
            </w:r>
          </w:p>
        </w:tc>
        <w:tc>
          <w:tcPr>
            <w:tcW w:w="0" w:type="dxa"/>
            <w:vAlign w:val="bottom"/>
          </w:tcPr>
          <w:p>
            <w:pPr>
              <w:spacing w:after="0"/>
              <w:rPr>
                <w:sz w:val="1"/>
                <w:szCs w:val="1"/>
                <w:color w:val="auto"/>
              </w:rPr>
            </w:pPr>
          </w:p>
        </w:tc>
      </w:tr>
      <w:tr>
        <w:trPr>
          <w:trHeight w:val="88"/>
        </w:trPr>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(278.0)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(384.2)</w:t>
            </w:r>
          </w:p>
        </w:tc>
        <w:tc>
          <w:tcPr>
            <w:tcW w:w="0" w:type="dxa"/>
            <w:vAlign w:val="bottom"/>
          </w:tcPr>
          <w:p>
            <w:pPr>
              <w:spacing w:after="0"/>
              <w:rPr>
                <w:sz w:val="1"/>
                <w:szCs w:val="1"/>
                <w:color w:val="auto"/>
              </w:rPr>
            </w:pPr>
          </w:p>
        </w:tc>
      </w:tr>
      <w:tr>
        <w:trPr>
          <w:trHeight w:val="95"/>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60"/>
              <w:spacing w:after="0"/>
              <w:rPr>
                <w:sz w:val="20"/>
                <w:szCs w:val="20"/>
                <w:color w:val="auto"/>
              </w:rPr>
            </w:pPr>
            <w:r>
              <w:rPr>
                <w:rFonts w:ascii="Arial" w:cs="Arial" w:eastAsia="Arial" w:hAnsi="Arial"/>
                <w:sz w:val="13"/>
                <w:szCs w:val="13"/>
                <w:color w:val="auto"/>
              </w:rPr>
              <w:t>Issuance of ordinary shares</w:t>
            </w:r>
          </w:p>
        </w:tc>
        <w:tc>
          <w:tcPr>
            <w:tcW w:w="180" w:type="dxa"/>
            <w:vAlign w:val="bottom"/>
          </w:tcPr>
          <w:p>
            <w:pPr>
              <w:spacing w:after="0"/>
              <w:rPr>
                <w:sz w:val="15"/>
                <w:szCs w:val="15"/>
                <w:color w:val="auto"/>
              </w:rPr>
            </w:pP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88"/>
        </w:trPr>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160"/>
              <w:spacing w:after="0" w:line="148" w:lineRule="exact"/>
              <w:rPr>
                <w:sz w:val="20"/>
                <w:szCs w:val="20"/>
                <w:color w:val="auto"/>
              </w:rPr>
            </w:pPr>
            <w:r>
              <w:rPr>
                <w:rFonts w:ascii="Arial" w:cs="Arial" w:eastAsia="Arial" w:hAnsi="Arial"/>
                <w:sz w:val="13"/>
                <w:szCs w:val="13"/>
                <w:color w:val="auto"/>
              </w:rPr>
              <w:t>Net sales of ordinary shares for</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employee benefit trust</w:t>
            </w: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320" w:type="dxa"/>
            <w:vAlign w:val="bottom"/>
          </w:tcPr>
          <w:p>
            <w:pPr>
              <w:ind w:left="160"/>
              <w:spacing w:after="0" w:line="140" w:lineRule="exact"/>
              <w:rPr>
                <w:sz w:val="20"/>
                <w:szCs w:val="20"/>
                <w:color w:val="auto"/>
              </w:rPr>
            </w:pPr>
            <w:r>
              <w:rPr>
                <w:rFonts w:ascii="Arial" w:cs="Arial" w:eastAsia="Arial" w:hAnsi="Arial"/>
                <w:sz w:val="13"/>
                <w:szCs w:val="13"/>
                <w:color w:val="auto"/>
              </w:rPr>
              <w:t>Cash dividends declared ($0.39 per</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(179.2)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(179.2)</w:t>
            </w:r>
          </w:p>
        </w:tc>
        <w:tc>
          <w:tcPr>
            <w:tcW w:w="0" w:type="dxa"/>
            <w:vAlign w:val="bottom"/>
          </w:tcPr>
          <w:p>
            <w:pPr>
              <w:spacing w:after="0"/>
              <w:rPr>
                <w:sz w:val="1"/>
                <w:szCs w:val="1"/>
                <w:color w:val="auto"/>
              </w:rPr>
            </w:pPr>
          </w:p>
        </w:tc>
      </w:tr>
      <w:tr>
        <w:trPr>
          <w:trHeight w:val="177"/>
        </w:trPr>
        <w:tc>
          <w:tcPr>
            <w:tcW w:w="2320" w:type="dxa"/>
            <w:vAlign w:val="bottom"/>
          </w:tcPr>
          <w:p>
            <w:pPr>
              <w:ind w:left="160"/>
              <w:spacing w:after="0"/>
              <w:rPr>
                <w:sz w:val="20"/>
                <w:szCs w:val="20"/>
                <w:color w:val="auto"/>
              </w:rPr>
            </w:pPr>
            <w:r>
              <w:rPr>
                <w:rFonts w:ascii="Arial" w:cs="Arial" w:eastAsia="Arial" w:hAnsi="Arial"/>
                <w:sz w:val="13"/>
                <w:szCs w:val="13"/>
                <w:color w:val="auto"/>
              </w:rPr>
              <w:t>share)</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Share-based compensation</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95"/>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6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vMerge w:val="restart"/>
          </w:tcPr>
          <w:p>
            <w:pPr>
              <w:jc w:val="right"/>
              <w:ind w:right="1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September 30, 2018</w:t>
            </w: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10,247.1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3,379.1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12,782.3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December 31, 2018</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10,197.0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10,388.9</w:t>
            </w:r>
          </w:p>
        </w:tc>
        <w:tc>
          <w:tcPr>
            <w:tcW w:w="0" w:type="dxa"/>
            <w:vAlign w:val="bottom"/>
          </w:tcPr>
          <w:p>
            <w:pPr>
              <w:spacing w:after="0"/>
              <w:rPr>
                <w:sz w:val="1"/>
                <w:szCs w:val="1"/>
                <w:color w:val="auto"/>
              </w:rPr>
            </w:pPr>
          </w:p>
        </w:tc>
      </w:tr>
      <w:tr>
        <w:trPr>
          <w:trHeight w:val="140"/>
        </w:trPr>
        <w:tc>
          <w:tcPr>
            <w:tcW w:w="2320" w:type="dxa"/>
            <w:vAlign w:val="bottom"/>
          </w:tcPr>
          <w:p>
            <w:pPr>
              <w:ind w:left="160"/>
              <w:spacing w:after="0" w:line="140" w:lineRule="exact"/>
              <w:rPr>
                <w:sz w:val="20"/>
                <w:szCs w:val="20"/>
                <w:color w:val="auto"/>
              </w:rPr>
            </w:pPr>
            <w:r>
              <w:rPr>
                <w:rFonts w:ascii="Arial" w:cs="Arial" w:eastAsia="Arial" w:hAnsi="Arial"/>
                <w:sz w:val="13"/>
                <w:szCs w:val="13"/>
                <w:color w:val="auto"/>
              </w:rPr>
              <w:t>Adoption of accounting standards</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7"/>
        </w:trPr>
        <w:tc>
          <w:tcPr>
            <w:tcW w:w="2320" w:type="dxa"/>
            <w:vAlign w:val="bottom"/>
          </w:tcPr>
          <w:p>
            <w:pPr>
              <w:ind w:left="160"/>
              <w:spacing w:after="0"/>
              <w:rPr>
                <w:sz w:val="20"/>
                <w:szCs w:val="20"/>
                <w:color w:val="auto"/>
              </w:rPr>
            </w:pPr>
            <w:r>
              <w:rPr>
                <w:rFonts w:ascii="Arial" w:cs="Arial" w:eastAsia="Arial" w:hAnsi="Arial"/>
                <w:sz w:val="13"/>
                <w:szCs w:val="13"/>
                <w:color w:val="auto"/>
              </w:rPr>
              <w:t>(Note 5)</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95"/>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60"/>
              <w:spacing w:after="0"/>
              <w:rPr>
                <w:sz w:val="20"/>
                <w:szCs w:val="20"/>
                <w:color w:val="auto"/>
              </w:rPr>
            </w:pPr>
            <w:r>
              <w:rPr>
                <w:rFonts w:ascii="Arial" w:cs="Arial" w:eastAsia="Arial" w:hAnsi="Arial"/>
                <w:sz w:val="13"/>
                <w:szCs w:val="13"/>
                <w:color w:val="auto"/>
              </w:rPr>
              <w:t>Other comprehensive loss</w:t>
            </w:r>
          </w:p>
        </w:tc>
        <w:tc>
          <w:tcPr>
            <w:tcW w:w="18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(79.8)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ind w:right="1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(82.9)</w:t>
            </w:r>
          </w:p>
        </w:tc>
        <w:tc>
          <w:tcPr>
            <w:tcW w:w="0" w:type="dxa"/>
            <w:vAlign w:val="bottom"/>
          </w:tcPr>
          <w:p>
            <w:pPr>
              <w:spacing w:after="0"/>
              <w:rPr>
                <w:sz w:val="1"/>
                <w:szCs w:val="1"/>
                <w:color w:val="auto"/>
              </w:rPr>
            </w:pPr>
          </w:p>
        </w:tc>
      </w:tr>
      <w:tr>
        <w:trPr>
          <w:trHeight w:val="88"/>
        </w:trPr>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95"/>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60"/>
              <w:spacing w:after="0"/>
              <w:rPr>
                <w:sz w:val="20"/>
                <w:szCs w:val="20"/>
                <w:color w:val="auto"/>
              </w:rPr>
            </w:pPr>
            <w:r>
              <w:rPr>
                <w:rFonts w:ascii="Arial" w:cs="Arial" w:eastAsia="Arial" w:hAnsi="Arial"/>
                <w:sz w:val="13"/>
                <w:szCs w:val="13"/>
                <w:color w:val="auto"/>
              </w:rPr>
              <w:t>Issuance of ordinary shares</w:t>
            </w:r>
          </w:p>
        </w:tc>
        <w:tc>
          <w:tcPr>
            <w:tcW w:w="180" w:type="dxa"/>
            <w:vAlign w:val="bottom"/>
          </w:tcPr>
          <w:p>
            <w:pPr>
              <w:spacing w:after="0"/>
              <w:rPr>
                <w:sz w:val="15"/>
                <w:szCs w:val="15"/>
                <w:color w:val="auto"/>
              </w:rPr>
            </w:pP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88"/>
        </w:trPr>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160"/>
              <w:spacing w:after="0" w:line="148" w:lineRule="exact"/>
              <w:rPr>
                <w:sz w:val="20"/>
                <w:szCs w:val="20"/>
                <w:color w:val="auto"/>
              </w:rPr>
            </w:pPr>
            <w:r>
              <w:rPr>
                <w:rFonts w:ascii="Arial" w:cs="Arial" w:eastAsia="Arial" w:hAnsi="Arial"/>
                <w:sz w:val="13"/>
                <w:szCs w:val="13"/>
                <w:color w:val="auto"/>
              </w:rPr>
              <w:t>Net sales of ordinary shares for</w:t>
            </w: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employee benefit trust</w:t>
            </w: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320" w:type="dxa"/>
            <w:vAlign w:val="bottom"/>
          </w:tcPr>
          <w:p>
            <w:pPr>
              <w:ind w:left="160"/>
              <w:spacing w:after="0" w:line="140" w:lineRule="exact"/>
              <w:rPr>
                <w:sz w:val="20"/>
                <w:szCs w:val="20"/>
                <w:color w:val="auto"/>
              </w:rPr>
            </w:pPr>
            <w:r>
              <w:rPr>
                <w:rFonts w:ascii="Arial" w:cs="Arial" w:eastAsia="Arial" w:hAnsi="Arial"/>
                <w:sz w:val="13"/>
                <w:szCs w:val="13"/>
                <w:color w:val="auto"/>
              </w:rPr>
              <w:t>Cash dividends declared ($0.39 per</w:t>
            </w:r>
          </w:p>
        </w:tc>
        <w:tc>
          <w:tcPr>
            <w:tcW w:w="18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(174.7)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(174.7)</w:t>
            </w:r>
          </w:p>
        </w:tc>
        <w:tc>
          <w:tcPr>
            <w:tcW w:w="0" w:type="dxa"/>
            <w:vAlign w:val="bottom"/>
          </w:tcPr>
          <w:p>
            <w:pPr>
              <w:spacing w:after="0"/>
              <w:rPr>
                <w:sz w:val="1"/>
                <w:szCs w:val="1"/>
                <w:color w:val="auto"/>
              </w:rPr>
            </w:pPr>
          </w:p>
        </w:tc>
      </w:tr>
      <w:tr>
        <w:trPr>
          <w:trHeight w:val="177"/>
        </w:trPr>
        <w:tc>
          <w:tcPr>
            <w:tcW w:w="2320" w:type="dxa"/>
            <w:vAlign w:val="bottom"/>
          </w:tcPr>
          <w:p>
            <w:pPr>
              <w:ind w:left="160"/>
              <w:spacing w:after="0"/>
              <w:rPr>
                <w:sz w:val="20"/>
                <w:szCs w:val="20"/>
                <w:color w:val="auto"/>
              </w:rPr>
            </w:pPr>
            <w:r>
              <w:rPr>
                <w:rFonts w:ascii="Arial" w:cs="Arial" w:eastAsia="Arial" w:hAnsi="Arial"/>
                <w:sz w:val="13"/>
                <w:szCs w:val="13"/>
                <w:color w:val="auto"/>
              </w:rPr>
              <w:t>share)</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Share-based compensation</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95"/>
        </w:trPr>
        <w:tc>
          <w:tcPr>
            <w:tcW w:w="2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6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5"/>
                <w:szCs w:val="15"/>
                <w:color w:val="auto"/>
              </w:rPr>
            </w:pP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89"/>
        </w:trPr>
        <w:tc>
          <w:tcPr>
            <w:tcW w:w="23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September 30, 2019</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10,169.7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10,123.8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420" w:top="736" w:right="41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SUMMARY OF SIGNIFICANT ACCOUNTING POLICIES</w:t>
      </w:r>
    </w:p>
    <w:p>
      <w:pPr>
        <w:spacing w:after="0" w:line="17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or the “Company”)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2018.</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0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Certain prior-year amounts have been reclassified to conform to the current year’s presentation.</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Revision of Prior Period Financial Statements - </w:t>
      </w:r>
      <w:r>
        <w:rPr>
          <w:rFonts w:ascii="Arial" w:cs="Arial" w:eastAsia="Arial" w:hAnsi="Arial"/>
          <w:sz w:val="18"/>
          <w:szCs w:val="18"/>
          <w:color w:val="auto"/>
        </w:rPr>
        <w:t>In connection with the preparation of the condensed consolidated financial statements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2019, we identified errors in our previously issued financial statements related to the classification between service revenue, product revenue and the related cost of sales. The correction had no effect on the reported total revenues, consolidated net income (loss) or stockholders’ equity for any periods previously presented.</w:t>
      </w:r>
    </w:p>
    <w:p>
      <w:pPr>
        <w:spacing w:after="0" w:line="3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accordance with Staff Accounting Bulletin (“SAB</w:t>
      </w:r>
      <w:r>
        <w:rPr>
          <w:rFonts w:ascii="Arial" w:cs="Arial" w:eastAsia="Arial" w:hAnsi="Arial"/>
          <w:sz w:val="18"/>
          <w:szCs w:val="18"/>
          <w:i w:val="1"/>
          <w:iCs w:val="1"/>
          <w:color w:val="auto"/>
        </w:rPr>
        <w:t>”) No. 99, Materiality, and SAB No. 108, Considering the Effects of Prior Year Misstatements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when Quantifying Misstatements in Current Year Financial Statements</w:t>
      </w:r>
      <w:r>
        <w:rPr>
          <w:rFonts w:ascii="Arial" w:cs="Arial" w:eastAsia="Arial" w:hAnsi="Arial"/>
          <w:sz w:val="18"/>
          <w:szCs w:val="18"/>
          <w:color w:val="auto"/>
        </w:rPr>
        <w:t>, we evaluated the errors and, based on an analysis of quantitative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qualitative factors, determined that the related impact was not material to our consolidated financial statements for any prior annual or interim period. Therefore, amendments of previously filed reports are not required.</w:t>
      </w:r>
    </w:p>
    <w:p>
      <w:pPr>
        <w:spacing w:after="0" w:line="35"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 xml:space="preserve">In accordance with Accounting Standards Codification (“ASC”)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we corrected the errors for the three and nine months ended September 30, 2018 by revising the condensed consolidated financial statements appearing herein. Periods not presented herein will be revised, as applicable, in future filings.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736" w:right="259" w:bottom="1440" w:gutter="0" w:footer="0" w:header="0"/>
        </w:sectPr>
      </w:pPr>
    </w:p>
    <w:bookmarkStart w:id="11" w:name="page12"/>
    <w:bookmarkEnd w:id="11"/>
    <w:p>
      <w:pPr>
        <w:ind w:right="100"/>
        <w:spacing w:after="0" w:line="292" w:lineRule="auto"/>
        <w:rPr>
          <w:sz w:val="20"/>
          <w:szCs w:val="20"/>
          <w:color w:val="auto"/>
        </w:rPr>
      </w:pPr>
      <w:r>
        <w:rPr>
          <w:rFonts w:ascii="Arial" w:cs="Arial" w:eastAsia="Arial" w:hAnsi="Arial"/>
          <w:sz w:val="18"/>
          <w:szCs w:val="18"/>
          <w:color w:val="auto"/>
        </w:rPr>
        <w:t>The effects of the revision on our condensed consolidated statements of income for the three and nine months ended September 30, 2018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71"/>
        </w:trPr>
        <w:tc>
          <w:tcPr>
            <w:tcW w:w="4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r>
        <w:trPr>
          <w:trHeight w:val="168"/>
        </w:trPr>
        <w:tc>
          <w:tcPr>
            <w:tcW w:w="4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Previously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Previously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3"/>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Pr>
          <w:p>
            <w:pPr>
              <w:spacing w:after="0"/>
              <w:rPr>
                <w:sz w:val="17"/>
                <w:szCs w:val="17"/>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Reported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Revised</w:t>
            </w:r>
          </w:p>
        </w:tc>
        <w:tc>
          <w:tcPr>
            <w:tcW w:w="18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Revised</w:t>
            </w: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6"/>
        </w:trPr>
        <w:tc>
          <w:tcPr>
            <w:tcW w:w="412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2,487.9</w:t>
            </w:r>
          </w:p>
        </w:tc>
        <w:tc>
          <w:tcPr>
            <w:tcW w:w="3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(211.0)</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2,276.9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7,159.2</w:t>
            </w:r>
          </w:p>
        </w:tc>
        <w:tc>
          <w:tcPr>
            <w:tcW w:w="3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(542.3)</w:t>
            </w:r>
          </w:p>
        </w:tc>
        <w:tc>
          <w:tcPr>
            <w:tcW w:w="100" w:type="dxa"/>
            <w:vAlign w:val="bottom"/>
          </w:tcPr>
          <w:p>
            <w:pPr>
              <w:spacing w:after="0"/>
              <w:rPr>
                <w:sz w:val="23"/>
                <w:szCs w:val="23"/>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6,616.9</w:t>
            </w:r>
          </w:p>
        </w:tc>
      </w:tr>
      <w:tr>
        <w:trPr>
          <w:trHeight w:val="27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595.2</w:t>
            </w: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806.2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1,907.3</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542.3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2,449.6</w:t>
            </w:r>
          </w:p>
        </w:tc>
      </w:tr>
      <w:tr>
        <w:trPr>
          <w:trHeight w:val="249"/>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20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3,143.8</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9,229.9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9,229.9</w:t>
            </w:r>
          </w:p>
        </w:tc>
      </w:tr>
      <w:tr>
        <w:trPr>
          <w:trHeight w:val="285"/>
        </w:trPr>
        <w:tc>
          <w:tcPr>
            <w:tcW w:w="4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6"/>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Costs and expenses</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service revenue</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2,046.6</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5,846.0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5,488.4</w:t>
            </w:r>
          </w:p>
        </w:tc>
      </w:tr>
      <w:tr>
        <w:trPr>
          <w:trHeight w:val="266"/>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Cost of product revenue</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481.0</w:t>
            </w: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1,559.9</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1,917.5</w:t>
            </w:r>
          </w:p>
        </w:tc>
      </w:tr>
      <w:tr>
        <w:trPr>
          <w:trHeight w:val="254"/>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2,863.7</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8,527.2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8,527.2</w:t>
            </w:r>
          </w:p>
        </w:tc>
      </w:tr>
      <w:tr>
        <w:trPr>
          <w:trHeight w:val="297"/>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136.9</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337.7</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337.7</w:t>
            </w:r>
          </w:p>
        </w:tc>
      </w:tr>
      <w:tr>
        <w:trPr>
          <w:trHeight w:val="284"/>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8"/>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(loss) per share attributable to TechnipFMC plc (Note</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8)</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66"/>
        </w:trPr>
        <w:tc>
          <w:tcPr>
            <w:tcW w:w="4120" w:type="dxa"/>
            <w:vAlign w:val="bottom"/>
          </w:tcPr>
          <w:p>
            <w:pPr>
              <w:ind w:left="28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3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0.73</w:t>
            </w:r>
          </w:p>
        </w:tc>
        <w:tc>
          <w:tcPr>
            <w:tcW w:w="3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0.73</w:t>
            </w:r>
          </w:p>
        </w:tc>
      </w:tr>
      <w:tr>
        <w:trPr>
          <w:trHeight w:val="27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0.73</w:t>
            </w:r>
          </w:p>
        </w:tc>
      </w:tr>
      <w:tr>
        <w:trPr>
          <w:trHeight w:val="284"/>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Weighted average shares outstanding (Note 8)</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6"/>
        </w:trPr>
        <w:tc>
          <w:tcPr>
            <w:tcW w:w="4120" w:type="dxa"/>
            <w:vAlign w:val="bottom"/>
          </w:tcPr>
          <w:p>
            <w:pPr>
              <w:ind w:left="28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454.5</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460.0</w:t>
            </w:r>
          </w:p>
        </w:tc>
      </w:tr>
      <w:tr>
        <w:trPr>
          <w:trHeight w:val="27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459.0</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464.0</w:t>
            </w:r>
          </w:p>
        </w:tc>
      </w:tr>
    </w:tbl>
    <w:p>
      <w:pPr>
        <w:spacing w:after="0" w:line="274"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The majority of our leases are operating leases. We account for leases in accordance with ASC Topic 842,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on January 1, 2019 using the modified retrospective method. Refer to Note 5 for further discussion of the adoption, including the impact on our 2019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PLANNED SPIN-OFF TRANSACTION</w:t>
      </w:r>
    </w:p>
    <w:p>
      <w:pPr>
        <w:spacing w:after="0" w:line="17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August 26, 2019, we announced that our Board of Directors had unanimously approved a plan to separate our Onshore/Offshore segment, loading systems and process automation businesses into an independent, publicly traded company (“Technip Energies”). The transaction is expected to be tax free to certain shareholders where permissible, including the U.S. We expect to complete the transaction in the first half of 2020, subject to general market conditions, regulatory approvals, consultation of employee representatives, where applicable, and final approval from our Board of Directors. Upon completion of the separation, the historical results of Technip Energies will be presented as discontinued operations as the separation represents a strategic shift in operations with a major impact to our consolidated financial statements. We have incurred $9.4 million of separation costs associated with the planned transaction for the three months ended September 30, 2019.</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 TRANSACTIONS</w:t>
      </w:r>
    </w:p>
    <w:p>
      <w:pPr>
        <w:spacing w:after="0" w:line="17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 February 2018, we signed an agreement with the Island Offshore Group to acquire a 51% stake in Island Offshore’s wholly-owned subsidiary, Island Offshore Subsea AS. Island Offshore Subsea AS provides riserless light well intervention (“RLWI”) project management and engineering services for plug and abandonment, riserless coiled tubing, and well completion operations. In connection with the acquisition of the controlling interest, TechnipFMC and Island Offshore entered into a strategic cooperation agreement to deliver RLWI services on a global basis, which also include TechnipFMC’s RLWI capabilities. Island Offshore Subsea AS has been rebranded to TIOS and is now the operating unit for TechnipFMC’s RLWI activities worldwide. The acquisition was completed for total cash</w:t>
      </w:r>
    </w:p>
    <w:p>
      <w:pPr>
        <w:sectPr>
          <w:pgSz w:w="11900" w:h="16838" w:orient="portrait"/>
          <w:cols w:equalWidth="0" w:num="1">
            <w:col w:w="11420"/>
          </w:cols>
          <w:pgMar w:left="240" w:top="657" w:right="23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657" w:right="239" w:bottom="1440" w:gutter="0" w:footer="0" w:header="0"/>
          <w:type w:val="continuous"/>
        </w:sectPr>
      </w:pPr>
    </w:p>
    <w:bookmarkStart w:id="12" w:name="page13"/>
    <w:bookmarkEnd w:id="12"/>
    <w:p>
      <w:pPr>
        <w:ind w:right="300"/>
        <w:spacing w:after="0" w:line="292" w:lineRule="auto"/>
        <w:rPr>
          <w:sz w:val="20"/>
          <w:szCs w:val="20"/>
          <w:color w:val="auto"/>
        </w:rPr>
      </w:pPr>
      <w:r>
        <w:rPr>
          <w:rFonts w:ascii="Arial" w:cs="Arial" w:eastAsia="Arial" w:hAnsi="Arial"/>
          <w:sz w:val="18"/>
          <w:szCs w:val="18"/>
          <w:color w:val="auto"/>
        </w:rPr>
        <w:t>consideration of $42.4 million. As a result of the acquisition, we recorded redeemable financial liability equal to the fair value of a written put option and we increased goodwill by $85.0 million.</w:t>
      </w:r>
    </w:p>
    <w:p>
      <w:pPr>
        <w:spacing w:after="0" w:line="91"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On July 18, 2018, we entered into a share sale and purchase agreement with POC Holding Oy to sell 100% of the outstanding shares of Technip Offshore Finland Oy. The total gain before tax recognized in the third quarter of 2018 was $27.8 million.</w:t>
      </w:r>
    </w:p>
    <w:p>
      <w:pPr>
        <w:spacing w:after="0" w:line="91" w:lineRule="exact"/>
        <w:rPr>
          <w:sz w:val="20"/>
          <w:szCs w:val="20"/>
          <w:color w:val="auto"/>
        </w:rPr>
      </w:pPr>
    </w:p>
    <w:p>
      <w:pPr>
        <w:ind w:right="860"/>
        <w:spacing w:after="0" w:line="292" w:lineRule="auto"/>
        <w:rPr>
          <w:sz w:val="20"/>
          <w:szCs w:val="20"/>
          <w:color w:val="auto"/>
        </w:rPr>
      </w:pPr>
      <w:r>
        <w:rPr>
          <w:rFonts w:ascii="Arial" w:cs="Arial" w:eastAsia="Arial" w:hAnsi="Arial"/>
          <w:sz w:val="18"/>
          <w:szCs w:val="18"/>
          <w:color w:val="auto"/>
        </w:rPr>
        <w:t>Additional acquisitions during the nine months ended September 30, 2018 totaled $61.0 million in consideration paid. There were no acquisitions or disposals during the nine months ended September 30,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STANDARDS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1"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 xml:space="preserve">Effective January 1, 2019, we adopted (1) Accounting Standards Update (“ASU”) No. </w:t>
      </w:r>
      <w:r>
        <w:rPr>
          <w:rFonts w:ascii="Arial" w:cs="Arial" w:eastAsia="Arial" w:hAnsi="Arial"/>
          <w:sz w:val="17"/>
          <w:szCs w:val="17"/>
          <w:i w:val="1"/>
          <w:iCs w:val="1"/>
          <w:color w:val="auto"/>
        </w:rPr>
        <w:t>“2016-02, Leases (Topic 842).”</w:t>
      </w:r>
      <w:r>
        <w:rPr>
          <w:rFonts w:ascii="Arial" w:cs="Arial" w:eastAsia="Arial" w:hAnsi="Arial"/>
          <w:sz w:val="17"/>
          <w:szCs w:val="17"/>
          <w:color w:val="auto"/>
        </w:rPr>
        <w:t xml:space="preserve">, (2) ASU 2018-01, </w:t>
      </w:r>
      <w:r>
        <w:rPr>
          <w:rFonts w:ascii="Arial" w:cs="Arial" w:eastAsia="Arial" w:hAnsi="Arial"/>
          <w:sz w:val="17"/>
          <w:szCs w:val="17"/>
          <w:i w:val="1"/>
          <w:iCs w:val="1"/>
          <w:color w:val="auto"/>
        </w:rPr>
        <w:t xml:space="preserve">“Leases (Topic 842): Land Easement Practical Expedient for Transition to Topic 842.” (3) </w:t>
      </w:r>
      <w:r>
        <w:rPr>
          <w:rFonts w:ascii="Arial" w:cs="Arial" w:eastAsia="Arial" w:hAnsi="Arial"/>
          <w:sz w:val="17"/>
          <w:szCs w:val="17"/>
          <w:color w:val="auto"/>
        </w:rPr>
        <w:t>ASU 2018-10,</w:t>
      </w:r>
      <w:r>
        <w:rPr>
          <w:rFonts w:ascii="Arial" w:cs="Arial" w:eastAsia="Arial" w:hAnsi="Arial"/>
          <w:sz w:val="17"/>
          <w:szCs w:val="17"/>
          <w:i w:val="1"/>
          <w:iCs w:val="1"/>
          <w:color w:val="auto"/>
        </w:rPr>
        <w:t xml:space="preserve"> “Codification Improvements to Topic 842, Lease.”</w:t>
      </w:r>
      <w:r>
        <w:rPr>
          <w:rFonts w:ascii="Arial" w:cs="Arial" w:eastAsia="Arial" w:hAnsi="Arial"/>
          <w:sz w:val="17"/>
          <w:szCs w:val="17"/>
          <w:color w:val="auto"/>
        </w:rPr>
        <w:t>, (4) ASU 2018-20,</w:t>
      </w:r>
      <w:r>
        <w:rPr>
          <w:rFonts w:ascii="Arial" w:cs="Arial" w:eastAsia="Arial" w:hAnsi="Arial"/>
          <w:sz w:val="17"/>
          <w:szCs w:val="17"/>
          <w:i w:val="1"/>
          <w:iCs w:val="1"/>
          <w:color w:val="auto"/>
        </w:rPr>
        <w:t xml:space="preserve"> “Narrow-scope Improvements for Lessors.”</w:t>
      </w:r>
      <w:r>
        <w:rPr>
          <w:rFonts w:ascii="Arial" w:cs="Arial" w:eastAsia="Arial" w:hAnsi="Arial"/>
          <w:sz w:val="17"/>
          <w:szCs w:val="17"/>
          <w:color w:val="auto"/>
        </w:rPr>
        <w:t>, (5) ASU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w:t>
      </w:r>
    </w:p>
    <w:p>
      <w:pPr>
        <w:spacing w:after="0" w:line="1" w:lineRule="exact"/>
        <w:rPr>
          <w:sz w:val="20"/>
          <w:szCs w:val="20"/>
          <w:color w:val="auto"/>
        </w:rPr>
      </w:pPr>
    </w:p>
    <w:p>
      <w:pPr>
        <w:ind w:firstLine="8"/>
        <w:spacing w:after="0" w:line="258"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ASU No. 2019-01, </w:t>
      </w:r>
      <w:r>
        <w:rPr>
          <w:rFonts w:ascii="Arial" w:cs="Arial" w:eastAsia="Arial" w:hAnsi="Arial"/>
          <w:sz w:val="18"/>
          <w:szCs w:val="18"/>
          <w:i w:val="1"/>
          <w:iCs w:val="1"/>
          <w:color w:val="auto"/>
        </w:rPr>
        <w:t>“Leases (Topic 842) —Codification Improvements.”</w:t>
      </w:r>
      <w:r>
        <w:rPr>
          <w:rFonts w:ascii="Arial" w:cs="Arial" w:eastAsia="Arial" w:hAnsi="Arial"/>
          <w:sz w:val="18"/>
          <w:szCs w:val="18"/>
          <w:color w:val="auto"/>
        </w:rPr>
        <w:t>. These updates require lessees to recognize a right-of-use (“ROU”) asset and a lease liability for virtually all of their leases. See Note 5 to our condensed consolidated financial statements of this Quarterly Report for more information.</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Effective January 1, 2019, we adopted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update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For cash flow and net investment hedges as of the adoption date, the guidance requires a modified retrospective approach. The amended presentation and disclosure guidance is required to be adopted prospectively. The adoption of this update did not have an impact on our consolidated financial statements.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Effective January 1, 2019, we adopted ASU No. 2018-02, </w:t>
      </w:r>
      <w:r>
        <w:rPr>
          <w:rFonts w:ascii="Arial" w:cs="Arial" w:eastAsia="Arial" w:hAnsi="Arial"/>
          <w:sz w:val="18"/>
          <w:szCs w:val="18"/>
          <w:i w:val="1"/>
          <w:iCs w:val="1"/>
          <w:color w:val="auto"/>
        </w:rPr>
        <w:t>“Income Statement-Reporting Comprehensive Income (Topic 220): Reclassification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Tax Effects from Accumulated Other Comprehensive Income (AOCI).” </w:t>
      </w:r>
      <w:r>
        <w:rPr>
          <w:rFonts w:ascii="Arial" w:cs="Arial" w:eastAsia="Arial" w:hAnsi="Arial"/>
          <w:sz w:val="18"/>
          <w:szCs w:val="18"/>
          <w:color w:val="auto"/>
        </w:rPr>
        <w:t>This update provides an option to reclassify stranded tax</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effects with AOCI to retained earnings in each period in which the effect of the change in the U.S. federal corporate tax rate in the Tax Cuts and Jobs Act (or portion thereof) is recorded. The ASU requires financial statement disclosures that indicate a description of the accounting policy for releasing income tax effects from AOCI; whether there is an election to reclassify the stranded income tax effects from the Tax Cuts and Jobs Act and information about the other income tax effects are reclassified. These amendments affect any organization that is required to apply the provisions of Topic 220, </w:t>
      </w:r>
      <w:r>
        <w:rPr>
          <w:rFonts w:ascii="Arial" w:cs="Arial" w:eastAsia="Arial" w:hAnsi="Arial"/>
          <w:sz w:val="18"/>
          <w:szCs w:val="18"/>
          <w:i w:val="1"/>
          <w:iCs w:val="1"/>
          <w:color w:val="auto"/>
        </w:rPr>
        <w:t>Income Statement-Reporting Comprehensive Income</w:t>
      </w:r>
      <w:r>
        <w:rPr>
          <w:rFonts w:ascii="Arial" w:cs="Arial" w:eastAsia="Arial" w:hAnsi="Arial"/>
          <w:sz w:val="18"/>
          <w:szCs w:val="18"/>
          <w:color w:val="auto"/>
        </w:rPr>
        <w:t>, and has items of other comprehensive income for which the related tax effects are presented in other comprehensive income as required by GAAP. The adoption of this update did not have an impact on our consolidated financial statements.</w:t>
      </w:r>
    </w:p>
    <w:p>
      <w:pPr>
        <w:spacing w:after="0" w:line="12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Effective January 1, 2019, we adopted ASU No. 2018-07, </w:t>
      </w:r>
      <w:r>
        <w:rPr>
          <w:rFonts w:ascii="Arial" w:cs="Arial" w:eastAsia="Arial" w:hAnsi="Arial"/>
          <w:sz w:val="18"/>
          <w:szCs w:val="18"/>
          <w:i w:val="1"/>
          <w:iCs w:val="1"/>
          <w:color w:val="auto"/>
        </w:rPr>
        <w:t>“Compensation - 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This update expands the scope of Topic 718 to include all share-based payment transactions for acquiring</w:t>
      </w:r>
      <w:r>
        <w:rPr>
          <w:rFonts w:ascii="Arial" w:cs="Arial" w:eastAsia="Arial" w:hAnsi="Arial"/>
          <w:sz w:val="18"/>
          <w:szCs w:val="18"/>
          <w:i w:val="1"/>
          <w:iCs w:val="1"/>
          <w:color w:val="auto"/>
        </w:rPr>
        <w:t xml:space="preserve"> </w:t>
      </w:r>
      <w:r>
        <w:rPr>
          <w:rFonts w:ascii="Arial" w:cs="Arial" w:eastAsia="Arial" w:hAnsi="Arial"/>
          <w:sz w:val="18"/>
          <w:szCs w:val="18"/>
          <w:color w:val="auto"/>
        </w:rPr>
        <w:t>goods and services from nonemployees. The amendments in this update specify that Topic 718 applies to all share-based payment transactions in which the grantor acquires goods and services to be used or consumed in its own operations by issuing share-based payment awards. The amendments in this update also clarify that Topic 718 does not apply to share-based payments used to effectively provide (1) financing to the issuer or (2) awards granted in conjunction with selling goods or services to customers as part of a contract accounted for under ASC Topic 606. The adoption of this update did not have a material impact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GAAP</w:t>
      </w:r>
    </w:p>
    <w:p>
      <w:pPr>
        <w:spacing w:after="0" w:line="17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update introduces a new model for recognizing credit losses on financial instruments based on an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credit losses. The updated guidance applies to (1)</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76" w:right="279" w:bottom="1440" w:gutter="0" w:footer="0" w:header="0"/>
        </w:sectPr>
      </w:pPr>
    </w:p>
    <w:bookmarkStart w:id="13" w:name="page14"/>
    <w:bookmarkEnd w:id="13"/>
    <w:p>
      <w:pPr>
        <w:ind w:right="80"/>
        <w:spacing w:after="0" w:line="263" w:lineRule="auto"/>
        <w:rPr>
          <w:sz w:val="20"/>
          <w:szCs w:val="20"/>
          <w:color w:val="auto"/>
        </w:rPr>
      </w:pPr>
      <w:r>
        <w:rPr>
          <w:rFonts w:ascii="Arial" w:cs="Arial" w:eastAsia="Arial" w:hAnsi="Arial"/>
          <w:sz w:val="18"/>
          <w:szCs w:val="18"/>
          <w:color w:val="auto"/>
        </w:rPr>
        <w:t>loans, accounts receivable, trade receivables and other financial assets measured at amortized cost, (2) loan commitments and other off-balance sheet credit exposures, (iii) debt securities and other financial assets measured at fair value through other comprehensive income and</w:t>
      </w:r>
    </w:p>
    <w:p>
      <w:pPr>
        <w:spacing w:after="0" w:line="1" w:lineRule="exact"/>
        <w:rPr>
          <w:sz w:val="20"/>
          <w:szCs w:val="20"/>
          <w:color w:val="auto"/>
        </w:rPr>
      </w:pPr>
    </w:p>
    <w:p>
      <w:pPr>
        <w:ind w:right="180" w:firstLine="8"/>
        <w:spacing w:after="0" w:line="253"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beneficial interests in securitized financial assets. In May 2019, the FASB issued a new update ASU No.2019-05, that eases transition to the credit losses standard by providing the option to measure certain types of assets at fair value, allowing an option for preparers to irrevocably elect the fair value option for eligible financial assets measured at amortized cost basis on an instrument-by-instrument basis. The amendments in this ASU are effective for us on January 1, 2020 and are required to be adopted on a modified retrospective basis. Early adoption is not permitted. We do not anticipate a material impact to our consolidated financial statements as a result of the adoption of this ASU.</w:t>
      </w:r>
    </w:p>
    <w:p>
      <w:pPr>
        <w:spacing w:after="0" w:line="1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In November 2018, the FASB also issued ASU No. 2018-19,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The update amends the transition requirements and scope of the credit losses standard issued in 2016. This update clarifies that receivables arising from operating leases are not within the scope of the credit losses standard, but rather, should be accounted for in accordance with the leases standard. The amendments in this ASU are effective for us on January 1, 2020 and are required to be adopted on a modified retrospective basis. Early adoption is not permitted. We do not anticipate a material impact to our consolidated financial statements as a result of the adoption of this ASU.</w:t>
      </w:r>
    </w:p>
    <w:p>
      <w:pPr>
        <w:spacing w:after="0" w:line="12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This update modifies the disclosure requirement on fair value measurements in Topic 820.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ASU are effective for us January 1, 2020. Early adoption is permitted. The amendments on changes in unrealized gains and losses, the range and weighted average of significant unobservable inputs used to develop Level 3 fair value measurements, and the narrative description of measurement uncertainty should be applied prospectively. All other amendments should be applied retrospectively. The adoption of this update concerns presentation and disclosure only as it relates to our consolidated financial statements.</w:t>
      </w:r>
    </w:p>
    <w:p>
      <w:pPr>
        <w:spacing w:after="0" w:line="11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ASU are effective for us January 1, 2021. Early adoption is permitted. The amendments in this update are required to be adopted retrospectively. We are currently evaluating the impact of this ASU on our consolidated financial statements.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(a consensus of the FASB Emerging Issues Task Force).” </w:t>
      </w:r>
      <w:r>
        <w:rPr>
          <w:rFonts w:ascii="Arial" w:cs="Arial" w:eastAsia="Arial" w:hAnsi="Arial"/>
          <w:sz w:val="18"/>
          <w:szCs w:val="18"/>
          <w:color w:val="auto"/>
        </w:rPr>
        <w:t>This update requires that the implementation costs incurred in a cloud computing arrangement that is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deferred if they would be capitalized based on the requirements for capitalizing implementation costs incurred to develop or obtain internal-use software. The amendments in this ASU are effective for us January 1, 2020. Early adoption is permitted. The amendments in this update are required to be adopted either retrospectively or prospectively. We do not anticipate a material impact to our consolidated financial statements as a result of the adoption of this ASU.</w:t>
      </w:r>
    </w:p>
    <w:p>
      <w:pPr>
        <w:spacing w:after="0" w:line="1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Topic 606.” </w:t>
      </w:r>
      <w:r>
        <w:rPr>
          <w:rFonts w:ascii="Arial" w:cs="Arial" w:eastAsia="Arial" w:hAnsi="Arial"/>
          <w:sz w:val="18"/>
          <w:szCs w:val="18"/>
          <w:color w:val="auto"/>
        </w:rPr>
        <w:t>This update clarifies the interaction between the guidance for certain collaborative arrangements and the Revenue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accounting and reporting standard. The amendments in this ASU are effective for us January 1, 2020. Early adoption is permitted. The amendments in this update are required to be adopted retrospectively to the date of initial application of Topic 606. An entity should recognize the cumulative effect of initially applying the amendments as an adjustment to the opening balance of retained earnings of the later of the earliest annual period presented and the annual period that includes the date of the entity’s initial application of Topic 606. We do not anticipate a material impact to our consolidated financial statements as a result of the adoption of this ASU.</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76" w:right="239" w:bottom="1440" w:gutter="0" w:footer="0" w:header="0"/>
        </w:sectPr>
      </w:pPr>
    </w:p>
    <w:bookmarkStart w:id="14" w:name="page15"/>
    <w:bookmarkEnd w:id="14"/>
    <w:p>
      <w:pPr>
        <w:ind w:right="160"/>
        <w:spacing w:after="0" w:line="255" w:lineRule="auto"/>
        <w:rPr>
          <w:sz w:val="20"/>
          <w:szCs w:val="20"/>
          <w:color w:val="auto"/>
        </w:rPr>
      </w:pPr>
      <w:r>
        <w:rPr>
          <w:rFonts w:ascii="Arial" w:cs="Arial" w:eastAsia="Arial" w:hAnsi="Arial"/>
          <w:sz w:val="18"/>
          <w:szCs w:val="18"/>
          <w:color w:val="auto"/>
        </w:rPr>
        <w:t xml:space="preserve">In April 2019, the FASB issued ASU No. 2019-04, </w:t>
      </w:r>
      <w:r>
        <w:rPr>
          <w:rFonts w:ascii="Arial" w:cs="Arial" w:eastAsia="Arial" w:hAnsi="Arial"/>
          <w:sz w:val="18"/>
          <w:szCs w:val="18"/>
          <w:i w:val="1"/>
          <w:iCs w:val="1"/>
          <w:color w:val="auto"/>
        </w:rPr>
        <w:t>“Codification Improvements to Topic 326, Financial Instruments - Credit Losses,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and Topic 825, Financial Instruments</w:t>
      </w:r>
      <w:r>
        <w:rPr>
          <w:rFonts w:ascii="Arial" w:cs="Arial" w:eastAsia="Arial" w:hAnsi="Arial"/>
          <w:sz w:val="18"/>
          <w:szCs w:val="18"/>
          <w:color w:val="auto"/>
        </w:rPr>
        <w:t>.” The update clarifies and improves areas of guidance related to the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issued standards including (1) ASU No. 2016-01, </w:t>
      </w:r>
      <w:r>
        <w:rPr>
          <w:rFonts w:ascii="Arial" w:cs="Arial" w:eastAsia="Arial" w:hAnsi="Arial"/>
          <w:sz w:val="18"/>
          <w:szCs w:val="18"/>
          <w:i w:val="1"/>
          <w:iCs w:val="1"/>
          <w:color w:val="auto"/>
        </w:rPr>
        <w:t>“Financial Instruments—Overall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Liabilities.”</w:t>
      </w:r>
      <w:r>
        <w:rPr>
          <w:rFonts w:ascii="Arial" w:cs="Arial" w:eastAsia="Arial" w:hAnsi="Arial"/>
          <w:sz w:val="18"/>
          <w:szCs w:val="18"/>
          <w:color w:val="auto"/>
        </w:rPr>
        <w:t>, (2) ASU No. 2016-13,</w:t>
      </w:r>
      <w:r>
        <w:rPr>
          <w:rFonts w:ascii="Arial" w:cs="Arial" w:eastAsia="Arial" w:hAnsi="Arial"/>
          <w:sz w:val="18"/>
          <w:szCs w:val="18"/>
          <w:i w:val="1"/>
          <w:iCs w:val="1"/>
          <w:color w:val="auto"/>
        </w:rPr>
        <w:t xml:space="preserve"> “Financial Instruments—Credit Losses (Topic 326): Measurement of Credit Losses on Financial Instruments.”</w:t>
      </w:r>
      <w:r>
        <w:rPr>
          <w:rFonts w:ascii="Arial" w:cs="Arial" w:eastAsia="Arial" w:hAnsi="Arial"/>
          <w:sz w:val="18"/>
          <w:szCs w:val="18"/>
          <w:color w:val="auto"/>
        </w:rPr>
        <w:t>, and (3) ASU No. 2017-12,</w:t>
      </w:r>
      <w:r>
        <w:rPr>
          <w:rFonts w:ascii="Arial" w:cs="Arial" w:eastAsia="Arial" w:hAnsi="Arial"/>
          <w:sz w:val="18"/>
          <w:szCs w:val="18"/>
          <w:i w:val="1"/>
          <w:iCs w:val="1"/>
          <w:color w:val="auto"/>
        </w:rPr>
        <w:t xml:space="preserve"> “Derivatives and Hedging (Topic 815): Targeted Improvements to Accounting for Hedging Activities.” </w:t>
      </w:r>
      <w:r>
        <w:rPr>
          <w:rFonts w:ascii="Arial" w:cs="Arial" w:eastAsia="Arial" w:hAnsi="Arial"/>
          <w:sz w:val="18"/>
          <w:szCs w:val="18"/>
          <w:color w:val="auto"/>
        </w:rPr>
        <w:t>Early adoption is permitted. The amendments in this update to ASU No. 2016-01 and No. 2016-13 are required to be adopted on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retrospective basis. The amendments in this update to ASU No. 2017-12 are required to be adopted either retrospectively or prospectively. This new update will be effective on January 1, 2020. We do not anticipate a material impact to our consolidated financial statements as a result of the adoption of this ASU.</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February 2016, the FASB issued ASU 2016-02, Leases (Topic 842). Lessees are required to recognize a right-of-use (“ROU”) asset and a lease liability for all outstanding leases excluding short-term leases. The liability is equal to the present value of the remaining lease payments. The ROU asset is based on the liability, subject to certain adjustments (e.g., initial direct costs, payments made by the lessee prior to lease commencement and any lessor incentives). For income statement purposes, lessees are required to classify leases as either operating or finance leases. Operating leases result in straight-line expense while finance leases result in a front-loaded expense pattern. Lessor accounting is largely unchanged but has been updated to align with certain changes to the lessee model and the new revenue recognition standard.</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Topic 842 was subsequently amended to provide practical expedient for transition and targeted improvements to the new lease standard. The FASB issued in March 2019, ASU 2019-01, “Leases (Topic 842): Codification Improvements” to clarify certain transition disclosure requirements. The Company adopted the new lease standard as of January 1, 2019, using a modified retrospective transition method and applying the new standard to all leases through a cumulative-effect adjustment to beginning retained earnings in the period of adoption. In our first annual period after adoption, the year ending December 31, 2019, the comparative periods will not be restated and will be presented under legacy lease accounting guidance in effect for those periods, Topic 840.</w:t>
      </w:r>
    </w:p>
    <w:p>
      <w:pPr>
        <w:spacing w:after="0" w:line="124"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new standard provides a number of practical expedients specific to transition. We have elected the “package of practical expedients”, which permits us not to reassess (1) whether any expired or existing arrangements are or contain leases, (2) the lease classification for any expired or existing leases, and (3) any initial direct costs for any existing leases as of the effective date.</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new standard also provides practical expedients for an entity’s ongoing accounting, including a practical expedient which allows lessees and lessors to elect to not separate lease and non-lease components. We have elected the practical expedient available for lessees to not separate lease and non-lease components for all asset classes other than vessels, which typically include significant non-lease components. We have elected the practical expedient available for lessors to not separate lease and non-lease components for vessels. The Company also elected not to recognize right of use assets and lease liabilities on the balance sheet for short-term leases, which have a lease term of 12 months or less and do not include an option to purchase the underlying asset that the Company is reasonably certain to exercise. Lease cost of short-term leases are recognized on a straight-line basis over the lease term and disclosed within our financial statements. We believe short-term lease commitments are not materially different than the short-term lease cost for the period.</w:t>
      </w:r>
    </w:p>
    <w:p>
      <w:pPr>
        <w:spacing w:after="0" w:line="12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Adoption of the new lease accounting guidance had a material impact on our consolidated balance sheets but did not have a material impact on our consolidated income statements. We recognized on January 1, 2019, (1) a lease liability of approximately $1,189.6 million which represents the present value of the remaining lease payments, discounted using the Company’s applicable weighted average incremental borrowing rates, and (2) an ROU asset of approximately $1,115.5 million which represents the lease liability of $1,189.6 million adjusted for accrued and prepaid rent, lease incentives, and other balances. The impact was recorded as an adjustment to increase retained earnings by approximately $1.8 million.</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connection with the adoption of the new lease standard, we corrected our balance sheet as of January 1, 2016 to include an additional $42.0 million of liabilities of which $5.0 million and $37.0 million was other current liabilities and other liabilities, respectively, with a corresponding decrease in retained earnings to reflect additional rent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76" w:right="239" w:bottom="1440" w:gutter="0" w:footer="0" w:header="0"/>
        </w:sectPr>
      </w:pPr>
    </w:p>
    <w:bookmarkStart w:id="15" w:name="page16"/>
    <w:bookmarkEnd w:id="15"/>
    <w:p>
      <w:pPr>
        <w:ind w:right="240"/>
        <w:spacing w:after="0" w:line="271" w:lineRule="auto"/>
        <w:rPr>
          <w:sz w:val="20"/>
          <w:szCs w:val="20"/>
          <w:color w:val="auto"/>
        </w:rPr>
      </w:pPr>
      <w:r>
        <w:rPr>
          <w:rFonts w:ascii="Arial" w:cs="Arial" w:eastAsia="Arial" w:hAnsi="Arial"/>
          <w:sz w:val="18"/>
          <w:szCs w:val="18"/>
          <w:color w:val="auto"/>
        </w:rPr>
        <w:t>expense which was not historically recorded prior to fiscal 2016. Accordingly, the revised other current liabilities, other liabilities retained earnings balances as of January 1, 2016 were $1,044.4 million, $131.3 million, and $3,231.4 million, respectively. These historical errors are not material to any prior interim or annual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Lessee Arrangements</w:t>
      </w:r>
    </w:p>
    <w:p>
      <w:pPr>
        <w:spacing w:after="0" w:line="169"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We lease real estate, including land, buildings and warehouses, machinery/equipment, vessels, vehicles, and various types of manufacturing and data processing equipment, from a lessee perspective. Leases of real estate generally provide for payment of property taxes, insurance, and repairs by us. Substantially all our leases are classified as operating leases.</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determine if an arrangement is a lease at inception by assessing whether an identified asset exists and if we have the right to control the use of the identified asset. Operating leases are included in Operating lease right-of-use assets, Operating lease liabilities (current), and Operating lease liabilities (non-current) on our consolidated balance sheets.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the remaining lease payments over the lease term. With the exception of rare cases in which the implicit rate is readily determinable, we use our incremental borrowing rate based on the information available at the commencement date in determining the present value of lease payments. The Operating lease right-of-use assets also includes any lease prepayments made and excludes lease incentives we received from the lessor. Lease cost for lease payments is recognized on a straight-line basis over the lease term. Several of our leases provide for certain guarantees of residual value. We estimate and include in the determination of lease payments any amount probable of being owed under these residual value guarantees. At the date of adoption and September 30, 2019, we determined that there were no residual value guarantees which were probable of being owed. Our leases do not contain any material restrictive covenants.</w:t>
      </w:r>
    </w:p>
    <w:p>
      <w:pPr>
        <w:spacing w:after="0" w:line="12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Lease terms within our lessee arrangements may include options to extend/renew or terminate the lease and/or purchase the underlying asset when it is reasonably certain that we will exercise that option. The Company applies a portfolio approach by asset class to determine lease term renewals. The leases within these portfolios are categorized by asset class and have initial lease terms that vary depending on the asset class. The renewal terms range from 60 days to 5 years for asset classes such as temporary residential housing, forklifts, vehicles, vessels, office and IT equipment, and tool rentals, and up to 15 years or more for commercial real estate. Short-term leases with an initial term of 12 months or less that do not include a purchase option are not recorded on the balance sheet. Lease costs for short-term leases are recognized on a straight-line basis over the lease term and amounts related to short-term leases are disclosed within our financial statements.</w:t>
      </w:r>
    </w:p>
    <w:p>
      <w:pPr>
        <w:spacing w:after="0" w:line="1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Company has variable lease payments, including adjustments to lease payments based on an index or rate (such as the Consumer Price Index), fair value adjustments to lease payments, and common area maintenance, real estate taxes, and insurance payments in triple-net real estate leases. Variable lease payments that depend on an index or a rate (such as the Consumer Price Index or a market interest rate) are included when measuring consideration within our lease arrangements using the payments’ base rate or index. Variable payments that do not depend on an index or rate are recognized in profit or loss and are disclosed as ‘variable lease cost’ in the period they are incurred.</w:t>
      </w:r>
    </w:p>
    <w:p>
      <w:pPr>
        <w:spacing w:after="0" w:line="121"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We adopted the practical expedient to not separate lease and non-lease components for all asset classes except for vessels, which have significant non-lease components.</w:t>
      </w:r>
    </w:p>
    <w:p>
      <w:pPr>
        <w:spacing w:after="0" w:line="91"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The Company currently subleases certain of its leased real estate and vessels to third parties. It is expected that most subleases will be classified as operating leases by the sublessor under GAAP.</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76"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is a summary of the Company’s components of net lease cost for the three and nine months ended September 30,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1820" w:type="dxa"/>
            <w:vAlign w:val="bottom"/>
          </w:tcPr>
          <w:p>
            <w:pPr>
              <w:jc w:val="right"/>
              <w:ind w:right="268"/>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3"/>
                <w:szCs w:val="23"/>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23"/>
                <w:szCs w:val="23"/>
                <w:color w:val="auto"/>
              </w:rPr>
            </w:pPr>
          </w:p>
        </w:tc>
        <w:tc>
          <w:tcPr>
            <w:tcW w:w="182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 2019</w:t>
            </w:r>
          </w:p>
        </w:tc>
      </w:tr>
      <w:tr>
        <w:trPr>
          <w:trHeight w:val="251"/>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lease cost including variable costs</w:t>
            </w:r>
          </w:p>
        </w:tc>
        <w:tc>
          <w:tcPr>
            <w:tcW w:w="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273.4</w:t>
            </w:r>
          </w:p>
        </w:tc>
      </w:tr>
      <w:tr>
        <w:trPr>
          <w:trHeight w:val="266"/>
        </w:trPr>
        <w:tc>
          <w:tcPr>
            <w:tcW w:w="7200" w:type="dxa"/>
            <w:vAlign w:val="bottom"/>
          </w:tcPr>
          <w:p>
            <w:pPr>
              <w:ind w:left="40"/>
              <w:spacing w:after="0"/>
              <w:rPr>
                <w:sz w:val="20"/>
                <w:szCs w:val="20"/>
                <w:color w:val="auto"/>
              </w:rPr>
            </w:pPr>
            <w:r>
              <w:rPr>
                <w:rFonts w:ascii="Arial" w:cs="Arial" w:eastAsia="Arial" w:hAnsi="Arial"/>
                <w:sz w:val="14"/>
                <w:szCs w:val="14"/>
                <w:color w:val="auto"/>
              </w:rPr>
              <w:t>Short-term lease costs</w:t>
            </w:r>
          </w:p>
        </w:tc>
        <w:tc>
          <w:tcPr>
            <w:tcW w:w="220" w:type="dxa"/>
            <w:vAlign w:val="bottom"/>
          </w:tcPr>
          <w:p>
            <w:pPr>
              <w:spacing w:after="0"/>
              <w:rPr>
                <w:sz w:val="23"/>
                <w:szCs w:val="23"/>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19.0</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sublease income</w:t>
            </w:r>
          </w:p>
        </w:tc>
        <w:tc>
          <w:tcPr>
            <w:tcW w:w="22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r>
      <w:tr>
        <w:trPr>
          <w:trHeight w:val="241"/>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Net lease cost</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285.9</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nine months ended September 30, 2019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217"/>
        </w:trPr>
        <w:tc>
          <w:tcPr>
            <w:tcW w:w="9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0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September 30, 2019</w:t>
            </w:r>
          </w:p>
        </w:tc>
      </w:tr>
      <w:tr>
        <w:trPr>
          <w:trHeight w:val="265"/>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2060" w:type="dxa"/>
            <w:vAlign w:val="bottom"/>
            <w:shd w:val="clear" w:color="auto" w:fill="CCEEFF"/>
          </w:tcPr>
          <w:p>
            <w:pPr>
              <w:spacing w:after="0"/>
              <w:rPr>
                <w:sz w:val="23"/>
                <w:szCs w:val="23"/>
                <w:color w:val="auto"/>
              </w:rPr>
            </w:pPr>
          </w:p>
        </w:tc>
      </w:tr>
      <w:tr>
        <w:trPr>
          <w:trHeight w:val="212"/>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Operating cash flows from operating leases</w:t>
            </w:r>
          </w:p>
        </w:tc>
        <w:tc>
          <w:tcPr>
            <w:tcW w:w="2060" w:type="dxa"/>
            <w:vAlign w:val="bottom"/>
          </w:tcPr>
          <w:p>
            <w:pPr>
              <w:jc w:val="right"/>
              <w:ind w:right="28"/>
              <w:spacing w:after="0"/>
              <w:rPr>
                <w:sz w:val="20"/>
                <w:szCs w:val="20"/>
                <w:color w:val="auto"/>
              </w:rPr>
            </w:pPr>
            <w:r>
              <w:rPr>
                <w:rFonts w:ascii="Arial" w:cs="Arial" w:eastAsia="Arial" w:hAnsi="Arial"/>
                <w:sz w:val="14"/>
                <w:szCs w:val="14"/>
                <w:color w:val="auto"/>
              </w:rPr>
              <w:t>289.4</w:t>
            </w:r>
          </w:p>
        </w:tc>
      </w:tr>
      <w:tr>
        <w:trPr>
          <w:trHeight w:val="328"/>
        </w:trPr>
        <w:tc>
          <w:tcPr>
            <w:tcW w:w="9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r>
        <w:trPr>
          <w:trHeight w:val="269"/>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Right-of-use assets obtained in exchange for lease liabilities</w:t>
            </w:r>
          </w:p>
        </w:tc>
        <w:tc>
          <w:tcPr>
            <w:tcW w:w="2060" w:type="dxa"/>
            <w:vAlign w:val="bottom"/>
          </w:tcPr>
          <w:p>
            <w:pPr>
              <w:spacing w:after="0"/>
              <w:rPr>
                <w:sz w:val="23"/>
                <w:szCs w:val="23"/>
                <w:color w:val="auto"/>
              </w:rPr>
            </w:pPr>
          </w:p>
        </w:tc>
      </w:tr>
      <w:tr>
        <w:trPr>
          <w:trHeight w:val="217"/>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leases</w:t>
            </w:r>
          </w:p>
        </w:tc>
        <w:tc>
          <w:tcPr>
            <w:tcW w:w="2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w:t>
            </w:r>
          </w:p>
        </w:tc>
      </w:tr>
      <w:tr>
        <w:trPr>
          <w:trHeight w:val="598"/>
        </w:trPr>
        <w:tc>
          <w:tcPr>
            <w:tcW w:w="936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as of September 30, 2019 is as follows:</w:t>
            </w:r>
          </w:p>
        </w:tc>
        <w:tc>
          <w:tcPr>
            <w:tcW w:w="2060" w:type="dxa"/>
            <w:vAlign w:val="bottom"/>
          </w:tcPr>
          <w:p>
            <w:pPr>
              <w:spacing w:after="0"/>
              <w:rPr>
                <w:sz w:val="24"/>
                <w:szCs w:val="24"/>
                <w:color w:val="auto"/>
              </w:rPr>
            </w:pPr>
          </w:p>
        </w:tc>
      </w:tr>
      <w:tr>
        <w:trPr>
          <w:trHeight w:val="346"/>
        </w:trPr>
        <w:tc>
          <w:tcPr>
            <w:tcW w:w="9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lease term and discount rate)</w:t>
            </w: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September 30, 2019</w:t>
            </w:r>
          </w:p>
        </w:tc>
      </w:tr>
      <w:tr>
        <w:trPr>
          <w:trHeight w:val="265"/>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remaining lease term</w:t>
            </w:r>
          </w:p>
        </w:tc>
        <w:tc>
          <w:tcPr>
            <w:tcW w:w="2060" w:type="dxa"/>
            <w:vAlign w:val="bottom"/>
            <w:shd w:val="clear" w:color="auto" w:fill="CCEEFF"/>
          </w:tcPr>
          <w:p>
            <w:pPr>
              <w:spacing w:after="0"/>
              <w:rPr>
                <w:sz w:val="23"/>
                <w:szCs w:val="23"/>
                <w:color w:val="auto"/>
              </w:rPr>
            </w:pPr>
          </w:p>
        </w:tc>
      </w:tr>
      <w:tr>
        <w:trPr>
          <w:trHeight w:val="212"/>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Operating leases</w:t>
            </w:r>
          </w:p>
        </w:tc>
        <w:tc>
          <w:tcPr>
            <w:tcW w:w="2060" w:type="dxa"/>
            <w:vAlign w:val="bottom"/>
          </w:tcPr>
          <w:p>
            <w:pPr>
              <w:ind w:left="1300"/>
              <w:spacing w:after="0"/>
              <w:rPr>
                <w:sz w:val="20"/>
                <w:szCs w:val="20"/>
                <w:color w:val="auto"/>
              </w:rPr>
            </w:pPr>
            <w:r>
              <w:rPr>
                <w:rFonts w:ascii="Arial" w:cs="Arial" w:eastAsia="Arial" w:hAnsi="Arial"/>
                <w:sz w:val="14"/>
                <w:szCs w:val="14"/>
                <w:color w:val="auto"/>
              </w:rPr>
              <w:t>7.0 years</w:t>
            </w:r>
          </w:p>
        </w:tc>
      </w:tr>
      <w:tr>
        <w:trPr>
          <w:trHeight w:val="328"/>
        </w:trPr>
        <w:tc>
          <w:tcPr>
            <w:tcW w:w="9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r>
      <w:tr>
        <w:trPr>
          <w:trHeight w:val="269"/>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 discount rate</w:t>
            </w:r>
          </w:p>
        </w:tc>
        <w:tc>
          <w:tcPr>
            <w:tcW w:w="2060" w:type="dxa"/>
            <w:vAlign w:val="bottom"/>
          </w:tcPr>
          <w:p>
            <w:pPr>
              <w:spacing w:after="0"/>
              <w:rPr>
                <w:sz w:val="23"/>
                <w:szCs w:val="23"/>
                <w:color w:val="auto"/>
              </w:rPr>
            </w:pPr>
          </w:p>
        </w:tc>
      </w:tr>
      <w:tr>
        <w:trPr>
          <w:trHeight w:val="217"/>
        </w:trPr>
        <w:tc>
          <w:tcPr>
            <w:tcW w:w="9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leases</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maturity of lease liabilities under operating leases as of September 30, 2019:</w:t>
      </w:r>
    </w:p>
    <w:p>
      <w:pPr>
        <w:sectPr>
          <w:pgSz w:w="11900" w:h="16838" w:orient="portrait"/>
          <w:cols w:equalWidth="0" w:num="1">
            <w:col w:w="11420"/>
          </w:cols>
          <w:pgMar w:left="240" w:top="576" w:right="239" w:bottom="1440" w:gutter="0" w:footer="0" w:header="0"/>
        </w:sectPr>
      </w:pP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2019</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2020</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2021</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2022</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2023</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Thereafter</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lease payments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Less: Imputed interest </w:t>
      </w:r>
      <w:r>
        <w:rPr>
          <w:rFonts w:ascii="Arial" w:cs="Arial" w:eastAsia="Arial" w:hAnsi="Arial"/>
          <w:sz w:val="17"/>
          <w:szCs w:val="17"/>
          <w:color w:val="auto"/>
          <w:vertAlign w:val="superscript"/>
        </w:rPr>
        <w:t>(a)</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Total lease liabilities </w:t>
      </w:r>
      <w:r>
        <w:rPr>
          <w:rFonts w:ascii="Arial" w:cs="Arial" w:eastAsia="Arial" w:hAnsi="Arial"/>
          <w:sz w:val="17"/>
          <w:szCs w:val="17"/>
          <w:b w:val="1"/>
          <w:bCs w:val="1"/>
          <w:color w:val="auto"/>
          <w:vertAlign w:val="superscript"/>
        </w:rPr>
        <w:t>(b)</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27305</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1" w:lineRule="exact"/>
        <w:rPr>
          <w:sz w:val="20"/>
          <w:szCs w:val="20"/>
          <w:color w:val="auto"/>
        </w:rPr>
      </w:pPr>
    </w:p>
    <w:p>
      <w:pPr>
        <w:spacing w:after="0"/>
        <w:tabs>
          <w:tab w:leader="none" w:pos="15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305.0</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26035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129.1</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26035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77.2</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334.6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26035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1,177.3</w:t>
      </w:r>
    </w:p>
    <w:p>
      <w:pPr>
        <w:spacing w:after="0" w:line="5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26035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9" w:lineRule="exact"/>
        <w:rPr>
          <w:sz w:val="20"/>
          <w:szCs w:val="20"/>
          <w:color w:val="auto"/>
        </w:rPr>
      </w:pPr>
    </w:p>
    <w:p>
      <w:pPr>
        <w:spacing w:after="0"/>
        <w:tabs>
          <w:tab w:leader="none" w:pos="15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43180</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8680" w:space="720"/>
            <w:col w:w="2020"/>
          </w:cols>
          <w:pgMar w:left="240" w:top="576" w:right="239" w:bottom="1440" w:gutter="0" w:footer="0" w:header="0"/>
          <w:type w:val="continuous"/>
        </w:sectPr>
      </w:pPr>
    </w:p>
    <w:p>
      <w:pPr>
        <w:spacing w:after="0"/>
        <w:rPr>
          <w:sz w:val="20"/>
          <w:szCs w:val="20"/>
          <w:color w:val="auto"/>
        </w:rPr>
      </w:pPr>
      <w:r>
        <w:rPr>
          <w:rFonts w:ascii="Arial" w:cs="Arial" w:eastAsia="Arial" w:hAnsi="Arial"/>
          <w:sz w:val="14"/>
          <w:szCs w:val="14"/>
          <w:color w:val="auto"/>
        </w:rPr>
        <w:t>Note: For leases commencing prior to 2019, minimum lease payments exclude payments to landlords for real estate taxes and common area maintenance.</w:t>
      </w:r>
    </w:p>
    <w:p>
      <w:pPr>
        <w:spacing w:after="0" w:line="16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Calculated using the interest rate for each lease.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the current portion of $224.3 million for operating leases.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6"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At December 31, 2018, future minimum rental payments under noncancellable operating leases under ASC Topic 840 were: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7"/>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80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w:t>
            </w:r>
          </w:p>
        </w:tc>
      </w:tr>
      <w:tr>
        <w:trPr>
          <w:trHeight w:val="212"/>
        </w:trPr>
        <w:tc>
          <w:tcPr>
            <w:tcW w:w="9360" w:type="dxa"/>
            <w:vAlign w:val="bottom"/>
          </w:tcPr>
          <w:p>
            <w:pPr>
              <w:ind w:left="40"/>
              <w:spacing w:after="0"/>
              <w:rPr>
                <w:sz w:val="20"/>
                <w:szCs w:val="20"/>
                <w:color w:val="auto"/>
              </w:rPr>
            </w:pPr>
            <w:r>
              <w:rPr>
                <w:rFonts w:ascii="Arial" w:cs="Arial" w:eastAsia="Arial" w:hAnsi="Arial"/>
                <w:sz w:val="14"/>
                <w:szCs w:val="14"/>
                <w:color w:val="auto"/>
              </w:rPr>
              <w:t>2020</w:t>
            </w:r>
          </w:p>
        </w:tc>
        <w:tc>
          <w:tcPr>
            <w:tcW w:w="8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286.1</w:t>
            </w:r>
          </w:p>
        </w:tc>
      </w:tr>
      <w:tr>
        <w:trPr>
          <w:trHeight w:val="22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192.3</w:t>
            </w:r>
          </w:p>
        </w:tc>
      </w:tr>
      <w:tr>
        <w:trPr>
          <w:trHeight w:val="212"/>
        </w:trPr>
        <w:tc>
          <w:tcPr>
            <w:tcW w:w="9360" w:type="dxa"/>
            <w:vAlign w:val="bottom"/>
          </w:tcPr>
          <w:p>
            <w:pPr>
              <w:ind w:left="40"/>
              <w:spacing w:after="0"/>
              <w:rPr>
                <w:sz w:val="20"/>
                <w:szCs w:val="20"/>
                <w:color w:val="auto"/>
              </w:rPr>
            </w:pPr>
            <w:r>
              <w:rPr>
                <w:rFonts w:ascii="Arial" w:cs="Arial" w:eastAsia="Arial" w:hAnsi="Arial"/>
                <w:sz w:val="14"/>
                <w:szCs w:val="14"/>
                <w:color w:val="auto"/>
              </w:rPr>
              <w:t>2022</w:t>
            </w:r>
          </w:p>
        </w:tc>
        <w:tc>
          <w:tcPr>
            <w:tcW w:w="80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123.8</w:t>
            </w:r>
          </w:p>
        </w:tc>
      </w:tr>
      <w:tr>
        <w:trPr>
          <w:trHeight w:val="22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w:t>
            </w:r>
          </w:p>
        </w:tc>
      </w:tr>
      <w:tr>
        <w:trPr>
          <w:trHeight w:val="212"/>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485.6</w:t>
            </w:r>
          </w:p>
        </w:tc>
      </w:tr>
      <w:tr>
        <w:trPr>
          <w:trHeight w:val="214"/>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lease payment</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1,519.7</w:t>
            </w:r>
          </w:p>
        </w:tc>
      </w:tr>
      <w:tr>
        <w:trPr>
          <w:trHeight w:val="212"/>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income from sub-leases</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w:t>
            </w:r>
          </w:p>
        </w:tc>
      </w:tr>
      <w:tr>
        <w:trPr>
          <w:trHeight w:val="21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minimum operating lease payments</w:t>
            </w:r>
          </w:p>
        </w:tc>
        <w:tc>
          <w:tcPr>
            <w:tcW w:w="80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1,494.1</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As of September 30, 2019, we have an additional operating lease for our future office building in Paris, France, that has not yet commenced for $236.2 million. This operating lease will commence in fiscal year 2021 with a lease term of 10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Lessor Arrangements</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lease real estate including land, buildings and warehouses, machinery/equipment, and vessels from a lessor perspective. We determine if an arrangement is a lease at inception by assessing whether an identified asset exists and if the customer has the right to control the use of the identified asset. We use our implicit rate for our lessor arrangements. We have elected the practical expedient available for lessors to not separate lease and non-lease components for vessels. If the non-lease component is predominant in our contracts, we account for the contracts under the revenue recognition guidance in ASC 606. If the lease component is predominant in our contracts, we account for the contracts under the lease guidance in ASC 842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estimate the amount we expect to derive from the underlying asset following the end of the lease term based on remaining economic life. Our lessor arrangements generally do not include any residual value guarantees. We recognize lessee payments of lessor costs such as taxes and insurance on a net basis when the lessee pays those costs directly to a third party or when the amount paid by the lessee is not readily determinable.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components of lease revenue for the three and nine months ended September 30,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1820" w:type="dxa"/>
            <w:vAlign w:val="bottom"/>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243"/>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21"/>
                <w:szCs w:val="21"/>
                <w:color w:val="auto"/>
              </w:rPr>
            </w:pPr>
          </w:p>
        </w:tc>
        <w:tc>
          <w:tcPr>
            <w:tcW w:w="1820" w:type="dxa"/>
            <w:vAlign w:val="bottom"/>
          </w:tcPr>
          <w:p>
            <w:pPr>
              <w:ind w:left="120"/>
              <w:spacing w:after="0"/>
              <w:rPr>
                <w:sz w:val="20"/>
                <w:szCs w:val="20"/>
                <w:color w:val="auto"/>
              </w:rPr>
            </w:pPr>
            <w:r>
              <w:rPr>
                <w:rFonts w:ascii="Arial" w:cs="Arial" w:eastAsia="Arial" w:hAnsi="Arial"/>
                <w:sz w:val="14"/>
                <w:szCs w:val="14"/>
                <w:b w:val="1"/>
                <w:bCs w:val="1"/>
                <w:color w:val="auto"/>
              </w:rPr>
              <w:t>September 30, 2019</w:t>
            </w:r>
          </w:p>
        </w:tc>
      </w:tr>
      <w:tr>
        <w:trPr>
          <w:trHeight w:val="29"/>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5"/>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revenue including variable revenue</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200.9</w:t>
            </w:r>
          </w:p>
        </w:tc>
      </w:tr>
      <w:tr>
        <w:trPr>
          <w:trHeight w:val="35"/>
        </w:trPr>
        <w:tc>
          <w:tcPr>
            <w:tcW w:w="7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355" w:lineRule="exact"/>
        <w:rPr>
          <w:sz w:val="20"/>
          <w:szCs w:val="20"/>
          <w:color w:val="auto"/>
        </w:rPr>
      </w:pPr>
    </w:p>
    <w:p>
      <w:pPr>
        <w:jc w:val="both"/>
        <w:ind w:right="100"/>
        <w:spacing w:after="0" w:line="292" w:lineRule="auto"/>
        <w:rPr>
          <w:sz w:val="20"/>
          <w:szCs w:val="20"/>
          <w:color w:val="auto"/>
        </w:rPr>
      </w:pPr>
      <w:r>
        <w:rPr>
          <w:rFonts w:ascii="Arial" w:cs="Arial" w:eastAsia="Arial" w:hAnsi="Arial"/>
          <w:sz w:val="18"/>
          <w:szCs w:val="18"/>
          <w:color w:val="auto"/>
        </w:rPr>
        <w:t>The following table is a summary of the maturity analysis of the undiscounted cash flows to be received on an annual basis for each of the first five years, and a total of the amounts for the remaining years: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Operating Leases</w:t>
            </w:r>
          </w:p>
        </w:tc>
      </w:tr>
      <w:tr>
        <w:trPr>
          <w:trHeight w:val="211"/>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r>
      <w:tr>
        <w:trPr>
          <w:trHeight w:val="212"/>
        </w:trPr>
        <w:tc>
          <w:tcPr>
            <w:tcW w:w="9360" w:type="dxa"/>
            <w:vAlign w:val="bottom"/>
          </w:tcPr>
          <w:p>
            <w:pPr>
              <w:ind w:left="40"/>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8"/>
                <w:szCs w:val="18"/>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2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212"/>
        </w:trPr>
        <w:tc>
          <w:tcPr>
            <w:tcW w:w="9360" w:type="dxa"/>
            <w:vAlign w:val="bottom"/>
          </w:tcPr>
          <w:p>
            <w:pPr>
              <w:ind w:left="40"/>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8"/>
                <w:szCs w:val="18"/>
                <w:color w:val="auto"/>
              </w:rPr>
            </w:pPr>
          </w:p>
        </w:tc>
        <w:tc>
          <w:tcPr>
            <w:tcW w:w="1780" w:type="dxa"/>
            <w:vAlign w:val="bottom"/>
          </w:tcPr>
          <w:p>
            <w:pPr>
              <w:jc w:val="right"/>
              <w:ind w:right="28"/>
              <w:spacing w:after="0"/>
              <w:rPr>
                <w:sz w:val="20"/>
                <w:szCs w:val="20"/>
                <w:color w:val="auto"/>
              </w:rPr>
            </w:pPr>
            <w:r>
              <w:rPr>
                <w:rFonts w:ascii="Arial" w:cs="Arial" w:eastAsia="Arial" w:hAnsi="Arial"/>
                <w:sz w:val="14"/>
                <w:szCs w:val="14"/>
                <w:color w:val="auto"/>
              </w:rPr>
              <w:t>18.0</w:t>
            </w:r>
          </w:p>
        </w:tc>
      </w:tr>
      <w:tr>
        <w:trPr>
          <w:trHeight w:val="22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12"/>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undiscounted cash flows</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r>
      <w:tr>
        <w:trPr>
          <w:trHeight w:val="20"/>
        </w:trPr>
        <w:tc>
          <w:tcPr>
            <w:tcW w:w="9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w:t>
      </w:r>
    </w:p>
    <w:p>
      <w:pPr>
        <w:spacing w:after="0" w:line="173"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Company disaggregates revenue by geographic location and contract types. The tables also include a reconciliation of the disaggregated revenue with the reportable segments.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products and services revenue by geography for each reportable segment for the three and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Reportable Segments</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49"/>
        </w:trPr>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7"/>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1"/>
        </w:trPr>
        <w:tc>
          <w:tcPr>
            <w:tcW w:w="3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r>
      <w:tr>
        <w:trPr>
          <w:trHeight w:val="168"/>
        </w:trPr>
        <w:tc>
          <w:tcPr>
            <w:tcW w:w="3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Onshore/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Surface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Onshore/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Surface</w:t>
            </w:r>
          </w:p>
        </w:tc>
      </w:tr>
      <w:tr>
        <w:trPr>
          <w:trHeight w:val="203"/>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Subsea</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Offshore</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Technologies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Offshore</w:t>
            </w:r>
          </w:p>
        </w:tc>
        <w:tc>
          <w:tcPr>
            <w:tcW w:w="8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Technologies</w:t>
            </w:r>
          </w:p>
        </w:tc>
      </w:tr>
      <w:tr>
        <w:trPr>
          <w:trHeight w:val="251"/>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Europe, Russia, Central Asia</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390.8</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421.4</w:t>
            </w:r>
          </w:p>
        </w:tc>
        <w:tc>
          <w:tcPr>
            <w:tcW w:w="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60" w:type="dxa"/>
            <w:vAlign w:val="bottom"/>
            <w:shd w:val="clear" w:color="auto" w:fill="CCEEFF"/>
          </w:tcPr>
          <w:p>
            <w:pPr>
              <w:spacing w:after="0"/>
              <w:rPr>
                <w:sz w:val="21"/>
                <w:szCs w:val="21"/>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America</w:t>
            </w:r>
          </w:p>
        </w:tc>
        <w:tc>
          <w:tcPr>
            <w:tcW w:w="2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513.1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156.9</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437.4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208.3</w:t>
            </w:r>
          </w:p>
        </w:tc>
        <w:tc>
          <w:tcPr>
            <w:tcW w:w="60" w:type="dxa"/>
            <w:vAlign w:val="bottom"/>
          </w:tcPr>
          <w:p>
            <w:pPr>
              <w:spacing w:after="0"/>
              <w:rPr>
                <w:sz w:val="23"/>
                <w:szCs w:val="23"/>
                <w:color w:val="auto"/>
              </w:rPr>
            </w:pPr>
          </w:p>
        </w:tc>
      </w:tr>
      <w:tr>
        <w:trPr>
          <w:trHeight w:val="27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60" w:type="dxa"/>
            <w:vAlign w:val="bottom"/>
            <w:shd w:val="clear" w:color="auto" w:fill="CCEEFF"/>
          </w:tcPr>
          <w:p>
            <w:pPr>
              <w:spacing w:after="0"/>
              <w:rPr>
                <w:sz w:val="23"/>
                <w:szCs w:val="23"/>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Africa</w:t>
            </w:r>
          </w:p>
        </w:tc>
        <w:tc>
          <w:tcPr>
            <w:tcW w:w="2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143.6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162.5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w:t>
            </w:r>
          </w:p>
        </w:tc>
        <w:tc>
          <w:tcPr>
            <w:tcW w:w="60" w:type="dxa"/>
            <w:vAlign w:val="bottom"/>
          </w:tcPr>
          <w:p>
            <w:pPr>
              <w:spacing w:after="0"/>
              <w:rPr>
                <w:sz w:val="23"/>
                <w:szCs w:val="23"/>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Middle East</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81.2</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60" w:type="dxa"/>
            <w:vAlign w:val="bottom"/>
            <w:tcBorders>
              <w:bottom w:val="single" w:sz="8" w:color="auto"/>
            </w:tcBorders>
            <w:shd w:val="clear" w:color="auto" w:fill="CCEEFF"/>
          </w:tcPr>
          <w:p>
            <w:pPr>
              <w:spacing w:after="0"/>
              <w:rPr>
                <w:sz w:val="23"/>
                <w:szCs w:val="23"/>
                <w:color w:val="auto"/>
              </w:rPr>
            </w:pPr>
          </w:p>
        </w:tc>
      </w:tr>
      <w:tr>
        <w:trPr>
          <w:trHeight w:val="241"/>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products and services revenue</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1,299.7</w:t>
            </w:r>
          </w:p>
        </w:tc>
        <w:tc>
          <w:tcPr>
            <w:tcW w:w="4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1,596.3</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353.4</w:t>
            </w:r>
          </w:p>
        </w:tc>
        <w:tc>
          <w:tcPr>
            <w:tcW w:w="2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1,178.3</w:t>
            </w:r>
          </w:p>
        </w:tc>
        <w:tc>
          <w:tcPr>
            <w:tcW w:w="4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1,532.5</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372.3</w:t>
            </w:r>
          </w:p>
        </w:tc>
        <w:tc>
          <w:tcPr>
            <w:tcW w:w="60" w:type="dxa"/>
            <w:vAlign w:val="bottom"/>
            <w:tcBorders>
              <w:bottom w:val="single" w:sz="8" w:color="auto"/>
            </w:tcBorders>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85"/>
        </w:trPr>
        <w:tc>
          <w:tcPr>
            <w:tcW w:w="33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Reportable Segments</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49"/>
        </w:trPr>
        <w:tc>
          <w:tcPr>
            <w:tcW w:w="3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7"/>
          </w:tcPr>
          <w:p>
            <w:pPr>
              <w:ind w:left="42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1"/>
        </w:trPr>
        <w:tc>
          <w:tcPr>
            <w:tcW w:w="330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September 30, 2019</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rPr>
              <w:t>September 30, 2018</w:t>
            </w: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168"/>
        </w:trPr>
        <w:tc>
          <w:tcPr>
            <w:tcW w:w="3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Onshore/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Surface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Onshore/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Surface</w:t>
            </w:r>
          </w:p>
        </w:tc>
      </w:tr>
      <w:tr>
        <w:trPr>
          <w:trHeight w:val="203"/>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Subsea</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Offshore</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Subsea</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Offshore</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Technologies</w:t>
            </w:r>
          </w:p>
        </w:tc>
        <w:tc>
          <w:tcPr>
            <w:tcW w:w="60" w:type="dxa"/>
            <w:vAlign w:val="bottom"/>
          </w:tcPr>
          <w:p>
            <w:pPr>
              <w:spacing w:after="0"/>
              <w:rPr>
                <w:sz w:val="17"/>
                <w:szCs w:val="17"/>
                <w:color w:val="auto"/>
              </w:rPr>
            </w:pPr>
          </w:p>
        </w:tc>
      </w:tr>
      <w:tr>
        <w:trPr>
          <w:trHeight w:val="251"/>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Europe, Russia, Central Asia</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1,975.2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171.3</w:t>
            </w:r>
          </w:p>
        </w:tc>
        <w:tc>
          <w:tcPr>
            <w:tcW w:w="2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1,136.3</w:t>
            </w:r>
          </w:p>
        </w:tc>
        <w:tc>
          <w:tcPr>
            <w:tcW w:w="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2,537.9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172.5</w:t>
            </w:r>
          </w:p>
        </w:tc>
        <w:tc>
          <w:tcPr>
            <w:tcW w:w="60" w:type="dxa"/>
            <w:vAlign w:val="bottom"/>
          </w:tcPr>
          <w:p>
            <w:pPr>
              <w:spacing w:after="0"/>
              <w:rPr>
                <w:sz w:val="21"/>
                <w:szCs w:val="21"/>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America</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1,232.0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514.2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564.1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1,219.3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253.0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653.3</w:t>
            </w:r>
          </w:p>
        </w:tc>
        <w:tc>
          <w:tcPr>
            <w:tcW w:w="60" w:type="dxa"/>
            <w:vAlign w:val="bottom"/>
          </w:tcPr>
          <w:p>
            <w:pPr>
              <w:spacing w:after="0"/>
              <w:rPr>
                <w:sz w:val="23"/>
                <w:szCs w:val="23"/>
                <w:color w:val="auto"/>
              </w:rPr>
            </w:pPr>
          </w:p>
        </w:tc>
      </w:tr>
      <w:tr>
        <w:trPr>
          <w:trHeight w:val="27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889.1</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906.5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60" w:type="dxa"/>
            <w:vAlign w:val="bottom"/>
          </w:tcPr>
          <w:p>
            <w:pPr>
              <w:spacing w:after="0"/>
              <w:rPr>
                <w:sz w:val="23"/>
                <w:szCs w:val="23"/>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Africa</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663.2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330.1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703.9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202.3</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43.4</w:t>
            </w:r>
          </w:p>
        </w:tc>
        <w:tc>
          <w:tcPr>
            <w:tcW w:w="60" w:type="dxa"/>
            <w:vAlign w:val="bottom"/>
          </w:tcPr>
          <w:p>
            <w:pPr>
              <w:spacing w:after="0"/>
              <w:rPr>
                <w:sz w:val="23"/>
                <w:szCs w:val="23"/>
                <w:color w:val="auto"/>
              </w:rPr>
            </w:pPr>
          </w:p>
        </w:tc>
      </w:tr>
      <w:tr>
        <w:trPr>
          <w:trHeight w:val="270"/>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w:t>
            </w: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727.8</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548.6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146.4</w:t>
            </w:r>
          </w:p>
        </w:tc>
        <w:tc>
          <w:tcPr>
            <w:tcW w:w="60" w:type="dxa"/>
            <w:vAlign w:val="bottom"/>
          </w:tcPr>
          <w:p>
            <w:pPr>
              <w:spacing w:after="0"/>
              <w:rPr>
                <w:sz w:val="23"/>
                <w:szCs w:val="23"/>
                <w:color w:val="auto"/>
              </w:rPr>
            </w:pPr>
          </w:p>
        </w:tc>
      </w:tr>
      <w:tr>
        <w:trPr>
          <w:trHeight w:val="241"/>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products and services revenue</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3,945.6</w:t>
            </w:r>
          </w:p>
        </w:tc>
        <w:tc>
          <w:tcPr>
            <w:tcW w:w="40" w:type="dxa"/>
            <w:vAlign w:val="bottom"/>
          </w:tcPr>
          <w:p>
            <w:pPr>
              <w:spacing w:after="0"/>
              <w:rPr>
                <w:sz w:val="20"/>
                <w:szCs w:val="20"/>
                <w:color w:val="auto"/>
              </w:rPr>
            </w:pPr>
          </w:p>
        </w:tc>
        <w:tc>
          <w:tcPr>
            <w:tcW w:w="3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4,436.4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1,099.4</w:t>
            </w:r>
          </w:p>
        </w:tc>
        <w:tc>
          <w:tcPr>
            <w:tcW w:w="20" w:type="dxa"/>
            <w:vAlign w:val="bottom"/>
          </w:tcPr>
          <w:p>
            <w:pPr>
              <w:spacing w:after="0"/>
              <w:rPr>
                <w:sz w:val="20"/>
                <w:szCs w:val="20"/>
                <w:color w:val="auto"/>
              </w:rPr>
            </w:pPr>
          </w:p>
        </w:tc>
        <w:tc>
          <w:tcPr>
            <w:tcW w:w="34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3,516.7</w:t>
            </w:r>
          </w:p>
        </w:tc>
        <w:tc>
          <w:tcPr>
            <w:tcW w:w="40" w:type="dxa"/>
            <w:vAlign w:val="bottom"/>
          </w:tcPr>
          <w:p>
            <w:pPr>
              <w:spacing w:after="0"/>
              <w:rPr>
                <w:sz w:val="20"/>
                <w:szCs w:val="20"/>
                <w:color w:val="auto"/>
              </w:rPr>
            </w:pPr>
          </w:p>
        </w:tc>
        <w:tc>
          <w:tcPr>
            <w:tcW w:w="2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4,448.3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1,101.5</w:t>
            </w:r>
          </w:p>
        </w:tc>
        <w:tc>
          <w:tcPr>
            <w:tcW w:w="60" w:type="dxa"/>
            <w:vAlign w:val="bottom"/>
          </w:tcPr>
          <w:p>
            <w:pPr>
              <w:spacing w:after="0"/>
              <w:rPr>
                <w:sz w:val="20"/>
                <w:szCs w:val="20"/>
                <w:color w:val="auto"/>
              </w:rPr>
            </w:pPr>
          </w:p>
        </w:tc>
      </w:tr>
      <w:tr>
        <w:trPr>
          <w:trHeight w:val="20"/>
        </w:trPr>
        <w:tc>
          <w:tcPr>
            <w:tcW w:w="3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6" w:right="239" w:bottom="1440" w:gutter="0" w:footer="0" w:header="0"/>
        </w:sectPr>
      </w:pPr>
    </w:p>
    <w:bookmarkStart w:id="19" w:name="page20"/>
    <w:bookmarkEnd w:id="19"/>
    <w:p>
      <w:pPr>
        <w:ind w:right="60"/>
        <w:spacing w:after="0" w:line="292" w:lineRule="auto"/>
        <w:rPr>
          <w:sz w:val="20"/>
          <w:szCs w:val="20"/>
          <w:color w:val="auto"/>
        </w:rPr>
      </w:pPr>
      <w:r>
        <w:rPr>
          <w:rFonts w:ascii="Arial" w:cs="Arial" w:eastAsia="Arial" w:hAnsi="Arial"/>
          <w:sz w:val="18"/>
          <w:szCs w:val="18"/>
          <w:color w:val="auto"/>
        </w:rPr>
        <w:t>The following tables represent revenue by contract type for each reportable segment for the three and nine months ended September 30, 2019 and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center"/>
              <w:ind w:right="14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49"/>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1"/>
        </w:trPr>
        <w:tc>
          <w:tcPr>
            <w:tcW w:w="33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168"/>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rPr>
              <w:t>Surface</w:t>
            </w:r>
          </w:p>
        </w:tc>
      </w:tr>
      <w:tr>
        <w:trPr>
          <w:trHeight w:val="20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Offshore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Subsea</w:t>
            </w:r>
            <w:r>
              <w:rPr>
                <w:rFonts w:ascii="Arial" w:cs="Arial" w:eastAsia="Arial" w:hAnsi="Arial"/>
                <w:sz w:val="17"/>
                <w:szCs w:val="17"/>
                <w:b w:val="1"/>
                <w:bCs w:val="1"/>
                <w:color w:val="auto"/>
                <w:vertAlign w:val="superscript"/>
              </w:rPr>
              <w:t>(b)</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Offshore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Technologies</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674.2</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555.9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504.1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302.1</w:t>
            </w:r>
          </w:p>
        </w:tc>
      </w:tr>
      <w:tr>
        <w:trPr>
          <w:trHeight w:val="254"/>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1,299.7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1,596.3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1,178.3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1,532.5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372.3</w:t>
            </w: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Lease</w:t>
            </w:r>
            <w:r>
              <w:rPr>
                <w:rFonts w:ascii="Arial" w:cs="Arial" w:eastAsia="Arial" w:hAnsi="Arial"/>
                <w:sz w:val="17"/>
                <w:szCs w:val="17"/>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w:t>
            </w: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402.2</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85"/>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right="14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49"/>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1"/>
        </w:trPr>
        <w:tc>
          <w:tcPr>
            <w:tcW w:w="33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168"/>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Onshore/</w:t>
            </w:r>
          </w:p>
        </w:tc>
        <w:tc>
          <w:tcPr>
            <w:tcW w:w="14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rPr>
              <w:t>Surface</w:t>
            </w:r>
          </w:p>
        </w:tc>
      </w:tr>
      <w:tr>
        <w:trPr>
          <w:trHeight w:val="20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Offshore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Subsea</w:t>
            </w:r>
            <w:r>
              <w:rPr>
                <w:rFonts w:ascii="Arial" w:cs="Arial" w:eastAsia="Arial" w:hAnsi="Arial"/>
                <w:sz w:val="17"/>
                <w:szCs w:val="17"/>
                <w:b w:val="1"/>
                <w:bCs w:val="1"/>
                <w:color w:val="auto"/>
                <w:vertAlign w:val="superscript"/>
              </w:rPr>
              <w:t>(b)</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Offshore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Technologies</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2,359.6</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1,983.6</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185.0</w:t>
            </w: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1,586.0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885.9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1,533.1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916.5</w:t>
            </w:r>
          </w:p>
        </w:tc>
      </w:tr>
      <w:tr>
        <w:trPr>
          <w:trHeight w:val="254"/>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3,945.6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4,436.4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1,099.4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3,516.7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4,448.3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1,101.5</w:t>
            </w: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Lease</w:t>
            </w:r>
            <w:r>
              <w:rPr>
                <w:rFonts w:ascii="Arial" w:cs="Arial" w:eastAsia="Arial" w:hAnsi="Arial"/>
                <w:sz w:val="17"/>
                <w:szCs w:val="17"/>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w:t>
            </w: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4,036.2</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3,606.7</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1,174.9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340" w:right="80" w:hanging="332"/>
        <w:spacing w:after="0" w:line="29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revenue not subject to ASC Topic 606. See Note 5 to our condensed consolidated financial statements of this Quarterly Report for additional disclosure related to lease revenue.</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revised the condensed consolidated statement of operations to correct the classification of service revenue and product revenue in the amount of $211.0 million and</w:t>
      </w:r>
    </w:p>
    <w:p>
      <w:pPr>
        <w:spacing w:after="0" w:line="19" w:lineRule="exact"/>
        <w:rPr>
          <w:rFonts w:ascii="Arial" w:cs="Arial" w:eastAsia="Arial" w:hAnsi="Arial"/>
          <w:sz w:val="14"/>
          <w:szCs w:val="14"/>
          <w:color w:val="auto"/>
        </w:rPr>
      </w:pPr>
    </w:p>
    <w:p>
      <w:pPr>
        <w:ind w:left="340" w:right="20"/>
        <w:spacing w:after="0" w:line="264" w:lineRule="auto"/>
        <w:rPr>
          <w:rFonts w:ascii="Arial" w:cs="Arial" w:eastAsia="Arial" w:hAnsi="Arial"/>
          <w:sz w:val="14"/>
          <w:szCs w:val="14"/>
          <w:color w:val="auto"/>
        </w:rPr>
      </w:pPr>
      <w:r>
        <w:rPr>
          <w:rFonts w:ascii="Arial" w:cs="Arial" w:eastAsia="Arial" w:hAnsi="Arial"/>
          <w:sz w:val="14"/>
          <w:szCs w:val="14"/>
          <w:color w:val="auto"/>
        </w:rPr>
        <w:t>$542.3 million for the three and nine months ended September 30, 2018, respectively. See Note 1 to our condensed consolidated financial statements of this Quarterly Report for additional disclosure related to the revision.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sheets.</w:t>
      </w:r>
    </w:p>
    <w:p>
      <w:pPr>
        <w:spacing w:after="0" w:line="109"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previously disclosed as costs and estimated earnings in excess of billings on uncompleted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unbilled amounts typically resulting from sales under long-term contracts when revenue is 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21"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September 30, 2019 and December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208.0</w:t>
            </w:r>
          </w:p>
        </w:tc>
        <w:tc>
          <w:tcPr>
            <w:tcW w:w="1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Contract (liabilities)</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(4,122.5)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(4,085.1)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(0.9)</w:t>
            </w: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contract assets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contract assets from December 31, 2018 to September 30, 2019 was primarily due to the timing of milestones.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576" w:right="239" w:bottom="1440" w:gutter="0" w:footer="0" w:header="0"/>
          <w:type w:val="continuous"/>
        </w:sectPr>
      </w:pPr>
    </w:p>
    <w:bookmarkStart w:id="20" w:name="page21"/>
    <w:bookmarkEnd w:id="20"/>
    <w:p>
      <w:pPr>
        <w:ind w:right="500"/>
        <w:spacing w:after="0" w:line="292" w:lineRule="auto"/>
        <w:rPr>
          <w:sz w:val="20"/>
          <w:szCs w:val="20"/>
          <w:color w:val="auto"/>
        </w:rPr>
      </w:pPr>
      <w:r>
        <w:rPr>
          <w:rFonts w:ascii="Arial" w:cs="Arial" w:eastAsia="Arial" w:hAnsi="Arial"/>
          <w:sz w:val="18"/>
          <w:szCs w:val="18"/>
          <w:color w:val="auto"/>
        </w:rPr>
        <w:t>The increase in our contract liabilities was primarily due to additional cash received, excluding amounts recognized as revenue during the period.</w:t>
      </w:r>
    </w:p>
    <w:p>
      <w:pPr>
        <w:spacing w:after="0" w:line="9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order to determine revenue recognized in the period from contract liabilities, we allocate revenue to the individual contract liability balance outstanding at the beginning of the period until the revenue exceeds that balance. Revenue recognized for the three months ended September 30, 2019 and 2018 that were included in the contract liabilities balance at December 31, 2018 and 2017 was $503.6 million and $678.1 million, respectively, and $1,984.4 million and $2,115.8 million for the nine months ended September 30, 2019 and 2018, respectively.</w:t>
      </w:r>
    </w:p>
    <w:p>
      <w:pPr>
        <w:spacing w:after="0" w:line="11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revenue recognized for the three months ended September 30, 2019 and 2018 from our performance obligations satisfied in previous periods had a favorable impact of $281.7 million and an favorable impact of $182.5 million, respectively, and favorable impacts of $775.1 million and $489.2 million for the nine months ended September 30, 2019 and 2018, respectively. This primarily relates to changes in the estimated costs to complete certain projects.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7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September 30, 2019, the aggregate amount of the transaction</w:t>
      </w:r>
    </w:p>
    <w:p>
      <w:pPr>
        <w:spacing w:after="0" w:line="121"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price allocated to order backlog was $24,115.3 million. The Company expects to recognize revenue on approximately 15.6% of the order backlog through 2019 and 84.4% thereafter.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September 30,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251"/>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1,425.6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2,979.2</w:t>
            </w:r>
          </w:p>
        </w:tc>
      </w:tr>
      <w:tr>
        <w:trPr>
          <w:trHeight w:val="266"/>
        </w:trPr>
        <w:tc>
          <w:tcPr>
            <w:tcW w:w="70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2,084.5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5,254.4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7,691.9</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257.2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1"/>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Total remaining unsatisfied performance obligations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3,767.3</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9,676.9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10,671.1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SEGMENTS</w:t>
      </w:r>
    </w:p>
    <w:p>
      <w:pPr>
        <w:spacing w:after="0" w:line="17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Executive Officer, as our chief operating decision maker, reviews and evaluates operating performance to make decisions about resources to be allocated to the segment.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We report the results of operations in the following segments:</w:t>
      </w:r>
    </w:p>
    <w:p>
      <w:pPr>
        <w:spacing w:after="0" w:line="171" w:lineRule="exact"/>
        <w:rPr>
          <w:sz w:val="20"/>
          <w:szCs w:val="20"/>
          <w:color w:val="auto"/>
        </w:rPr>
      </w:pPr>
    </w:p>
    <w:p>
      <w:pPr>
        <w:ind w:left="340" w:right="320" w:hanging="332"/>
        <w:spacing w:after="0" w:line="29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designs and manufactures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90" w:lineRule="exact"/>
        <w:rPr>
          <w:rFonts w:ascii="Arial" w:cs="Arial" w:eastAsia="Arial" w:hAnsi="Arial"/>
          <w:sz w:val="18"/>
          <w:szCs w:val="18"/>
          <w:color w:val="auto"/>
        </w:rPr>
      </w:pPr>
    </w:p>
    <w:p>
      <w:pPr>
        <w:ind w:left="340" w:right="180" w:hanging="332"/>
        <w:spacing w:after="0" w:line="292"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designs and builds onshore facilities related to the production, treatment, transformation, and transportation of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gas and designs, manufactures, and installs fixed and floating platforms for the production and processing of oil and gas reserves.</w:t>
      </w:r>
    </w:p>
    <w:p>
      <w:pPr>
        <w:spacing w:after="0" w:line="90" w:lineRule="exact"/>
        <w:rPr>
          <w:rFonts w:ascii="Arial" w:cs="Arial" w:eastAsia="Arial" w:hAnsi="Arial"/>
          <w:sz w:val="18"/>
          <w:szCs w:val="18"/>
          <w:i w:val="1"/>
          <w:iCs w:val="1"/>
          <w:color w:val="auto"/>
        </w:rPr>
      </w:pPr>
    </w:p>
    <w:p>
      <w:pPr>
        <w:ind w:left="340" w:right="80" w:hanging="332"/>
        <w:spacing w:after="0" w:line="271"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designs and manufactures products and systems and provides services used by oil and gas companies involved in</w:t>
      </w:r>
      <w:r>
        <w:rPr>
          <w:rFonts w:ascii="Arial" w:cs="Arial" w:eastAsia="Arial" w:hAnsi="Arial"/>
          <w:sz w:val="18"/>
          <w:szCs w:val="18"/>
          <w:i w:val="1"/>
          <w:iCs w:val="1"/>
          <w:color w:val="auto"/>
        </w:rPr>
        <w:t xml:space="preserve"> </w:t>
      </w:r>
      <w:r>
        <w:rPr>
          <w:rFonts w:ascii="Arial" w:cs="Arial" w:eastAsia="Arial" w:hAnsi="Arial"/>
          <w:sz w:val="18"/>
          <w:szCs w:val="18"/>
          <w:color w:val="auto"/>
        </w:rPr>
        <w:t>land and 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6" w:right="239" w:bottom="1440" w:gutter="0" w:footer="0" w:header="0"/>
        </w:sectPr>
      </w:pPr>
    </w:p>
    <w:bookmarkStart w:id="21" w:name="page22"/>
    <w:bookmarkEnd w:id="21"/>
    <w:p>
      <w:pPr>
        <w:ind w:right="20"/>
        <w:spacing w:after="0" w:line="271" w:lineRule="auto"/>
        <w:rPr>
          <w:sz w:val="20"/>
          <w:szCs w:val="20"/>
          <w:color w:val="auto"/>
        </w:rPr>
      </w:pPr>
      <w:r>
        <w:rPr>
          <w:rFonts w:ascii="Arial" w:cs="Arial" w:eastAsia="Arial" w:hAnsi="Arial"/>
          <w:sz w:val="18"/>
          <w:szCs w:val="18"/>
          <w:color w:val="auto"/>
        </w:rPr>
        <w:t>Segment operating profit is defined as total segment revenue less segment operating expenses. Income (loss) from equity method investments is included in computing segment operating profit. The following items have been excluded in computing segment operating profit: corporate staff expense, net interest income (expense) associated with corporate debt facilities, income taxes, and other revenue and other expense, net.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6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5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65"/>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revenue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1,342.2</w:t>
            </w:r>
          </w:p>
        </w:tc>
        <w:tc>
          <w:tcPr>
            <w:tcW w:w="12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1,209.1</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4,036.2</w:t>
            </w:r>
          </w:p>
        </w:tc>
        <w:tc>
          <w:tcPr>
            <w:tcW w:w="10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3,606.7</w:t>
            </w: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1,596.3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4,436.4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4,448.3</w:t>
            </w: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396.6</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1,209.7</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1,174.9</w:t>
            </w:r>
          </w:p>
        </w:tc>
      </w:tr>
      <w:tr>
        <w:trPr>
          <w:trHeight w:val="25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3,335.1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3,143.8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9,682.3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9,229.9</w:t>
            </w:r>
          </w:p>
        </w:tc>
      </w:tr>
      <w:tr>
        <w:trPr>
          <w:trHeight w:val="28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operating profit (loss)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210.0</w:t>
            </w: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617.6</w:t>
            </w: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134.0</w:t>
            </w:r>
          </w:p>
        </w:tc>
      </w:tr>
      <w:tr>
        <w:trPr>
          <w:trHeight w:val="25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segment operating profit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961.6</w:t>
            </w:r>
          </w:p>
        </w:tc>
      </w:tr>
      <w:tr>
        <w:trPr>
          <w:trHeight w:val="284"/>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Corporate items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4"/>
                <w:szCs w:val="14"/>
                <w:color w:val="auto"/>
              </w:rPr>
              <w:t>Corporate expense</w:t>
            </w:r>
            <w:r>
              <w:rPr>
                <w:rFonts w:ascii="Arial" w:cs="Arial" w:eastAsia="Arial" w:hAnsi="Arial"/>
                <w:sz w:val="17"/>
                <w:szCs w:val="17"/>
                <w:color w:val="auto"/>
                <w:vertAlign w:val="superscript"/>
              </w:rPr>
              <w:t>(a)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(128.8)</w:t>
            </w:r>
          </w:p>
        </w:tc>
        <w:tc>
          <w:tcPr>
            <w:tcW w:w="12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(361.4)</w:t>
            </w:r>
          </w:p>
        </w:tc>
        <w:tc>
          <w:tcPr>
            <w:tcW w:w="100" w:type="dxa"/>
            <w:vAlign w:val="bottom"/>
          </w:tcPr>
          <w:p>
            <w:pPr>
              <w:spacing w:after="0"/>
              <w:rPr>
                <w:sz w:val="23"/>
                <w:szCs w:val="23"/>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(200.9)</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expense</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(116.5)</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(244.3)</w:t>
            </w:r>
          </w:p>
        </w:tc>
      </w:tr>
      <w:tr>
        <w:trPr>
          <w:trHeight w:val="249"/>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corporate items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(445.2)</w:t>
            </w:r>
          </w:p>
        </w:tc>
      </w:tr>
      <w:tr>
        <w:trPr>
          <w:trHeight w:val="23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r>
              <w:rPr>
                <w:rFonts w:ascii="Arial" w:cs="Arial" w:eastAsia="Arial" w:hAnsi="Arial"/>
                <w:sz w:val="17"/>
                <w:szCs w:val="17"/>
                <w:b w:val="1"/>
                <w:bCs w:val="1"/>
                <w:color w:val="auto"/>
                <w:vertAlign w:val="superscript"/>
              </w:rPr>
              <w:t>(b)</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516.4</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left="340" w:right="60" w:hanging="332"/>
        <w:spacing w:after="0" w:line="29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legal reserve, share-based compensation expenses, other employee benefits, certain foreign exchange gains and losses, merger transaction, integration expenses, and separation expenses.</w:t>
      </w:r>
    </w:p>
    <w:p>
      <w:pPr>
        <w:sectPr>
          <w:pgSz w:w="11900" w:h="16838" w:orient="portrait"/>
          <w:cols w:equalWidth="0" w:num="1">
            <w:col w:w="11420"/>
          </w:cols>
          <w:pgMar w:left="240" w:top="576" w:right="239" w:bottom="1440" w:gutter="0" w:footer="0" w:header="0"/>
        </w:sectPr>
      </w:pPr>
    </w:p>
    <w:p>
      <w:pPr>
        <w:spacing w:after="0" w:line="9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Segment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p>
      <w:pPr>
        <w:jc w:val="both"/>
        <w:ind w:left="360"/>
        <w:spacing w:after="0"/>
        <w:tabs>
          <w:tab w:leader="none" w:pos="1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December 31, 2018</w:t>
      </w:r>
    </w:p>
    <w:p>
      <w:pPr>
        <w:spacing w:after="0" w:line="321" w:lineRule="exact"/>
        <w:rPr>
          <w:sz w:val="20"/>
          <w:szCs w:val="20"/>
          <w:color w:val="auto"/>
        </w:rPr>
      </w:pPr>
    </w:p>
    <w:p>
      <w:pPr>
        <w:sectPr>
          <w:pgSz w:w="11900" w:h="16838" w:orient="portrait"/>
          <w:cols w:equalWidth="0" w:num="2">
            <w:col w:w="7860" w:space="720"/>
            <w:col w:w="2840"/>
          </w:cols>
          <w:pgMar w:left="240" w:top="576" w:right="239" w:bottom="1440" w:gutter="0" w:footer="0" w:header="0"/>
          <w:type w:val="continuous"/>
        </w:sectPr>
      </w:pPr>
    </w:p>
    <w:p>
      <w:pPr>
        <w:ind w:left="180"/>
        <w:spacing w:after="0"/>
        <w:rPr>
          <w:sz w:val="20"/>
          <w:szCs w:val="20"/>
          <w:color w:val="auto"/>
        </w:rPr>
      </w:pPr>
      <w:r>
        <w:rPr>
          <w:rFonts w:ascii="Arial" w:cs="Arial" w:eastAsia="Arial" w:hAnsi="Arial"/>
          <w:sz w:val="14"/>
          <w:szCs w:val="14"/>
          <w:color w:val="auto"/>
        </w:rPr>
        <w:t>Subsea</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Onshore/Offshore</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Surface Technologies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Intercompany eliminations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segment assets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17"/>
          <w:szCs w:val="17"/>
          <w:color w:val="auto"/>
          <w:vertAlign w:val="superscript"/>
        </w:rPr>
        <w:t>(a)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11,817.0</w:t>
      </w:r>
    </w:p>
    <w:p>
      <w:pPr>
        <w:spacing w:after="0" w:line="109"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4,231.4</w:t>
      </w:r>
    </w:p>
    <w:p>
      <w:pPr>
        <w:spacing w:after="0" w:line="109"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2,992.5</w:t>
      </w:r>
    </w:p>
    <w:p>
      <w:pPr>
        <w:spacing w:after="0" w:line="109"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3"/>
          <w:szCs w:val="13"/>
          <w:color w:val="auto"/>
        </w:rPr>
        <w:t>(30.6)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-480060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-137160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19,010.3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26035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5,769.4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951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76"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24,779.7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951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43180</wp:posOffset>
            </wp:positionV>
            <wp:extent cx="951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780" w:hanging="772"/>
        <w:spacing w:after="0"/>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11,037.8</w:t>
      </w:r>
    </w:p>
    <w:p>
      <w:pPr>
        <w:spacing w:after="0" w:line="109"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4,355.2</w:t>
      </w:r>
    </w:p>
    <w:p>
      <w:pPr>
        <w:spacing w:after="0" w:line="109"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2,825.6</w:t>
      </w:r>
    </w:p>
    <w:p>
      <w:pPr>
        <w:spacing w:after="0" w:line="109"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926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8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18,192.2</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6,592.3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926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76" w:lineRule="exact"/>
        <w:rPr>
          <w:sz w:val="20"/>
          <w:szCs w:val="20"/>
          <w:color w:val="auto"/>
        </w:rPr>
      </w:pPr>
    </w:p>
    <w:p>
      <w:pPr>
        <w:ind w:left="780" w:hanging="772"/>
        <w:spacing w:after="0"/>
        <w:tabs>
          <w:tab w:leader="none" w:pos="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24,784.5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9264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43180</wp:posOffset>
            </wp:positionV>
            <wp:extent cx="926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640" w:space="720"/>
            <w:col w:w="1400" w:space="220"/>
            <w:col w:w="1440"/>
          </w:cols>
          <w:pgMar w:left="240" w:top="576" w:right="239" w:bottom="1440" w:gutter="0" w:footer="0" w:header="0"/>
          <w:type w:val="continuous"/>
        </w:sectPr>
      </w:pPr>
    </w:p>
    <w:p>
      <w:pPr>
        <w:spacing w:after="0" w:line="31" w:lineRule="exact"/>
        <w:rPr>
          <w:sz w:val="20"/>
          <w:szCs w:val="20"/>
          <w:color w:val="auto"/>
        </w:rPr>
      </w:pPr>
    </w:p>
    <w:p>
      <w:pPr>
        <w:ind w:left="340" w:right="80" w:hanging="332"/>
        <w:spacing w:after="0" w:line="29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Corporate includes cash, deferred income tax balances, legal provisions, property, plant and equipment not associated with a specific segment, pension assets, the fair value of derivative financial instruments, and LIFO adjustments.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76"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8. EARNINGS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5"/>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1"/>
        </w:trPr>
        <w:tc>
          <w:tcPr>
            <w:tcW w:w="56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5"/>
          </w:tcPr>
          <w:p>
            <w:pPr>
              <w:jc w:val="center"/>
              <w:ind w:right="1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Net income (loss) attributable to TechnipFMC plc</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136.9</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337.7</w:t>
            </w: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shares outstanding</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446.9</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454.5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460.0</w:t>
            </w:r>
          </w:p>
        </w:tc>
        <w:tc>
          <w:tcPr>
            <w:tcW w:w="0" w:type="dxa"/>
            <w:vAlign w:val="bottom"/>
          </w:tcPr>
          <w:p>
            <w:pPr>
              <w:spacing w:after="0"/>
              <w:rPr>
                <w:sz w:val="1"/>
                <w:szCs w:val="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color w:val="auto"/>
              </w:rPr>
              <w:t>Dilutive effect of restricted stock units</w:t>
            </w:r>
          </w:p>
        </w:tc>
        <w:tc>
          <w:tcPr>
            <w:tcW w:w="48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effect of stock options</w:t>
            </w:r>
          </w:p>
        </w:tc>
        <w:tc>
          <w:tcPr>
            <w:tcW w:w="4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color w:val="auto"/>
              </w:rPr>
              <w:t>Dilutive effect of performance shares</w:t>
            </w:r>
          </w:p>
        </w:tc>
        <w:tc>
          <w:tcPr>
            <w:tcW w:w="48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3"/>
                <w:szCs w:val="2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41"/>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shares and dilutive securities</w:t>
            </w: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(loss) per share attributable to TechnipFMC plc</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Diluted earnings (loss) per share attributable to TechnipFMC plc</w:t>
            </w: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8"/>
                <w:szCs w:val="18"/>
                <w:color w:val="auto"/>
              </w:rPr>
            </w:pP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0.30</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NOTE 9. INVENTORIES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56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62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1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Raw materials</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366.4</w:t>
            </w:r>
          </w:p>
        </w:tc>
        <w:tc>
          <w:tcPr>
            <w:tcW w:w="0" w:type="dxa"/>
            <w:vAlign w:val="bottom"/>
          </w:tcPr>
          <w:p>
            <w:pPr>
              <w:spacing w:after="0"/>
              <w:rPr>
                <w:sz w:val="1"/>
                <w:szCs w:val="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color w:val="auto"/>
              </w:rPr>
              <w:t>Work in process</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Finished goods</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794.5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738.4</w:t>
            </w: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Inventories, net</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1,411.9</w:t>
            </w:r>
          </w:p>
        </w:tc>
        <w:tc>
          <w:tcPr>
            <w:tcW w:w="12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1,251.2</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OTHER CURRENT ASSETS &amp; OTHER CURRENT LIABILITIES</w:t>
            </w: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61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620" w:type="dxa"/>
            <w:vAlign w:val="bottom"/>
          </w:tcPr>
          <w:p>
            <w:pPr>
              <w:spacing w:after="0"/>
              <w:rPr>
                <w:sz w:val="20"/>
                <w:szCs w:val="20"/>
                <w:color w:val="auto"/>
              </w:rPr>
            </w:pPr>
            <w:r>
              <w:rPr>
                <w:rFonts w:ascii="Arial" w:cs="Arial" w:eastAsia="Arial" w:hAnsi="Arial"/>
                <w:sz w:val="18"/>
                <w:szCs w:val="18"/>
                <w:color w:val="auto"/>
              </w:rPr>
              <w:t>Other current assets consisted of the following:</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1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Value-added tax receivables</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305.8</w:t>
            </w:r>
          </w:p>
        </w:tc>
        <w:tc>
          <w:tcPr>
            <w:tcW w:w="0" w:type="dxa"/>
            <w:vAlign w:val="bottom"/>
          </w:tcPr>
          <w:p>
            <w:pPr>
              <w:spacing w:after="0"/>
              <w:rPr>
                <w:sz w:val="1"/>
                <w:szCs w:val="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color w:val="auto"/>
              </w:rPr>
              <w:t>Prepaid expenses</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27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taxes receivables</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color w:val="auto"/>
              </w:rPr>
              <w:t>Sundry receivables</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7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6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48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4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assets</w:t>
            </w: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23</w:t>
            </w: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56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Warranty accruals and project contingencies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418.2</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Value added tax and other taxes payable</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219.8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214.3</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Legal provisions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418.2</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Redeemable financial liability</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173.0</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135.5</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Social security liability</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112.3</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accrual</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Liabilities held for sale</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16.2</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r>
      <w:tr>
        <w:trPr>
          <w:trHeight w:val="26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accrued liabilities</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182.6</w:t>
            </w: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1,771.6</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 METHOD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income from equity affiliates included in each of our reporting segments was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6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5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from equity affiliates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63"/>
        </w:trPr>
        <w:tc>
          <w:tcPr>
            <w:tcW w:w="7300" w:type="dxa"/>
            <w:vAlign w:val="bottom"/>
            <w:gridSpan w:val="5"/>
          </w:tcPr>
          <w:p>
            <w:pPr>
              <w:spacing w:after="0"/>
              <w:rPr>
                <w:sz w:val="20"/>
                <w:szCs w:val="20"/>
                <w:color w:val="auto"/>
              </w:rPr>
            </w:pPr>
            <w:r>
              <w:rPr>
                <w:rFonts w:ascii="Arial" w:cs="Arial" w:eastAsia="Arial" w:hAnsi="Arial"/>
                <w:sz w:val="18"/>
                <w:szCs w:val="18"/>
                <w:color w:val="auto"/>
              </w:rPr>
              <w:t>Summarized financial information for our equity method investments is presented below:</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2580" w:type="dxa"/>
            <w:vAlign w:val="bottom"/>
            <w:gridSpan w:val="4"/>
          </w:tcPr>
          <w:p>
            <w:pPr>
              <w:jc w:val="center"/>
              <w:ind w:left="48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516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center"/>
              <w:ind w:right="32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624.2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1,693.4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792.8</w:t>
            </w: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9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167.4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163.0</w:t>
            </w: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w:t>
            </w: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1,498.2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1,217.0</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4,364.8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4,026.7</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1,740.7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1,511.9</w:t>
            </w:r>
          </w:p>
        </w:tc>
      </w:tr>
      <w:tr>
        <w:trPr>
          <w:trHeight w:val="262"/>
        </w:trPr>
        <w:tc>
          <w:tcPr>
            <w:tcW w:w="8340" w:type="dxa"/>
            <w:vAlign w:val="bottom"/>
          </w:tcPr>
          <w:p>
            <w:pPr>
              <w:ind w:left="40"/>
              <w:spacing w:after="0"/>
              <w:rPr>
                <w:sz w:val="20"/>
                <w:szCs w:val="20"/>
                <w:color w:val="auto"/>
              </w:rPr>
            </w:pPr>
            <w:r>
              <w:rPr>
                <w:rFonts w:ascii="Arial" w:cs="Arial" w:eastAsia="Arial" w:hAnsi="Arial"/>
                <w:sz w:val="14"/>
                <w:szCs w:val="14"/>
                <w:color w:val="auto"/>
              </w:rPr>
              <w:t>Noncurrent liabilities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1,475.9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1,177.2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73" w:lineRule="exact"/>
        <w:rPr>
          <w:sz w:val="20"/>
          <w:szCs w:val="20"/>
          <w:color w:val="auto"/>
        </w:rPr>
      </w:pPr>
    </w:p>
    <w:p>
      <w:pPr>
        <w:jc w:val="both"/>
        <w:ind w:right="320"/>
        <w:spacing w:after="0" w:line="271"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consisted of receivables due from following related parties: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TP JGC Coral France SNC</w:t>
            </w:r>
          </w:p>
        </w:tc>
        <w:tc>
          <w:tcPr>
            <w:tcW w:w="600" w:type="dxa"/>
            <w:vAlign w:val="bottom"/>
            <w:tcBorders>
              <w:top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38.9</w:t>
            </w:r>
          </w:p>
        </w:tc>
        <w:tc>
          <w:tcPr>
            <w:tcW w:w="1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TTSJV WLL</w:t>
            </w:r>
          </w:p>
        </w:tc>
        <w:tc>
          <w:tcPr>
            <w:tcW w:w="6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Technip Odebrecht PLSV CV</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Anadarko Petroleum Company</w:t>
            </w:r>
          </w:p>
        </w:tc>
        <w:tc>
          <w:tcPr>
            <w:tcW w:w="6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6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r>
      <w:tr>
        <w:trPr>
          <w:trHeight w:val="24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trade receivables</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61.7</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TP JGC Coral France SNC, TTSJV W.L.L. and Technip Odebrecht PLSV CV are equity method affiliates.</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 member of our Board of Directors (the “Director”) served on the Board of Directors of Anadarko Petroleum Company (“Anadarko”) until August 2019. In August 2019, Anadarko was acquired by Occidental Petroleum Corporation (“Occidental”). As a result, the Director no longer serves as a member of the Board of Directors of Anadarko. The Director is not an officer or director of Occidental.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consisted of payables due to following related parties: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 2018</w:t>
            </w:r>
          </w:p>
        </w:tc>
      </w:tr>
      <w:tr>
        <w:trPr>
          <w:trHeight w:val="231"/>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Chiyoda</w:t>
            </w:r>
          </w:p>
        </w:tc>
        <w:tc>
          <w:tcPr>
            <w:tcW w:w="600" w:type="dxa"/>
            <w:vAlign w:val="bottom"/>
            <w:tcBorders>
              <w:top w:val="single" w:sz="8" w:color="auto"/>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JGC Corporation</w:t>
            </w:r>
          </w:p>
        </w:tc>
        <w:tc>
          <w:tcPr>
            <w:tcW w:w="6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69.5</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IFP Energies nouvelles</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Dofcon Navegacao</w:t>
            </w:r>
          </w:p>
        </w:tc>
        <w:tc>
          <w:tcPr>
            <w:tcW w:w="6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Anadarko Petroleum Company</w:t>
            </w: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Magma Global Limited</w:t>
            </w:r>
          </w:p>
        </w:tc>
        <w:tc>
          <w:tcPr>
            <w:tcW w:w="60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6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4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trade payables</w:t>
            </w: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148.6</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Dofcon Navegacao and Magma Global Limited are equity affiliates. JGC Corporation and Chiyoda are joint venture partners on our Yamal project. A member of our Board of Directors is an executive officer of IFP Energies nouvelles.</w:t>
      </w:r>
    </w:p>
    <w:p>
      <w:pPr>
        <w:spacing w:after="0" w:line="9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Additionally, our note receivables balance was $79.0 million and $130.0 million at September 30, 2019 and December 31, 2018, respectively. The balance includes $76.3 million and $119.9 million with Dofcon Brasil AS at September 30, 2019 and December 31, 2018, respectively. Dofcon Brasil AS is a variable interest entity and accounted for as an equity method affiliate. These are included in other noncurrent assets on our consolidated balance sheets.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3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Revenue consisted of amount from following related parties: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26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1"/>
        </w:trPr>
        <w:tc>
          <w:tcPr>
            <w:tcW w:w="516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TTSJV W.L.L.</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107.4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TP JGC Coral France SNC</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Anadarko Petroleum Company</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Techdof Brasil AS</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Dofcon Navegacao</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JGC Corporation</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Technip Odebrecht PLSV CV</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Storengy</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Altus Intervention</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Others</w:t>
            </w: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Expenses consisted of amount to following related parties:</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26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516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3"/>
                <w:szCs w:val="23"/>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Chiyoda</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JGC Corporation</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39.2</w:t>
            </w: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Serimax Holdings SAS</w:t>
            </w:r>
          </w:p>
        </w:tc>
        <w:tc>
          <w:tcPr>
            <w:tcW w:w="9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Arkema S.A.</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Magma Global Limited</w:t>
            </w:r>
          </w:p>
        </w:tc>
        <w:tc>
          <w:tcPr>
            <w:tcW w:w="9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IFP Energy nouvelles</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Creowave OY</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Amaja Oil</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Jumbo Shipping</w:t>
            </w:r>
          </w:p>
        </w:tc>
        <w:tc>
          <w:tcPr>
            <w:tcW w:w="9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Altus Intervention</w:t>
            </w:r>
          </w:p>
        </w:tc>
        <w:tc>
          <w:tcPr>
            <w:tcW w:w="98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Competentia</w:t>
            </w: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Others</w:t>
            </w: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66.8</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Serimax Holdings SAS is an equity affiliate. Amaja Oil is a joint venture partner. We own a minority interest in a Creowave OY joint venture.</w:t>
      </w:r>
    </w:p>
    <w:p>
      <w:pPr>
        <w:spacing w:after="0" w:line="171"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Members of our Board of Directors serve on the Board of Directors for Arkema S.A., Altus Intervention, Jumbo Shipping, Competentia, and Storengy.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1"/>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Bilateral credit facilities</w:t>
            </w:r>
          </w:p>
        </w:tc>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1,916.1</w:t>
            </w:r>
          </w:p>
        </w:tc>
      </w:tr>
      <w:tr>
        <w:trPr>
          <w:trHeight w:val="266"/>
        </w:trPr>
        <w:tc>
          <w:tcPr>
            <w:tcW w:w="834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476.1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490.9</w:t>
            </w:r>
          </w:p>
        </w:tc>
      </w:tr>
      <w:tr>
        <w:trPr>
          <w:trHeight w:val="274"/>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6"/>
        </w:trPr>
        <w:tc>
          <w:tcPr>
            <w:tcW w:w="460" w:type="dxa"/>
            <w:vAlign w:val="bottom"/>
          </w:tcPr>
          <w:p>
            <w:pPr>
              <w:ind w:left="40"/>
              <w:spacing w:after="0"/>
              <w:rPr>
                <w:sz w:val="20"/>
                <w:szCs w:val="20"/>
                <w:color w:val="auto"/>
              </w:rPr>
            </w:pPr>
            <w:r>
              <w:rPr>
                <w:rFonts w:ascii="Arial" w:cs="Arial" w:eastAsia="Arial" w:hAnsi="Arial"/>
                <w:sz w:val="14"/>
                <w:szCs w:val="14"/>
                <w:color w:val="auto"/>
              </w:rPr>
              <w:t>5.00%</w:t>
            </w:r>
          </w:p>
        </w:tc>
        <w:tc>
          <w:tcPr>
            <w:tcW w:w="7880" w:type="dxa"/>
            <w:vAlign w:val="bottom"/>
          </w:tcPr>
          <w:p>
            <w:pPr>
              <w:ind w:left="20"/>
              <w:spacing w:after="0"/>
              <w:rPr>
                <w:sz w:val="20"/>
                <w:szCs w:val="20"/>
                <w:color w:val="auto"/>
              </w:rPr>
            </w:pPr>
            <w:r>
              <w:rPr>
                <w:rFonts w:ascii="Arial" w:cs="Arial" w:eastAsia="Arial" w:hAnsi="Arial"/>
                <w:sz w:val="14"/>
                <w:szCs w:val="14"/>
                <w:color w:val="auto"/>
              </w:rPr>
              <w:t>2010 Private placement notes due 2020</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218.2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229.0</w:t>
            </w:r>
          </w:p>
        </w:tc>
      </w:tr>
      <w:tr>
        <w:trPr>
          <w:trHeight w:val="274"/>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171.8</w:t>
            </w:r>
          </w:p>
        </w:tc>
      </w:tr>
      <w:tr>
        <w:trPr>
          <w:trHeight w:val="266"/>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788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148.9</w:t>
            </w:r>
          </w:p>
        </w:tc>
      </w:tr>
      <w:tr>
        <w:trPr>
          <w:trHeight w:val="274"/>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143.1</w:t>
            </w:r>
          </w:p>
        </w:tc>
      </w:tr>
      <w:tr>
        <w:trPr>
          <w:trHeight w:val="266"/>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7880" w:type="dxa"/>
            <w:vAlign w:val="bottom"/>
          </w:tcPr>
          <w:p>
            <w:pPr>
              <w:ind w:left="20"/>
              <w:spacing w:after="0"/>
              <w:rPr>
                <w:sz w:val="20"/>
                <w:szCs w:val="20"/>
                <w:color w:val="auto"/>
              </w:rPr>
            </w:pPr>
            <w:r>
              <w:rPr>
                <w:rFonts w:ascii="Arial" w:cs="Arial" w:eastAsia="Arial" w:hAnsi="Arial"/>
                <w:sz w:val="14"/>
                <w:szCs w:val="14"/>
                <w:color w:val="auto"/>
              </w:rPr>
              <w:t>2012 Private placement notes due 2027</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4"/>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2032</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r>
      <w:tr>
        <w:trPr>
          <w:trHeight w:val="266"/>
        </w:trPr>
        <w:tc>
          <w:tcPr>
            <w:tcW w:w="460" w:type="dxa"/>
            <w:vAlign w:val="bottom"/>
          </w:tcPr>
          <w:p>
            <w:pPr>
              <w:ind w:left="40"/>
              <w:spacing w:after="0"/>
              <w:rPr>
                <w:sz w:val="20"/>
                <w:szCs w:val="20"/>
                <w:color w:val="auto"/>
              </w:rPr>
            </w:pPr>
            <w:r>
              <w:rPr>
                <w:rFonts w:ascii="Arial" w:cs="Arial" w:eastAsia="Arial" w:hAnsi="Arial"/>
                <w:sz w:val="14"/>
                <w:szCs w:val="14"/>
                <w:color w:val="auto"/>
              </w:rPr>
              <w:t>3.75%</w:t>
            </w:r>
          </w:p>
        </w:tc>
        <w:tc>
          <w:tcPr>
            <w:tcW w:w="7880" w:type="dxa"/>
            <w:vAlign w:val="bottom"/>
          </w:tcPr>
          <w:p>
            <w:pPr>
              <w:ind w:left="20"/>
              <w:spacing w:after="0"/>
              <w:rPr>
                <w:sz w:val="20"/>
                <w:szCs w:val="20"/>
                <w:color w:val="auto"/>
              </w:rPr>
            </w:pPr>
            <w:r>
              <w:rPr>
                <w:rFonts w:ascii="Arial" w:cs="Arial" w:eastAsia="Arial" w:hAnsi="Arial"/>
                <w:sz w:val="14"/>
                <w:szCs w:val="14"/>
                <w:color w:val="auto"/>
              </w:rPr>
              <w:t>2013 Private placement notes due 2033</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114.5</w:t>
            </w:r>
          </w:p>
        </w:tc>
      </w:tr>
      <w:tr>
        <w:trPr>
          <w:trHeight w:val="27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265.2</w:t>
            </w:r>
          </w:p>
        </w:tc>
      </w:tr>
      <w:tr>
        <w:trPr>
          <w:trHeight w:val="266"/>
        </w:trPr>
        <w:tc>
          <w:tcPr>
            <w:tcW w:w="460" w:type="dxa"/>
            <w:vAlign w:val="bottom"/>
          </w:tcPr>
          <w:p>
            <w:pPr>
              <w:ind w:left="40"/>
              <w:spacing w:after="0"/>
              <w:rPr>
                <w:sz w:val="20"/>
                <w:szCs w:val="20"/>
                <w:color w:val="auto"/>
              </w:rPr>
            </w:pPr>
            <w:r>
              <w:rPr>
                <w:rFonts w:ascii="Arial" w:cs="Arial" w:eastAsia="Arial" w:hAnsi="Arial"/>
                <w:sz w:val="14"/>
                <w:szCs w:val="14"/>
                <w:color w:val="auto"/>
              </w:rPr>
              <w:t>Other</w:t>
            </w:r>
          </w:p>
        </w:tc>
        <w:tc>
          <w:tcPr>
            <w:tcW w:w="7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23.2</w:t>
            </w:r>
          </w:p>
        </w:tc>
      </w:tr>
      <w:tr>
        <w:trPr>
          <w:trHeight w:val="27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issuing fees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49"/>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debt</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3,908.2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4,191.7</w:t>
            </w:r>
          </w:p>
        </w:tc>
      </w:tr>
      <w:tr>
        <w:trPr>
          <w:trHeight w:val="267"/>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borrowings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299.4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r>
      <w:tr>
        <w:trPr>
          <w:trHeight w:val="241"/>
        </w:trPr>
        <w:tc>
          <w:tcPr>
            <w:tcW w:w="834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 debt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3,608.8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4,124.3</w:t>
            </w: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i w:val="1"/>
          <w:iCs w:val="1"/>
          <w:color w:val="auto"/>
        </w:rPr>
        <w:t xml:space="preserve">Bilateral credit facilities - </w:t>
      </w:r>
      <w:r>
        <w:rPr>
          <w:rFonts w:ascii="Arial" w:cs="Arial" w:eastAsia="Arial" w:hAnsi="Arial"/>
          <w:sz w:val="18"/>
          <w:szCs w:val="18"/>
          <w:color w:val="auto"/>
        </w:rPr>
        <w:t>We have access to a €100.0 million bilateral credit facility expiring in May 2021. Two bilateral credit facilities of €80.0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each and a bilateral credit facility of €60.0 million expired in May and June 2019, respectively.</w:t>
      </w:r>
    </w:p>
    <w:p>
      <w:pPr>
        <w:spacing w:after="0" w:line="91"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bilateral credit facility contains usual and customary covenants, representations and warranties and events of default for credit facilities of this type.</w:t>
      </w:r>
    </w:p>
    <w:p>
      <w:pPr>
        <w:spacing w:after="0" w:line="9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and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revolving facility agreement. As we have both the ability and intent to refinance these obligations on a long-term basis, our commercial paper borrowings were classified as long-term debt in the consolidated balance sheets as of September 30, 2019 and December 31, 2018. Commercial paper borrowings are issued at market interest rates. As of September 30, 2019, our commercial paper borrowings had a weighted average interest rate of 2.52% on the U.S. dollar denominated borrowings and (0.26)% on the Euro denominated borrowings.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Bank borrowings </w:t>
      </w:r>
      <w:r>
        <w:rPr>
          <w:rFonts w:ascii="Arial" w:cs="Arial" w:eastAsia="Arial" w:hAnsi="Arial"/>
          <w:sz w:val="18"/>
          <w:szCs w:val="18"/>
          <w:color w:val="auto"/>
        </w:rPr>
        <w:t>- In January 2019, we executed a sale-leaseback transaction to finance the purchase of a deepwater dive support vessel,</w:t>
      </w:r>
      <w:r>
        <w:rPr>
          <w:rFonts w:ascii="Arial" w:cs="Arial" w:eastAsia="Arial" w:hAnsi="Arial"/>
          <w:sz w:val="18"/>
          <w:szCs w:val="18"/>
          <w:i w:val="1"/>
          <w:iCs w:val="1"/>
          <w:color w:val="auto"/>
        </w:rPr>
        <w:t xml:space="preserve"> </w:t>
      </w:r>
      <w:r>
        <w:rPr>
          <w:rFonts w:ascii="Arial" w:cs="Arial" w:eastAsia="Arial" w:hAnsi="Arial"/>
          <w:sz w:val="18"/>
          <w:szCs w:val="18"/>
          <w:color w:val="auto"/>
        </w:rPr>
        <w:t>Deep Discoverer (the “Vessel”) for the full transaction price of $116.8 million. The sale-leaseback agreement (“Charter”) was entered into with a French joint-stock company, owned by Credit Industrial et Commercial (“CIC”) which was formed for the sole purpose to purchase and act as the lessor of the Vessel. It is a variable interest entity, which is fully consolidated in our condensed consolidated financial statements. The transaction was funded through debt of $96.2 million which is primarily long-term, expiring on January 8, 2031.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173"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Cash dividends paid during the nine months ended September 30, 2019 was $174.7 million. Cash dividends paid during the nine months ended September 30, 2018 was $179.2 million.</w:t>
      </w:r>
    </w:p>
    <w:p>
      <w:pPr>
        <w:spacing w:after="0" w:line="9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GAAP reported amount (e.g., retained earnings). The declaration and payment of dividends require the authorization of our Board of Directors, provided that such dividends on issued share capital may be</w:t>
      </w:r>
    </w:p>
    <w:p>
      <w:pPr>
        <w:sectPr>
          <w:pgSz w:w="11900" w:h="16838" w:orient="portrait"/>
          <w:cols w:equalWidth="0" w:num="1">
            <w:col w:w="11420"/>
          </w:cols>
          <w:pgMar w:left="240" w:top="736" w:right="23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736" w:right="239" w:bottom="1440" w:gutter="0" w:footer="0" w:header="0"/>
          <w:type w:val="continuous"/>
        </w:sectPr>
      </w:pPr>
    </w:p>
    <w:bookmarkStart w:id="27" w:name="page28"/>
    <w:bookmarkEnd w:id="27"/>
    <w:p>
      <w:pPr>
        <w:ind w:right="560"/>
        <w:spacing w:after="0" w:line="292" w:lineRule="auto"/>
        <w:rPr>
          <w:sz w:val="20"/>
          <w:szCs w:val="20"/>
          <w:color w:val="auto"/>
        </w:rPr>
      </w:pPr>
      <w:r>
        <w:rPr>
          <w:rFonts w:ascii="Arial" w:cs="Arial" w:eastAsia="Arial" w:hAnsi="Arial"/>
          <w:sz w:val="18"/>
          <w:szCs w:val="18"/>
          <w:color w:val="auto"/>
        </w:rPr>
        <w:t>paid only out of our “distributable reserves” on our statutory balance sheet. Therefore, we are not permitted to pay dividends out of share capital, which includes share premium.</w:t>
      </w:r>
    </w:p>
    <w:p>
      <w:pPr>
        <w:spacing w:after="0" w:line="9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December 2018, our Board of Directors authorized an extension of our share repurchase program for $300.0 million for the purchase of ordinary shares. We repurchased 4.0 million of ordinary shares for a total consideration of $92.7 million during the nine months ended September 30, 2019 under our authorized share repurchase program. We intend to cancel repurchased shares and not hold them in treasury. Canceled treasury shares are accounted for using the constructive retirement method.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Defined Pension</w:t>
            </w:r>
          </w:p>
        </w:tc>
        <w:tc>
          <w:tcPr>
            <w:tcW w:w="18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3"/>
                <w:szCs w:val="13"/>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and Other</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Loss attributable</w:t>
            </w:r>
          </w:p>
        </w:tc>
        <w:tc>
          <w:tcPr>
            <w:tcW w:w="0" w:type="dxa"/>
            <w:vAlign w:val="bottom"/>
          </w:tcPr>
          <w:p>
            <w:pPr>
              <w:spacing w:after="0"/>
              <w:rPr>
                <w:sz w:val="1"/>
                <w:szCs w:val="1"/>
                <w:color w:val="auto"/>
              </w:rPr>
            </w:pPr>
          </w:p>
        </w:tc>
      </w:tr>
      <w:tr>
        <w:trPr>
          <w:trHeight w:val="135"/>
        </w:trPr>
        <w:tc>
          <w:tcPr>
            <w:tcW w:w="40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Currency</w:t>
            </w:r>
          </w:p>
        </w:tc>
        <w:tc>
          <w:tcPr>
            <w:tcW w:w="18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Post-Retirement</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to Noncontrolling</w:t>
            </w:r>
          </w:p>
        </w:tc>
        <w:tc>
          <w:tcPr>
            <w:tcW w:w="0" w:type="dxa"/>
            <w:vAlign w:val="bottom"/>
          </w:tcPr>
          <w:p>
            <w:pPr>
              <w:spacing w:after="0"/>
              <w:rPr>
                <w:sz w:val="1"/>
                <w:szCs w:val="1"/>
                <w:color w:val="auto"/>
              </w:rPr>
            </w:pPr>
          </w:p>
        </w:tc>
      </w:tr>
      <w:tr>
        <w:trPr>
          <w:trHeight w:val="182"/>
        </w:trPr>
        <w:tc>
          <w:tcPr>
            <w:tcW w:w="4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Benefits</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254"/>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(1,234.4)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(92.4)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(1,359.7)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40"/>
        </w:trPr>
        <w:tc>
          <w:tcPr>
            <w:tcW w:w="4000" w:type="dxa"/>
            <w:vAlign w:val="bottom"/>
          </w:tcPr>
          <w:p>
            <w:pPr>
              <w:ind w:left="180"/>
              <w:spacing w:after="0" w:line="140" w:lineRule="exact"/>
              <w:rPr>
                <w:sz w:val="20"/>
                <w:szCs w:val="20"/>
                <w:color w:val="auto"/>
              </w:rPr>
            </w:pPr>
            <w:r>
              <w:rPr>
                <w:rFonts w:ascii="Arial" w:cs="Arial" w:eastAsia="Arial" w:hAnsi="Arial"/>
                <w:sz w:val="13"/>
                <w:szCs w:val="13"/>
                <w:color w:val="auto"/>
                <w:w w:val="99"/>
              </w:rPr>
              <w:t>Other comprehensive income (loss) before reclassifications, net of</w:t>
            </w:r>
          </w:p>
        </w:tc>
        <w:tc>
          <w:tcPr>
            <w:tcW w:w="140" w:type="dxa"/>
            <w:vAlign w:val="bottom"/>
          </w:tcPr>
          <w:p>
            <w:pPr>
              <w:spacing w:after="0"/>
              <w:rPr>
                <w:sz w:val="12"/>
                <w:szCs w:val="12"/>
                <w:color w:val="auto"/>
              </w:rPr>
            </w:pPr>
          </w:p>
        </w:tc>
        <w:tc>
          <w:tcPr>
            <w:tcW w:w="920" w:type="dxa"/>
            <w:vAlign w:val="bottom"/>
            <w:vMerge w:val="restart"/>
          </w:tcPr>
          <w:p>
            <w:pPr>
              <w:jc w:val="right"/>
              <w:ind w:right="17"/>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vMerge w:val="restart"/>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ind w:right="17"/>
              <w:spacing w:after="0"/>
              <w:rPr>
                <w:sz w:val="20"/>
                <w:szCs w:val="20"/>
                <w:color w:val="auto"/>
              </w:rPr>
            </w:pPr>
            <w:r>
              <w:rPr>
                <w:rFonts w:ascii="Arial" w:cs="Arial" w:eastAsia="Arial" w:hAnsi="Arial"/>
                <w:sz w:val="13"/>
                <w:szCs w:val="13"/>
                <w:color w:val="auto"/>
              </w:rPr>
              <w:t>(71.4)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7"/>
        </w:trPr>
        <w:tc>
          <w:tcPr>
            <w:tcW w:w="4000" w:type="dxa"/>
            <w:vAlign w:val="bottom"/>
          </w:tcPr>
          <w:p>
            <w:pPr>
              <w:ind w:left="180"/>
              <w:spacing w:after="0"/>
              <w:rPr>
                <w:sz w:val="20"/>
                <w:szCs w:val="20"/>
                <w:color w:val="auto"/>
              </w:rPr>
            </w:pPr>
            <w:r>
              <w:rPr>
                <w:rFonts w:ascii="Arial" w:cs="Arial" w:eastAsia="Arial" w:hAnsi="Arial"/>
                <w:sz w:val="13"/>
                <w:szCs w:val="13"/>
                <w:color w:val="auto"/>
              </w:rPr>
              <w:t>tax</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Reclassification adjustment for net losses (gains) included in net</w:t>
            </w: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 net of tax</w:t>
            </w:r>
          </w:p>
        </w:tc>
        <w:tc>
          <w:tcPr>
            <w:tcW w:w="14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(40.7)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(42.8)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(79.8)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September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 (loss)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30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71"/>
        </w:trPr>
        <w:tc>
          <w:tcPr>
            <w:tcW w:w="2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2"/>
                <w:szCs w:val="22"/>
                <w:color w:val="auto"/>
              </w:rPr>
            </w:pPr>
          </w:p>
        </w:tc>
        <w:tc>
          <w:tcPr>
            <w:tcW w:w="3300" w:type="dxa"/>
            <w:vAlign w:val="bottom"/>
          </w:tcPr>
          <w:p>
            <w:pPr>
              <w:spacing w:after="0"/>
              <w:rPr>
                <w:sz w:val="22"/>
                <w:szCs w:val="22"/>
                <w:color w:val="auto"/>
              </w:rPr>
            </w:pPr>
          </w:p>
        </w:tc>
      </w:tr>
      <w:tr>
        <w:trPr>
          <w:trHeight w:val="156"/>
        </w:trPr>
        <w:tc>
          <w:tcPr>
            <w:tcW w:w="264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Details about Accumulated Other</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62"/>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300" w:type="dxa"/>
            <w:vAlign w:val="bottom"/>
          </w:tcPr>
          <w:p>
            <w:pPr>
              <w:spacing w:after="0"/>
              <w:rPr>
                <w:sz w:val="14"/>
                <w:szCs w:val="14"/>
                <w:color w:val="auto"/>
              </w:rPr>
            </w:pPr>
          </w:p>
        </w:tc>
        <w:tc>
          <w:tcPr>
            <w:tcW w:w="4280" w:type="dxa"/>
            <w:vAlign w:val="bottom"/>
            <w:gridSpan w:val="9"/>
          </w:tcPr>
          <w:p>
            <w:pPr>
              <w:jc w:val="center"/>
              <w:ind w:left="448"/>
              <w:spacing w:after="0"/>
              <w:rPr>
                <w:sz w:val="20"/>
                <w:szCs w:val="20"/>
                <w:color w:val="auto"/>
              </w:rPr>
            </w:pPr>
            <w:r>
              <w:rPr>
                <w:rFonts w:ascii="Arial" w:cs="Arial" w:eastAsia="Arial" w:hAnsi="Arial"/>
                <w:sz w:val="14"/>
                <w:szCs w:val="14"/>
                <w:b w:val="1"/>
                <w:bCs w:val="1"/>
                <w:color w:val="auto"/>
              </w:rPr>
              <w:t>Amount Reclassified out of Accumulated Other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203"/>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Components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Comprehensive Loss</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Statements of Income</w:t>
            </w:r>
          </w:p>
        </w:tc>
      </w:tr>
      <w:tr>
        <w:trPr>
          <w:trHeight w:val="245"/>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shd w:val="clear" w:color="auto" w:fill="CCEEFF"/>
              </w:rPr>
              <w:t>Gains on foreign currency translation</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Other income (expense), net</w:t>
            </w:r>
          </w:p>
        </w:tc>
      </w:tr>
      <w:tr>
        <w:trPr>
          <w:trHeight w:val="284"/>
        </w:trPr>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shd w:val="clear" w:color="auto" w:fill="CCEEFF"/>
              </w:rPr>
              <w:t>Gains (losses) on hedging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r>
      <w:tr>
        <w:trPr>
          <w:trHeight w:val="266"/>
        </w:trPr>
        <w:tc>
          <w:tcPr>
            <w:tcW w:w="2640" w:type="dxa"/>
            <w:vAlign w:val="bottom"/>
          </w:tcPr>
          <w:p>
            <w:pPr>
              <w:ind w:left="280"/>
              <w:spacing w:after="0"/>
              <w:rPr>
                <w:sz w:val="20"/>
                <w:szCs w:val="20"/>
                <w:color w:val="auto"/>
              </w:rPr>
            </w:pPr>
            <w:r>
              <w:rPr>
                <w:rFonts w:ascii="Arial" w:cs="Arial" w:eastAsia="Arial" w:hAnsi="Arial"/>
                <w:sz w:val="14"/>
                <w:szCs w:val="14"/>
                <w:color w:val="auto"/>
              </w:rPr>
              <w:t>Foreign exchange contracts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274"/>
        </w:trPr>
        <w:tc>
          <w:tcPr>
            <w:tcW w:w="2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3"/>
                <w:szCs w:val="23"/>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r>
      <w:tr>
        <w:trPr>
          <w:trHeight w:val="266"/>
        </w:trPr>
        <w:tc>
          <w:tcPr>
            <w:tcW w:w="2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r>
      <w:tr>
        <w:trPr>
          <w:trHeight w:val="270"/>
        </w:trPr>
        <w:tc>
          <w:tcPr>
            <w:tcW w:w="26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r>
      <w:tr>
        <w:trPr>
          <w:trHeight w:val="250"/>
        </w:trPr>
        <w:tc>
          <w:tcPr>
            <w:tcW w:w="2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r>
      <w:tr>
        <w:trPr>
          <w:trHeight w:val="270"/>
        </w:trPr>
        <w:tc>
          <w:tcPr>
            <w:tcW w:w="26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 (Note 17)</w:t>
            </w:r>
          </w:p>
        </w:tc>
      </w:tr>
      <w:tr>
        <w:trPr>
          <w:trHeight w:val="281"/>
        </w:trPr>
        <w:tc>
          <w:tcPr>
            <w:tcW w:w="26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tcPr>
          <w:p>
            <w:pPr>
              <w:spacing w:after="0"/>
              <w:rPr>
                <w:sz w:val="24"/>
                <w:szCs w:val="24"/>
                <w:color w:val="auto"/>
              </w:rPr>
            </w:pPr>
          </w:p>
        </w:tc>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r>
      <w:tr>
        <w:trPr>
          <w:trHeight w:val="131"/>
        </w:trPr>
        <w:tc>
          <w:tcPr>
            <w:tcW w:w="2640" w:type="dxa"/>
            <w:vAlign w:val="bottom"/>
            <w:shd w:val="clear" w:color="auto" w:fill="CCEEFF"/>
          </w:tcPr>
          <w:p>
            <w:pPr>
              <w:ind w:left="40"/>
              <w:spacing w:after="0" w:line="131" w:lineRule="exact"/>
              <w:rPr>
                <w:sz w:val="20"/>
                <w:szCs w:val="20"/>
                <w:color w:val="auto"/>
              </w:rPr>
            </w:pPr>
            <w:r>
              <w:rPr>
                <w:rFonts w:ascii="Arial" w:cs="Arial" w:eastAsia="Arial" w:hAnsi="Arial"/>
                <w:sz w:val="14"/>
                <w:szCs w:val="14"/>
                <w:i w:val="1"/>
                <w:iCs w:val="1"/>
                <w:color w:val="auto"/>
              </w:rPr>
              <w:t>Pension and other post-retirement</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benefits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r>
      <w:tr>
        <w:trPr>
          <w:trHeight w:val="176"/>
        </w:trPr>
        <w:tc>
          <w:tcPr>
            <w:tcW w:w="2640" w:type="dxa"/>
            <w:vAlign w:val="bottom"/>
          </w:tcPr>
          <w:p>
            <w:pPr>
              <w:ind w:left="280"/>
              <w:spacing w:after="0"/>
              <w:rPr>
                <w:sz w:val="20"/>
                <w:szCs w:val="20"/>
                <w:color w:val="auto"/>
              </w:rPr>
            </w:pPr>
            <w:r>
              <w:rPr>
                <w:rFonts w:ascii="Arial" w:cs="Arial" w:eastAsia="Arial" w:hAnsi="Arial"/>
                <w:sz w:val="14"/>
                <w:szCs w:val="14"/>
                <w:color w:val="auto"/>
              </w:rPr>
              <w:t>Amortization of prior service credit</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198"/>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(cost)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7"/>
                <w:szCs w:val="17"/>
                <w:color w:val="auto"/>
              </w:rPr>
            </w:pPr>
          </w:p>
        </w:tc>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w:t>
            </w:r>
          </w:p>
        </w:tc>
      </w:tr>
      <w:tr>
        <w:trPr>
          <w:trHeight w:val="254"/>
        </w:trPr>
        <w:tc>
          <w:tcPr>
            <w:tcW w:w="2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r>
      <w:tr>
        <w:trPr>
          <w:trHeight w:val="266"/>
        </w:trPr>
        <w:tc>
          <w:tcPr>
            <w:tcW w:w="2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Provision for income taxes (Note 17)</w:t>
            </w:r>
          </w:p>
        </w:tc>
      </w:tr>
      <w:tr>
        <w:trPr>
          <w:trHeight w:val="241"/>
        </w:trPr>
        <w:tc>
          <w:tcPr>
            <w:tcW w:w="26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36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TechnipFMC plc Incentive Award Plan (the “Plan”), we grant certain incentives and awards to officers, employees, non-employee directors and consultants of TechnipFMC and its subsidiaries. Awards may include share options, share appreciation rights, performance stock units, restricted stock units, restricted shares or other awards authorized under the Plan. Under the Plan, 24.1 million ordinary shares were authorized for awards.</w:t>
      </w:r>
    </w:p>
    <w:p>
      <w:pPr>
        <w:spacing w:after="0" w:line="1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$19.9 million and $ 15.9 million for the three months ended September 30, 2019 and 2018, respectively, and $61.4 million and $41.7 million for the nine months ended September 30, 2019 and 2018, respectively.</w:t>
      </w:r>
    </w:p>
    <w:p>
      <w:pPr>
        <w:spacing w:after="0" w:line="276" w:lineRule="exact"/>
        <w:rPr>
          <w:sz w:val="20"/>
          <w:szCs w:val="20"/>
          <w:color w:val="auto"/>
        </w:rPr>
      </w:pPr>
    </w:p>
    <w:p>
      <w:pPr>
        <w:ind w:right="5660"/>
        <w:spacing w:after="0" w:line="503" w:lineRule="auto"/>
        <w:rPr>
          <w:sz w:val="20"/>
          <w:szCs w:val="20"/>
          <w:color w:val="auto"/>
        </w:rPr>
      </w:pPr>
      <w:r>
        <w:rPr>
          <w:rFonts w:ascii="Arial" w:cs="Arial" w:eastAsia="Arial" w:hAnsi="Arial"/>
          <w:sz w:val="17"/>
          <w:szCs w:val="17"/>
          <w:b w:val="1"/>
          <w:bCs w:val="1"/>
          <w:color w:val="auto"/>
        </w:rPr>
        <w:t xml:space="preserve">NOTE 16. IMPAIRMENT, RESTRUCTURING AND OTHER EXPENSES </w:t>
      </w:r>
      <w:r>
        <w:rPr>
          <w:rFonts w:ascii="Arial" w:cs="Arial" w:eastAsia="Arial" w:hAnsi="Arial"/>
          <w:sz w:val="17"/>
          <w:szCs w:val="17"/>
          <w:color w:val="auto"/>
        </w:rPr>
        <w:t>Impairment, restructuring and other expenses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264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516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9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and other</w:t>
            </w:r>
          </w:p>
        </w:tc>
        <w:tc>
          <w:tcPr>
            <w:tcW w:w="9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Restructuring charges during the three and nine months ended September 30, 2019 and 2018 primarily consisted of severance and other employee related costs.</w:t>
      </w:r>
    </w:p>
    <w:p>
      <w:pPr>
        <w:spacing w:after="0" w:line="91"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We recorded a $125.1 million vessel impairment charge in Subsea for the three months ended September 30, 2019. See Note 21 for further details.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CONTINGENT LIABILITIES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5 years. Management does not expect any of these financial instruments to result in losses that, if incurred, would have a material adverse effect on our consolidated financial position,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Financial guarantees</w:t>
            </w:r>
            <w:r>
              <w:rPr>
                <w:rFonts w:ascii="Arial" w:cs="Arial" w:eastAsia="Arial" w:hAnsi="Arial"/>
                <w:sz w:val="17"/>
                <w:szCs w:val="17"/>
                <w:color w:val="auto"/>
                <w:vertAlign w:val="superscript"/>
              </w:rPr>
              <w:t>(a)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750.4</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Performance guarantees</w:t>
            </w:r>
            <w:r>
              <w:rPr>
                <w:rFonts w:ascii="Arial" w:cs="Arial" w:eastAsia="Arial" w:hAnsi="Arial"/>
                <w:sz w:val="17"/>
                <w:szCs w:val="17"/>
                <w:color w:val="auto"/>
                <w:vertAlign w:val="superscript"/>
              </w:rPr>
              <w:t>(b)</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4,773.1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4,047.6</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Maximum potential undiscounted payments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5,697.3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4,798.0</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left="340" w:right="80" w:hanging="332"/>
        <w:spacing w:after="0" w:line="29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95" w:lineRule="exact"/>
        <w:rPr>
          <w:rFonts w:ascii="Arial" w:cs="Arial" w:eastAsia="Arial" w:hAnsi="Arial"/>
          <w:sz w:val="14"/>
          <w:szCs w:val="14"/>
          <w:color w:val="auto"/>
        </w:rPr>
      </w:pPr>
    </w:p>
    <w:p>
      <w:pPr>
        <w:ind w:left="340" w:right="80" w:hanging="332"/>
        <w:spacing w:after="0" w:line="29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86"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Management believes the ultimate resolution of our known contingencies will not materially affect our consolidated financial position, results of operations or cash flows.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36" w:right="239" w:bottom="1440" w:gutter="0" w:footer="0" w:header="0"/>
        </w:sectPr>
      </w:pPr>
    </w:p>
    <w:bookmarkStart w:id="29" w:name="page30"/>
    <w:bookmarkEnd w:id="29"/>
    <w:p>
      <w:pPr>
        <w:ind w:right="60"/>
        <w:spacing w:after="0" w:line="264" w:lineRule="auto"/>
        <w:rPr>
          <w:sz w:val="20"/>
          <w:szCs w:val="20"/>
          <w:color w:val="auto"/>
        </w:rPr>
      </w:pPr>
      <w:r>
        <w:rPr>
          <w:rFonts w:ascii="Arial" w:cs="Arial" w:eastAsia="Arial" w:hAnsi="Arial"/>
          <w:sz w:val="18"/>
          <w:szCs w:val="18"/>
          <w:i w:val="1"/>
          <w:iCs w:val="1"/>
          <w:color w:val="auto"/>
        </w:rPr>
        <w:t xml:space="preserve">Contingent liabilities associated with legal and tax matters - </w:t>
      </w:r>
      <w:r>
        <w:rPr>
          <w:rFonts w:ascii="Arial" w:cs="Arial" w:eastAsia="Arial" w:hAnsi="Arial"/>
          <w:sz w:val="18"/>
          <w:szCs w:val="18"/>
          <w:color w:val="auto"/>
        </w:rPr>
        <w:t>We are involved in various pending or potential legal and tax actions or disputes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1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U.S. Securities and Exchange Commission (“SEC”).</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2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0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16"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91" w:lineRule="exact"/>
        <w:rPr>
          <w:sz w:val="20"/>
          <w:szCs w:val="20"/>
          <w:color w:val="auto"/>
        </w:rPr>
      </w:pPr>
    </w:p>
    <w:p>
      <w:pPr>
        <w:jc w:val="both"/>
        <w:ind w:right="660"/>
        <w:spacing w:after="0" w:line="271"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0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Contingent liabilities associated with liquidated damages </w:t>
      </w:r>
      <w:r>
        <w:rPr>
          <w:rFonts w:ascii="Arial" w:cs="Arial" w:eastAsia="Arial" w:hAnsi="Arial"/>
          <w:sz w:val="18"/>
          <w:szCs w:val="18"/>
          <w:color w:val="auto"/>
        </w:rPr>
        <w:t>- Some of our contracts contain provisions that require us to pay liquidated damages if</w:t>
      </w:r>
      <w:r>
        <w:rPr>
          <w:rFonts w:ascii="Arial" w:cs="Arial" w:eastAsia="Arial" w:hAnsi="Arial"/>
          <w:sz w:val="18"/>
          <w:szCs w:val="18"/>
          <w:i w:val="1"/>
          <w:iCs w:val="1"/>
          <w:color w:val="auto"/>
        </w:rPr>
        <w:t xml:space="preserve"> </w:t>
      </w:r>
      <w:r>
        <w:rPr>
          <w:rFonts w:ascii="Arial" w:cs="Arial" w:eastAsia="Arial" w:hAnsi="Arial"/>
          <w:sz w:val="18"/>
          <w:szCs w:val="18"/>
          <w:color w:val="auto"/>
        </w:rPr>
        <w:t>we are responsible for the failure to meet specified contractual milestone dates and the applicable customer asserts a conforming claim under these provisions. These contracts define the conditions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76" w:right="259" w:bottom="1440" w:gutter="0" w:footer="0" w:header="0"/>
        </w:sectPr>
      </w:pPr>
    </w:p>
    <w:bookmarkStart w:id="30" w:name="page31"/>
    <w:bookmarkEnd w:id="30"/>
    <w:p>
      <w:pPr>
        <w:ind w:right="440"/>
        <w:spacing w:after="0" w:line="264" w:lineRule="auto"/>
        <w:rPr>
          <w:sz w:val="20"/>
          <w:szCs w:val="20"/>
          <w:color w:val="auto"/>
        </w:rPr>
      </w:pPr>
      <w:r>
        <w:rPr>
          <w:rFonts w:ascii="Arial" w:cs="Arial" w:eastAsia="Arial" w:hAnsi="Arial"/>
          <w:sz w:val="18"/>
          <w:szCs w:val="18"/>
          <w:color w:val="auto"/>
        </w:rPr>
        <w:t>under which our customers may make claims against us for liquidated damages. Based upon the evaluation of our performance and other commercial and legal analysis, management believes we have appropriately recognized probable liquidated damages at September 30, 2019 and December 31, 2018, and that the ultimate resolution of such matters will not materially affect our consolidated financial position, results of operations, or cash flows.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provision for income taxes for the three months ended September 30, 2019 and 2018 reflected effective tax rates of (237.1)% and 33.2%, respectively. The year-over-year increase in the effective tax rate for the three months ended September 30, 2019 and September 30, 2018 was primarily due to the increased impact of losses (including certain asset impairments) in jurisdictions with a full valuation allowance and an unfavorable change in earnings mix. Our provision for income tax for the nine months ended September 30, 2019 and 2018 reflect effective tax rates of 84.1% and 35.0%, respectively. The year-over-year increase in the effective tax rate for the nine months ended September 30, 2019 and 2018 was primarily due to the increased impact of losses (including certain asset impairments) in jurisdictions with a full valuation allowance and an unfavorable change in forecasted earnings mix, offset in part by recognized tax benefits related to the finalization of previously estimated tax liabilities based on the filing of tax returns in certain jurisdictions and the release of a valuation allowance previously recorded against certain deferred tax assets in Brazil.</w:t>
      </w:r>
    </w:p>
    <w:p>
      <w:pPr>
        <w:spacing w:after="0" w:line="128"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DERIVATIVE FINANCIAL INSTRUMENTS</w:t>
      </w:r>
    </w:p>
    <w:p>
      <w:pPr>
        <w:spacing w:after="0" w:line="173"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76"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7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or sale commitments denominated in foreign currencies and recorded assets and liabilities in our consolidated balance sheets. At September 30, 2019, we held the following material net positions: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52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rPr>
              <w:t>Net Notional Amount</w:t>
            </w:r>
          </w:p>
        </w:tc>
        <w:tc>
          <w:tcPr>
            <w:tcW w:w="780" w:type="dxa"/>
            <w:vAlign w:val="bottom"/>
          </w:tcPr>
          <w:p>
            <w:pPr>
              <w:spacing w:after="0"/>
              <w:rPr>
                <w:sz w:val="14"/>
                <w:szCs w:val="14"/>
                <w:color w:val="auto"/>
              </w:rPr>
            </w:pPr>
          </w:p>
        </w:tc>
      </w:tr>
      <w:tr>
        <w:trPr>
          <w:trHeight w:val="203"/>
        </w:trPr>
        <w:tc>
          <w:tcPr>
            <w:tcW w:w="8120" w:type="dxa"/>
            <w:vAlign w:val="bottom"/>
          </w:tcPr>
          <w:p>
            <w:pPr>
              <w:spacing w:after="0"/>
              <w:rPr>
                <w:sz w:val="17"/>
                <w:szCs w:val="17"/>
                <w:color w:val="auto"/>
              </w:rPr>
            </w:pPr>
          </w:p>
        </w:tc>
        <w:tc>
          <w:tcPr>
            <w:tcW w:w="2520" w:type="dxa"/>
            <w:vAlign w:val="bottom"/>
            <w:tcBorders>
              <w:bottom w:val="single" w:sz="8" w:color="auto"/>
            </w:tcBorders>
            <w:gridSpan w:val="2"/>
          </w:tcPr>
          <w:p>
            <w:pPr>
              <w:jc w:val="center"/>
              <w:ind w:left="728"/>
              <w:spacing w:after="0"/>
              <w:rPr>
                <w:sz w:val="20"/>
                <w:szCs w:val="20"/>
                <w:color w:val="auto"/>
              </w:rPr>
            </w:pPr>
            <w:r>
              <w:rPr>
                <w:rFonts w:ascii="Arial" w:cs="Arial" w:eastAsia="Arial" w:hAnsi="Arial"/>
                <w:sz w:val="14"/>
                <w:szCs w:val="14"/>
                <w:b w:val="1"/>
                <w:bCs w:val="1"/>
                <w:color w:val="auto"/>
              </w:rPr>
              <w:t>Bought (Sold)</w:t>
            </w:r>
          </w:p>
        </w:tc>
        <w:tc>
          <w:tcPr>
            <w:tcW w:w="78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987.4</w:t>
            </w: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1,077.2</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634.2</w:t>
            </w:r>
          </w:p>
        </w:tc>
        <w:tc>
          <w:tcPr>
            <w:tcW w:w="8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152.3</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British pound</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291.1</w:t>
            </w: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358.3</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1,525.1</w:t>
            </w:r>
          </w:p>
        </w:tc>
        <w:tc>
          <w:tcPr>
            <w:tcW w:w="8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168.1</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Malaysian ringgit</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382.0</w:t>
            </w: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91.2</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Singapore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90.6</w:t>
            </w:r>
          </w:p>
        </w:tc>
        <w:tc>
          <w:tcPr>
            <w:tcW w:w="8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65.5</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Japanese yen</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4,155.0</w:t>
            </w: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Australian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165.1</w:t>
            </w:r>
          </w:p>
        </w:tc>
        <w:tc>
          <w:tcPr>
            <w:tcW w:w="8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111.6</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Mexican peso</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(300.0)</w:t>
            </w: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Canadian dollar</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(83.3)</w:t>
            </w:r>
          </w:p>
        </w:tc>
        <w:tc>
          <w:tcPr>
            <w:tcW w:w="8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(63.0)</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(1,264.0)</w:t>
            </w:r>
          </w:p>
        </w:tc>
        <w:tc>
          <w:tcPr>
            <w:tcW w:w="8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(1,264.0)</w:t>
            </w:r>
          </w:p>
        </w:tc>
      </w:tr>
    </w:tbl>
    <w:p>
      <w:pPr>
        <w:spacing w:after="0" w:line="35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September 30, 2019, our portfolio of these instruments included the following material net positions: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66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rPr>
              <w:t>Net Notional Amount</w:t>
            </w:r>
          </w:p>
        </w:tc>
        <w:tc>
          <w:tcPr>
            <w:tcW w:w="640" w:type="dxa"/>
            <w:vAlign w:val="bottom"/>
          </w:tcPr>
          <w:p>
            <w:pPr>
              <w:spacing w:after="0"/>
              <w:rPr>
                <w:sz w:val="14"/>
                <w:szCs w:val="14"/>
                <w:color w:val="auto"/>
              </w:rPr>
            </w:pPr>
          </w:p>
        </w:tc>
      </w:tr>
      <w:tr>
        <w:trPr>
          <w:trHeight w:val="203"/>
        </w:trPr>
        <w:tc>
          <w:tcPr>
            <w:tcW w:w="8120" w:type="dxa"/>
            <w:vAlign w:val="bottom"/>
          </w:tcPr>
          <w:p>
            <w:pPr>
              <w:spacing w:after="0"/>
              <w:rPr>
                <w:sz w:val="17"/>
                <w:szCs w:val="17"/>
                <w:color w:val="auto"/>
              </w:rPr>
            </w:pPr>
          </w:p>
        </w:tc>
        <w:tc>
          <w:tcPr>
            <w:tcW w:w="266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rPr>
              <w:t>Bought (Sold)</w:t>
            </w:r>
          </w:p>
        </w:tc>
        <w:tc>
          <w:tcPr>
            <w:tcW w:w="64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1"/>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6.6</w:t>
            </w: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6"/>
        </w:trPr>
        <w:tc>
          <w:tcPr>
            <w:tcW w:w="8120" w:type="dxa"/>
            <w:vAlign w:val="bottom"/>
          </w:tcPr>
          <w:p>
            <w:pPr>
              <w:ind w:left="40"/>
              <w:spacing w:after="0"/>
              <w:rPr>
                <w:sz w:val="20"/>
                <w:szCs w:val="20"/>
                <w:color w:val="auto"/>
              </w:rPr>
            </w:pPr>
            <w:r>
              <w:rPr>
                <w:rFonts w:ascii="Arial" w:cs="Arial" w:eastAsia="Arial" w:hAnsi="Arial"/>
                <w:sz w:val="14"/>
                <w:szCs w:val="14"/>
                <w:color w:val="auto"/>
              </w:rPr>
              <w:t>Euro</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(4.9)</w:t>
            </w:r>
          </w:p>
        </w:tc>
        <w:tc>
          <w:tcPr>
            <w:tcW w:w="9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7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2.8</w:t>
            </w:r>
          </w:p>
        </w:tc>
        <w:tc>
          <w:tcPr>
            <w:tcW w:w="9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bl>
    <w:p>
      <w:pPr>
        <w:spacing w:after="0" w:line="35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20 to our condensed consolidated financial statements of this Quarterly Report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r>
      <w:tr>
        <w:trPr>
          <w:trHeight w:val="26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w:t>
            </w:r>
          </w:p>
        </w:tc>
      </w:tr>
      <w:tr>
        <w:trPr>
          <w:trHeight w:val="266"/>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w:t>
            </w:r>
          </w:p>
        </w:tc>
      </w:tr>
      <w:tr>
        <w:trPr>
          <w:trHeight w:val="25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163.3</w:t>
            </w: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6"/>
        </w:trPr>
        <w:tc>
          <w:tcPr>
            <w:tcW w:w="5620" w:type="dxa"/>
            <w:vAlign w:val="bottom"/>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4"/>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4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10.8</w:t>
            </w:r>
          </w:p>
        </w:tc>
      </w:tr>
      <w:tr>
        <w:trPr>
          <w:trHeight w:val="177"/>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 - Synthetic Bonds - Call Option</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2"/>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Premium</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5620" w:type="dxa"/>
            <w:vAlign w:val="bottom"/>
          </w:tcPr>
          <w:p>
            <w:pPr>
              <w:ind w:left="500"/>
              <w:spacing w:after="0"/>
              <w:rPr>
                <w:sz w:val="20"/>
                <w:szCs w:val="20"/>
                <w:color w:val="auto"/>
              </w:rPr>
            </w:pPr>
            <w:r>
              <w:rPr>
                <w:rFonts w:ascii="Arial" w:cs="Arial" w:eastAsia="Arial" w:hAnsi="Arial"/>
                <w:sz w:val="14"/>
                <w:szCs w:val="14"/>
                <w:color w:val="auto"/>
              </w:rPr>
              <w:t>Long-term - Derivative financial instruments - Synthetic Bonds - Embedded</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8"/>
        </w:trPr>
        <w:tc>
          <w:tcPr>
            <w:tcW w:w="5620" w:type="dxa"/>
            <w:vAlign w:val="bottom"/>
          </w:tcPr>
          <w:p>
            <w:pPr>
              <w:ind w:left="500"/>
              <w:spacing w:after="0"/>
              <w:rPr>
                <w:sz w:val="20"/>
                <w:szCs w:val="20"/>
                <w:color w:val="auto"/>
              </w:rPr>
            </w:pPr>
            <w:r>
              <w:rPr>
                <w:rFonts w:ascii="Arial" w:cs="Arial" w:eastAsia="Arial" w:hAnsi="Arial"/>
                <w:sz w:val="14"/>
                <w:szCs w:val="14"/>
                <w:color w:val="auto"/>
              </w:rPr>
              <w:t>Derivatives</w:t>
            </w: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9.2</w:t>
            </w:r>
          </w:p>
        </w:tc>
      </w:tr>
      <w:tr>
        <w:trPr>
          <w:trHeight w:val="241"/>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183.3</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 derivative hedges of forecasted transactions, net of tax, which qualify for hedge accounting, resulted in accumulated other comprehensive losses of $75.7 million and $33.0 million at September 30, 2019 and December 31, 2018, respectively. We expect to transfer an approximately $48.0 million loss from accumulated OCI to earnings during the next 12 months when the anticipated transactions actually occur. All anticipated transactions currently being hedged are expected to occur by the second half of 2023.</w:t>
      </w:r>
    </w:p>
    <w:p>
      <w:pPr>
        <w:spacing w:after="0" w:line="116" w:lineRule="exact"/>
        <w:rPr>
          <w:sz w:val="20"/>
          <w:szCs w:val="20"/>
          <w:color w:val="auto"/>
        </w:rPr>
      </w:pPr>
    </w:p>
    <w:p>
      <w:pPr>
        <w:ind w:right="880"/>
        <w:spacing w:after="0" w:line="292" w:lineRule="auto"/>
        <w:rPr>
          <w:sz w:val="20"/>
          <w:szCs w:val="20"/>
          <w:color w:val="auto"/>
        </w:rPr>
      </w:pPr>
      <w:r>
        <w:rPr>
          <w:rFonts w:ascii="Arial" w:cs="Arial" w:eastAsia="Arial" w:hAnsi="Arial"/>
          <w:sz w:val="18"/>
          <w:szCs w:val="18"/>
          <w:color w:val="auto"/>
        </w:rPr>
        <w:t>The following tables present the location of gains (losses) on the consolidated statements of other comprehensive income and/or the consolidated statements of income related to derivative instruments designated as cash flow hedges: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Gain (Loss) Recognized in OCI</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3"/>
        </w:trPr>
        <w:tc>
          <w:tcPr>
            <w:tcW w:w="5160" w:type="dxa"/>
            <w:vAlign w:val="bottom"/>
          </w:tcPr>
          <w:p>
            <w:pPr>
              <w:spacing w:after="0"/>
              <w:rPr>
                <w:sz w:val="22"/>
                <w:szCs w:val="22"/>
                <w:color w:val="auto"/>
              </w:rPr>
            </w:pPr>
          </w:p>
        </w:tc>
        <w:tc>
          <w:tcPr>
            <w:tcW w:w="262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80" w:type="dxa"/>
            <w:vAlign w:val="bottom"/>
            <w:gridSpan w:val="4"/>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516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center"/>
              <w:ind w:right="38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exchange contracts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6" w:right="239" w:bottom="1440" w:gutter="0" w:footer="0" w:header="0"/>
        </w:sectPr>
      </w:pPr>
    </w:p>
    <w:bookmarkStart w:id="33" w:name="page34"/>
    <w:bookmarkEnd w:id="33"/>
    <w:p>
      <w:pPr>
        <w:ind w:right="420"/>
        <w:spacing w:after="0" w:line="292" w:lineRule="auto"/>
        <w:rPr>
          <w:sz w:val="20"/>
          <w:szCs w:val="20"/>
          <w:color w:val="auto"/>
        </w:rPr>
      </w:pPr>
      <w:r>
        <w:rPr>
          <w:rFonts w:ascii="Arial" w:cs="Arial" w:eastAsia="Arial" w:hAnsi="Arial"/>
          <w:sz w:val="18"/>
          <w:szCs w:val="18"/>
          <w:color w:val="auto"/>
        </w:rPr>
        <w:t>The following represents the effect of cash flow hedge accounting on the consolidated statements of income for the three and nine months ended September 30,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9"/>
          </w:tcPr>
          <w:p>
            <w:pPr>
              <w:jc w:val="center"/>
              <w:spacing w:after="0"/>
              <w:rPr>
                <w:sz w:val="20"/>
                <w:szCs w:val="20"/>
                <w:color w:val="auto"/>
              </w:rPr>
            </w:pPr>
            <w:r>
              <w:rPr>
                <w:rFonts w:ascii="Arial" w:cs="Arial" w:eastAsia="Arial" w:hAnsi="Arial"/>
                <w:sz w:val="13"/>
                <w:szCs w:val="13"/>
                <w:b w:val="1"/>
                <w:bCs w:val="1"/>
                <w:color w:val="auto"/>
                <w:w w:val="96"/>
              </w:rPr>
              <w:t>Three Months Ended September 30, 2019</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9"/>
          </w:tcPr>
          <w:p>
            <w:pPr>
              <w:jc w:val="right"/>
              <w:ind w:right="817"/>
              <w:spacing w:after="0"/>
              <w:rPr>
                <w:sz w:val="20"/>
                <w:szCs w:val="20"/>
                <w:color w:val="auto"/>
              </w:rPr>
            </w:pPr>
            <w:r>
              <w:rPr>
                <w:rFonts w:ascii="Arial" w:cs="Arial" w:eastAsia="Arial" w:hAnsi="Arial"/>
                <w:sz w:val="13"/>
                <w:szCs w:val="13"/>
                <w:b w:val="1"/>
                <w:bCs w:val="1"/>
                <w:color w:val="auto"/>
                <w:w w:val="96"/>
              </w:rPr>
              <w:t>Three Months Ended September 30, 2018</w:t>
            </w:r>
          </w:p>
        </w:tc>
        <w:tc>
          <w:tcPr>
            <w:tcW w:w="0" w:type="dxa"/>
            <w:vAlign w:val="bottom"/>
          </w:tcPr>
          <w:p>
            <w:pPr>
              <w:spacing w:after="0"/>
              <w:rPr>
                <w:sz w:val="1"/>
                <w:szCs w:val="1"/>
                <w:color w:val="auto"/>
              </w:rPr>
            </w:pPr>
          </w:p>
        </w:tc>
      </w:tr>
      <w:tr>
        <w:trPr>
          <w:trHeight w:val="136"/>
        </w:trPr>
        <w:tc>
          <w:tcPr>
            <w:tcW w:w="26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Total amount of income (expense)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6" w:lineRule="exact"/>
              <w:rPr>
                <w:sz w:val="20"/>
                <w:szCs w:val="20"/>
                <w:color w:val="auto"/>
              </w:rPr>
            </w:pPr>
            <w:r>
              <w:rPr>
                <w:rFonts w:ascii="Arial" w:cs="Arial" w:eastAsia="Arial" w:hAnsi="Arial"/>
                <w:sz w:val="13"/>
                <w:szCs w:val="13"/>
                <w:b w:val="1"/>
                <w:bCs w:val="1"/>
                <w:color w:val="auto"/>
                <w:w w:val="95"/>
              </w:rPr>
              <w:t>Selling,</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95"/>
              </w:rPr>
              <w:t>Selling,</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general</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general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presented in the consolidated statements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3"/>
              </w:rPr>
              <w:t>Cost of</w:t>
            </w: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rPr>
              <w:t>and</w:t>
            </w:r>
          </w:p>
        </w:tc>
        <w:tc>
          <w:tcPr>
            <w:tcW w:w="8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1"/>
                <w:szCs w:val="11"/>
                <w:color w:val="auto"/>
              </w:rPr>
            </w:pPr>
          </w:p>
        </w:tc>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rPr>
              <w:t>Other income</w:t>
            </w:r>
          </w:p>
        </w:tc>
        <w:tc>
          <w:tcPr>
            <w:tcW w:w="0" w:type="dxa"/>
            <w:vAlign w:val="bottom"/>
          </w:tcPr>
          <w:p>
            <w:pPr>
              <w:spacing w:after="0"/>
              <w:rPr>
                <w:sz w:val="1"/>
                <w:szCs w:val="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of income associated with hedges and</w:t>
            </w:r>
          </w:p>
        </w:tc>
        <w:tc>
          <w:tcPr>
            <w:tcW w:w="160" w:type="dxa"/>
            <w:vAlign w:val="bottom"/>
          </w:tcPr>
          <w:p>
            <w:pPr>
              <w:spacing w:after="0"/>
              <w:rPr>
                <w:sz w:val="11"/>
                <w:szCs w:val="11"/>
                <w:color w:val="auto"/>
              </w:rPr>
            </w:pPr>
          </w:p>
        </w:tc>
        <w:tc>
          <w:tcPr>
            <w:tcW w:w="7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derivatives</w:t>
            </w: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sales</w:t>
            </w:r>
          </w:p>
        </w:tc>
        <w:tc>
          <w:tcPr>
            <w:tcW w:w="160" w:type="dxa"/>
            <w:vAlign w:val="bottom"/>
          </w:tcPr>
          <w:p>
            <w:pPr>
              <w:spacing w:after="0"/>
              <w:rPr>
                <w:sz w:val="15"/>
                <w:szCs w:val="15"/>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9"/>
              </w:rPr>
              <w:t>expense</w:t>
            </w:r>
          </w:p>
        </w:tc>
        <w:tc>
          <w:tcPr>
            <w:tcW w:w="1100" w:type="dxa"/>
            <w:vAlign w:val="bottom"/>
            <w:gridSpan w:val="3"/>
          </w:tcPr>
          <w:p>
            <w:pPr>
              <w:ind w:left="6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126"/>
        </w:trPr>
        <w:tc>
          <w:tcPr>
            <w:tcW w:w="2640" w:type="dxa"/>
            <w:vAlign w:val="bottom"/>
            <w:tcBorders>
              <w:top w:val="single" w:sz="8" w:color="CCEEFF"/>
            </w:tcBorders>
            <w:shd w:val="clear" w:color="auto" w:fill="CCEEFF"/>
          </w:tcPr>
          <w:p>
            <w:pPr>
              <w:ind w:left="40"/>
              <w:spacing w:after="0" w:line="126" w:lineRule="exact"/>
              <w:rPr>
                <w:sz w:val="20"/>
                <w:szCs w:val="20"/>
                <w:color w:val="auto"/>
              </w:rPr>
            </w:pPr>
            <w:r>
              <w:rPr>
                <w:rFonts w:ascii="Arial" w:cs="Arial" w:eastAsia="Arial" w:hAnsi="Arial"/>
                <w:sz w:val="13"/>
                <w:szCs w:val="13"/>
                <w:i w:val="1"/>
                <w:iCs w:val="1"/>
                <w:color w:val="auto"/>
              </w:rPr>
              <w:t>Cash Flow hedge gain (loss) recognized in</w:t>
            </w: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income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120"/>
              <w:spacing w:after="0"/>
              <w:rPr>
                <w:sz w:val="20"/>
                <w:szCs w:val="20"/>
                <w:color w:val="auto"/>
              </w:rPr>
            </w:pPr>
            <w:r>
              <w:rPr>
                <w:rFonts w:ascii="Arial" w:cs="Arial" w:eastAsia="Arial" w:hAnsi="Arial"/>
                <w:sz w:val="13"/>
                <w:szCs w:val="13"/>
                <w:i w:val="1"/>
                <w:iCs w:val="1"/>
                <w:color w:val="auto"/>
              </w:rPr>
              <w:t>Foreign Exchange Contracts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200"/>
              <w:spacing w:after="0" w:line="148" w:lineRule="exact"/>
              <w:rPr>
                <w:sz w:val="20"/>
                <w:szCs w:val="20"/>
                <w:color w:val="auto"/>
              </w:rPr>
            </w:pPr>
            <w:r>
              <w:rPr>
                <w:rFonts w:ascii="Arial" w:cs="Arial" w:eastAsia="Arial" w:hAnsi="Arial"/>
                <w:sz w:val="13"/>
                <w:szCs w:val="13"/>
                <w:color w:val="auto"/>
              </w:rPr>
              <w:t>Amounts reclassified from accumulated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OCI to income</w:t>
            </w:r>
          </w:p>
        </w:tc>
        <w:tc>
          <w:tcPr>
            <w:tcW w:w="1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00"/>
              <w:spacing w:after="0" w:line="140" w:lineRule="exact"/>
              <w:rPr>
                <w:sz w:val="20"/>
                <w:szCs w:val="20"/>
                <w:color w:val="auto"/>
              </w:rPr>
            </w:pPr>
            <w:r>
              <w:rPr>
                <w:rFonts w:ascii="Arial" w:cs="Arial" w:eastAsia="Arial" w:hAnsi="Arial"/>
                <w:sz w:val="13"/>
                <w:szCs w:val="13"/>
                <w:color w:val="auto"/>
              </w:rPr>
              <w:t>Amounts excluded from effectiveness</w:t>
            </w:r>
          </w:p>
        </w:tc>
        <w:tc>
          <w:tcPr>
            <w:tcW w:w="160" w:type="dxa"/>
            <w:vAlign w:val="bottom"/>
          </w:tcPr>
          <w:p>
            <w:pPr>
              <w:spacing w:after="0"/>
              <w:rPr>
                <w:sz w:val="12"/>
                <w:szCs w:val="12"/>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testing</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640" w:type="dxa"/>
            <w:vAlign w:val="bottom"/>
            <w:shd w:val="clear" w:color="auto" w:fill="CCEEFF"/>
          </w:tcPr>
          <w:p>
            <w:pPr>
              <w:ind w:left="40"/>
              <w:spacing w:after="0" w:line="124" w:lineRule="exact"/>
              <w:rPr>
                <w:sz w:val="20"/>
                <w:szCs w:val="20"/>
                <w:color w:val="auto"/>
              </w:rPr>
            </w:pPr>
            <w:r>
              <w:rPr>
                <w:rFonts w:ascii="Arial" w:cs="Arial" w:eastAsia="Arial" w:hAnsi="Arial"/>
                <w:sz w:val="13"/>
                <w:szCs w:val="13"/>
                <w:b w:val="1"/>
                <w:bCs w:val="1"/>
                <w:color w:val="auto"/>
              </w:rPr>
              <w:t>Total cash flow hedge gain (loss)</w:t>
            </w: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(0.5)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14.7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7.2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(0.1)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(21.8)</w:t>
            </w: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recognized in income</w:t>
            </w:r>
          </w:p>
        </w:tc>
        <w:tc>
          <w:tcPr>
            <w:tcW w:w="16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64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Gain (loss) recognized in income on</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derivatives not designated as hedging</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2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instruments</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(0.1)</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center"/>
              <w:ind w:left="17"/>
              <w:spacing w:after="0"/>
              <w:rPr>
                <w:sz w:val="20"/>
                <w:szCs w:val="20"/>
                <w:color w:val="auto"/>
              </w:rPr>
            </w:pPr>
            <w:r>
              <w:rPr>
                <w:rFonts w:ascii="Arial" w:cs="Arial" w:eastAsia="Arial" w:hAnsi="Arial"/>
                <w:sz w:val="13"/>
                <w:szCs w:val="13"/>
                <w:b w:val="1"/>
                <w:bCs w:val="1"/>
                <w:color w:val="auto"/>
                <w:w w:val="97"/>
              </w:rPr>
              <w:t>Nine Months Ended September 30, 2019</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w w:val="98"/>
              </w:rPr>
              <w:t>Nine Months Ended September 30, 2018</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6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Total amount of income (expense)</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6" w:lineRule="exact"/>
              <w:rPr>
                <w:sz w:val="20"/>
                <w:szCs w:val="20"/>
                <w:color w:val="auto"/>
              </w:rPr>
            </w:pPr>
            <w:r>
              <w:rPr>
                <w:rFonts w:ascii="Arial" w:cs="Arial" w:eastAsia="Arial" w:hAnsi="Arial"/>
                <w:sz w:val="13"/>
                <w:szCs w:val="13"/>
                <w:b w:val="1"/>
                <w:bCs w:val="1"/>
                <w:color w:val="auto"/>
                <w:w w:val="95"/>
              </w:rPr>
              <w:t>Selling,</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95"/>
              </w:rPr>
              <w:t>Selling,</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general</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general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presented in the consolidated statements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3"/>
              </w:rPr>
              <w:t>Cost of</w:t>
            </w: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rPr>
              <w:t>and</w:t>
            </w:r>
          </w:p>
        </w:tc>
        <w:tc>
          <w:tcPr>
            <w:tcW w:w="8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and</w:t>
            </w:r>
          </w:p>
        </w:tc>
        <w:tc>
          <w:tcPr>
            <w:tcW w:w="100" w:type="dxa"/>
            <w:vAlign w:val="bottom"/>
          </w:tcPr>
          <w:p>
            <w:pPr>
              <w:spacing w:after="0"/>
              <w:rPr>
                <w:sz w:val="11"/>
                <w:szCs w:val="11"/>
                <w:color w:val="auto"/>
              </w:rPr>
            </w:pPr>
          </w:p>
        </w:tc>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rPr>
              <w:t>Other income</w:t>
            </w:r>
          </w:p>
        </w:tc>
        <w:tc>
          <w:tcPr>
            <w:tcW w:w="0" w:type="dxa"/>
            <w:vAlign w:val="bottom"/>
          </w:tcPr>
          <w:p>
            <w:pPr>
              <w:spacing w:after="0"/>
              <w:rPr>
                <w:sz w:val="1"/>
                <w:szCs w:val="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of income associated with hedges and</w:t>
            </w:r>
          </w:p>
        </w:tc>
        <w:tc>
          <w:tcPr>
            <w:tcW w:w="160" w:type="dxa"/>
            <w:vAlign w:val="bottom"/>
          </w:tcPr>
          <w:p>
            <w:pPr>
              <w:spacing w:after="0"/>
              <w:rPr>
                <w:sz w:val="11"/>
                <w:szCs w:val="11"/>
                <w:color w:val="auto"/>
              </w:rPr>
            </w:pPr>
          </w:p>
        </w:tc>
        <w:tc>
          <w:tcPr>
            <w:tcW w:w="7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derivatives</w:t>
            </w: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sales</w:t>
            </w:r>
          </w:p>
        </w:tc>
        <w:tc>
          <w:tcPr>
            <w:tcW w:w="160" w:type="dxa"/>
            <w:vAlign w:val="bottom"/>
          </w:tcPr>
          <w:p>
            <w:pPr>
              <w:spacing w:after="0"/>
              <w:rPr>
                <w:sz w:val="15"/>
                <w:szCs w:val="15"/>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9"/>
              </w:rPr>
              <w:t>expense</w:t>
            </w:r>
          </w:p>
        </w:tc>
        <w:tc>
          <w:tcPr>
            <w:tcW w:w="1100" w:type="dxa"/>
            <w:vAlign w:val="bottom"/>
            <w:gridSpan w:val="3"/>
          </w:tcPr>
          <w:p>
            <w:pPr>
              <w:ind w:left="6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126"/>
        </w:trPr>
        <w:tc>
          <w:tcPr>
            <w:tcW w:w="2640" w:type="dxa"/>
            <w:vAlign w:val="bottom"/>
            <w:tcBorders>
              <w:top w:val="single" w:sz="8" w:color="CCEEFF"/>
            </w:tcBorders>
            <w:shd w:val="clear" w:color="auto" w:fill="CCEEFF"/>
          </w:tcPr>
          <w:p>
            <w:pPr>
              <w:ind w:left="40"/>
              <w:spacing w:after="0" w:line="126" w:lineRule="exact"/>
              <w:rPr>
                <w:sz w:val="20"/>
                <w:szCs w:val="20"/>
                <w:color w:val="auto"/>
              </w:rPr>
            </w:pPr>
            <w:r>
              <w:rPr>
                <w:rFonts w:ascii="Arial" w:cs="Arial" w:eastAsia="Arial" w:hAnsi="Arial"/>
                <w:sz w:val="13"/>
                <w:szCs w:val="13"/>
                <w:i w:val="1"/>
                <w:iCs w:val="1"/>
                <w:color w:val="auto"/>
              </w:rPr>
              <w:t>Cash Flow hedge gain (loss) recognized in</w:t>
            </w: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income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120"/>
              <w:spacing w:after="0"/>
              <w:rPr>
                <w:sz w:val="20"/>
                <w:szCs w:val="20"/>
                <w:color w:val="auto"/>
              </w:rPr>
            </w:pPr>
            <w:r>
              <w:rPr>
                <w:rFonts w:ascii="Arial" w:cs="Arial" w:eastAsia="Arial" w:hAnsi="Arial"/>
                <w:sz w:val="13"/>
                <w:szCs w:val="13"/>
                <w:i w:val="1"/>
                <w:iCs w:val="1"/>
                <w:color w:val="auto"/>
              </w:rPr>
              <w:t>Foreign Exchange Contracts</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200"/>
              <w:spacing w:after="0" w:line="148" w:lineRule="exact"/>
              <w:rPr>
                <w:sz w:val="20"/>
                <w:szCs w:val="20"/>
                <w:color w:val="auto"/>
              </w:rPr>
            </w:pPr>
            <w:r>
              <w:rPr>
                <w:rFonts w:ascii="Arial" w:cs="Arial" w:eastAsia="Arial" w:hAnsi="Arial"/>
                <w:sz w:val="13"/>
                <w:szCs w:val="13"/>
                <w:color w:val="auto"/>
              </w:rPr>
              <w:t>Amounts reclassified from accumulated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(15.6)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OCI to income (loss)</w:t>
            </w:r>
          </w:p>
        </w:tc>
        <w:tc>
          <w:tcPr>
            <w:tcW w:w="1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00"/>
              <w:spacing w:after="0" w:line="140" w:lineRule="exact"/>
              <w:rPr>
                <w:sz w:val="20"/>
                <w:szCs w:val="20"/>
                <w:color w:val="auto"/>
              </w:rPr>
            </w:pPr>
            <w:r>
              <w:rPr>
                <w:rFonts w:ascii="Arial" w:cs="Arial" w:eastAsia="Arial" w:hAnsi="Arial"/>
                <w:sz w:val="13"/>
                <w:szCs w:val="13"/>
                <w:color w:val="auto"/>
              </w:rPr>
              <w:t>Amounts excluded from effectiveness</w:t>
            </w:r>
          </w:p>
        </w:tc>
        <w:tc>
          <w:tcPr>
            <w:tcW w:w="160" w:type="dxa"/>
            <w:vAlign w:val="bottom"/>
          </w:tcPr>
          <w:p>
            <w:pPr>
              <w:spacing w:after="0"/>
              <w:rPr>
                <w:sz w:val="12"/>
                <w:szCs w:val="12"/>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restart"/>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78"/>
        </w:trPr>
        <w:tc>
          <w:tcPr>
            <w:tcW w:w="2640" w:type="dxa"/>
            <w:vAlign w:val="bottom"/>
          </w:tcPr>
          <w:p>
            <w:pPr>
              <w:ind w:left="200"/>
              <w:spacing w:after="0"/>
              <w:rPr>
                <w:sz w:val="20"/>
                <w:szCs w:val="20"/>
                <w:color w:val="auto"/>
              </w:rPr>
            </w:pPr>
            <w:r>
              <w:rPr>
                <w:rFonts w:ascii="Arial" w:cs="Arial" w:eastAsia="Arial" w:hAnsi="Arial"/>
                <w:sz w:val="13"/>
                <w:szCs w:val="13"/>
                <w:color w:val="auto"/>
              </w:rPr>
              <w:t>testing</w:t>
            </w: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640" w:type="dxa"/>
            <w:vAlign w:val="bottom"/>
            <w:tcBorders>
              <w:top w:val="single" w:sz="8" w:color="CCEEFF"/>
            </w:tcBorders>
            <w:shd w:val="clear" w:color="auto" w:fill="CCEEFF"/>
          </w:tcPr>
          <w:p>
            <w:pPr>
              <w:ind w:left="40"/>
              <w:spacing w:after="0" w:line="124" w:lineRule="exact"/>
              <w:rPr>
                <w:sz w:val="20"/>
                <w:szCs w:val="20"/>
                <w:color w:val="auto"/>
              </w:rPr>
            </w:pPr>
            <w:r>
              <w:rPr>
                <w:rFonts w:ascii="Arial" w:cs="Arial" w:eastAsia="Arial" w:hAnsi="Arial"/>
                <w:sz w:val="13"/>
                <w:szCs w:val="13"/>
                <w:b w:val="1"/>
                <w:bCs w:val="1"/>
                <w:color w:val="auto"/>
              </w:rPr>
              <w:t>Total cash flow hedge gain (loss)</w:t>
            </w: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(14.1)</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1.4</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0.1</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(8.8)</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(2.1)</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10.3</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(0.1)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(23.3)</w:t>
            </w: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recognized in income</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64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Gain (loss) recognized in income on</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derivatives not designated as hedging</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2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instruments</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b w:val="1"/>
                <w:bCs w:val="1"/>
                <w:color w:val="auto"/>
              </w:rPr>
              <w:t>(15.3)</w:t>
            </w:r>
          </w:p>
        </w:tc>
        <w:tc>
          <w:tcPr>
            <w:tcW w:w="2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57"/>
              <w:spacing w:after="0"/>
              <w:rPr>
                <w:sz w:val="20"/>
                <w:szCs w:val="20"/>
                <w:color w:val="auto"/>
              </w:rPr>
            </w:pPr>
            <w:r>
              <w:rPr>
                <w:rFonts w:ascii="Arial" w:cs="Arial" w:eastAsia="Arial" w:hAnsi="Arial"/>
                <w:sz w:val="13"/>
                <w:szCs w:val="13"/>
                <w:b w:val="1"/>
                <w:bCs w:val="1"/>
                <w:color w:val="auto"/>
              </w:rPr>
              <w:t>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(3.0)</w:t>
            </w:r>
          </w:p>
        </w:tc>
        <w:tc>
          <w:tcPr>
            <w:tcW w:w="2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10.7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(0.1)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(30.2)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only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September 30, 2019 and December 31, 2018, we had no collateralized derivative contracts. The following tables present both gross information and net information of recognized derivative instruments: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68"/>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Offset, But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Offset, But</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Net Amount</w:t>
            </w:r>
          </w:p>
        </w:tc>
      </w:tr>
      <w:tr>
        <w:trPr>
          <w:trHeight w:val="251"/>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r>
      <w:tr>
        <w:trPr>
          <w:trHeight w:val="262"/>
        </w:trPr>
        <w:tc>
          <w:tcPr>
            <w:tcW w:w="264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334.3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(136.4)</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197.9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77.4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20. FAIR VALUE MEASUREMENTS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6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securities</w:t>
            </w:r>
            <w:r>
              <w:rPr>
                <w:rFonts w:ascii="Arial" w:cs="Arial" w:eastAsia="Arial" w:hAnsi="Arial"/>
                <w:sz w:val="17"/>
                <w:szCs w:val="17"/>
                <w:color w:val="auto"/>
                <w:vertAlign w:val="superscript"/>
              </w:rPr>
              <w:t>(a)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340" w:type="dxa"/>
            <w:vAlign w:val="bottom"/>
          </w:tcPr>
          <w:p>
            <w:pPr>
              <w:ind w:left="280"/>
              <w:spacing w:after="0"/>
              <w:rPr>
                <w:sz w:val="20"/>
                <w:szCs w:val="20"/>
                <w:color w:val="auto"/>
              </w:rPr>
            </w:pPr>
            <w:r>
              <w:rPr>
                <w:rFonts w:ascii="Arial" w:cs="Arial" w:eastAsia="Arial" w:hAnsi="Arial"/>
                <w:sz w:val="14"/>
                <w:szCs w:val="14"/>
                <w:color w:val="auto"/>
              </w:rPr>
              <w:t>Money market fund</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Stable value fund</w:t>
            </w:r>
            <w:r>
              <w:rPr>
                <w:rFonts w:ascii="Arial" w:cs="Arial" w:eastAsia="Arial" w:hAnsi="Arial"/>
                <w:sz w:val="17"/>
                <w:szCs w:val="17"/>
                <w:color w:val="auto"/>
                <w:vertAlign w:val="superscript"/>
              </w:rPr>
              <w:t>(b)</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340" w:type="dxa"/>
            <w:vAlign w:val="bottom"/>
          </w:tcPr>
          <w:p>
            <w:pPr>
              <w:ind w:left="280"/>
              <w:spacing w:after="0"/>
              <w:rPr>
                <w:sz w:val="20"/>
                <w:szCs w:val="20"/>
                <w:color w:val="auto"/>
              </w:rPr>
            </w:pPr>
            <w:r>
              <w:rPr>
                <w:rFonts w:ascii="Arial" w:cs="Arial" w:eastAsia="Arial" w:hAnsi="Arial"/>
                <w:sz w:val="14"/>
                <w:szCs w:val="14"/>
                <w:color w:val="auto"/>
              </w:rPr>
              <w:t>Held-to-maturity debt securities</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tcPr>
          <w:p>
            <w:pPr>
              <w:ind w:left="280"/>
              <w:spacing w:after="0"/>
              <w:rPr>
                <w:sz w:val="20"/>
                <w:szCs w:val="20"/>
                <w:color w:val="auto"/>
              </w:rPr>
            </w:pPr>
            <w:r>
              <w:rPr>
                <w:rFonts w:ascii="Arial" w:cs="Arial" w:eastAsia="Arial" w:hAnsi="Arial"/>
                <w:sz w:val="14"/>
                <w:szCs w:val="14"/>
                <w:color w:val="auto"/>
              </w:rPr>
              <w:t>Synthetic bonds - call option premium</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color w:val="auto"/>
              </w:rPr>
              <w:t>Assets held for sale</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41"/>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3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Redeemable financial liability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408.5</w:t>
            </w:r>
          </w:p>
        </w:tc>
        <w:tc>
          <w:tcPr>
            <w:tcW w:w="0" w:type="dxa"/>
            <w:vAlign w:val="bottom"/>
          </w:tcPr>
          <w:p>
            <w:pPr>
              <w:spacing w:after="0"/>
              <w:rPr>
                <w:sz w:val="1"/>
                <w:szCs w:val="1"/>
                <w:color w:val="auto"/>
              </w:rPr>
            </w:pPr>
          </w:p>
        </w:tc>
      </w:tr>
      <w:tr>
        <w:trPr>
          <w:trHeight w:val="266"/>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Synthetic bonds - embedded derivatives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3340" w:type="dxa"/>
            <w:vAlign w:val="bottom"/>
          </w:tcPr>
          <w:p>
            <w:pPr>
              <w:ind w:left="28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318.6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held for sale</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41"/>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644.1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334.3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309.8</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424.7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54"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i w:val="1"/>
          <w:iCs w:val="1"/>
          <w:color w:val="auto"/>
        </w:rPr>
        <w:t xml:space="preserve">Equity securities and Available-for-sale securities - </w:t>
      </w:r>
      <w:r>
        <w:rPr>
          <w:rFonts w:ascii="Arial" w:cs="Arial" w:eastAsia="Arial" w:hAnsi="Arial"/>
          <w:sz w:val="18"/>
          <w:szCs w:val="18"/>
          <w:color w:val="auto"/>
        </w:rPr>
        <w:t>The fair value measurement of our traded securities and Available-for-sale securities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that we have the ability to access in public markets.</w:t>
      </w:r>
    </w:p>
    <w:p>
      <w:pPr>
        <w:spacing w:after="0" w:line="91"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Stable value fund and money market fund are valued at the net asset value of the shares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quarter, which is based on the fair value of the underlying investments using information reported by our investment advisor at quarter-end.</w:t>
      </w:r>
    </w:p>
    <w:p>
      <w:pPr>
        <w:spacing w:after="0" w:line="109"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 cost,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approximates fair value.</w:t>
      </w:r>
    </w:p>
    <w:p>
      <w:pPr>
        <w:spacing w:after="0" w:line="91"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i w:val="1"/>
          <w:iCs w:val="1"/>
          <w:color w:val="auto"/>
        </w:rPr>
        <w:t xml:space="preserve">Assets and liabilities held for sale - </w:t>
      </w:r>
      <w:r>
        <w:rPr>
          <w:rFonts w:ascii="Arial" w:cs="Arial" w:eastAsia="Arial" w:hAnsi="Arial"/>
          <w:sz w:val="18"/>
          <w:szCs w:val="18"/>
          <w:color w:val="auto"/>
        </w:rPr>
        <w:t>The fair value of our assets and liabilities held for sale was determined using a market approach that took</w:t>
      </w:r>
      <w:r>
        <w:rPr>
          <w:rFonts w:ascii="Arial" w:cs="Arial" w:eastAsia="Arial" w:hAnsi="Arial"/>
          <w:sz w:val="18"/>
          <w:szCs w:val="18"/>
          <w:i w:val="1"/>
          <w:iCs w:val="1"/>
          <w:color w:val="auto"/>
        </w:rPr>
        <w:t xml:space="preserve"> </w:t>
      </w:r>
      <w:r>
        <w:rPr>
          <w:rFonts w:ascii="Arial" w:cs="Arial" w:eastAsia="Arial" w:hAnsi="Arial"/>
          <w:sz w:val="18"/>
          <w:szCs w:val="18"/>
          <w:color w:val="auto"/>
        </w:rPr>
        <w:t>into consideration the expected sales price.</w:t>
      </w:r>
    </w:p>
    <w:p>
      <w:pPr>
        <w:spacing w:after="0" w:line="9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In the fourth quarter of 2016, we obtained voting control interests in legal Onshore/Offshore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which own and account for the design, engineering and construction of the Yamal LNG plant. As part of this transaction, we recognized the fair value of the mandatorily redeemable financial liability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the selected discount rate and the overall timing of completion of the project.</w:t>
      </w:r>
    </w:p>
    <w:p>
      <w:pPr>
        <w:spacing w:after="0" w:line="124"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A mandatorily redeemable financial liability of $408.5 million was recognized as of December 31, 2018 to account for the fair value of the non-controlling interests. See Note 10 to our condensed consolidated financial statements of this Quarterly Report for additional disclosure related to the short-term portion of the mandatorily redeemable financial liability.</w:t>
      </w:r>
    </w:p>
    <w:p>
      <w:pPr>
        <w:spacing w:after="0" w:line="10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 decrease of one percentage point in the discount rate would have increased the liability by $2.8 million as of September 30, 2019. The fair value measurement is based upon significant unobservable inputs not observable in the market and is consequently classified as a Level 3 fair value measurement.</w:t>
      </w:r>
    </w:p>
    <w:p>
      <w:pPr>
        <w:sectPr>
          <w:pgSz w:w="11900" w:h="16838" w:orient="portrait"/>
          <w:cols w:equalWidth="0" w:num="1">
            <w:col w:w="11420"/>
          </w:cols>
          <w:pgMar w:left="240" w:top="736" w:right="239"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736" w:right="239" w:bottom="1440" w:gutter="0" w:footer="0" w:header="0"/>
          <w:type w:val="continuous"/>
        </w:sectPr>
      </w:pPr>
    </w:p>
    <w:bookmarkStart w:id="35" w:name="page36"/>
    <w:bookmarkEnd w:id="35"/>
    <w:p>
      <w:pPr>
        <w:ind w:right="900"/>
        <w:spacing w:after="0" w:line="292"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18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6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3"/>
                <w:szCs w:val="23"/>
                <w:color w:val="auto"/>
              </w:rPr>
            </w:pPr>
          </w:p>
        </w:tc>
      </w:tr>
      <w:tr>
        <w:trPr>
          <w:trHeight w:val="264"/>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6"/>
              </w:rPr>
              <w:t>2018</w:t>
            </w:r>
          </w:p>
        </w:tc>
      </w:tr>
      <w:tr>
        <w:trPr>
          <w:trHeight w:val="251"/>
        </w:trPr>
        <w:tc>
          <w:tcPr>
            <w:tcW w:w="6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412.8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312.0</w:t>
            </w:r>
          </w:p>
        </w:tc>
      </w:tr>
      <w:tr>
        <w:trPr>
          <w:trHeight w:val="266"/>
        </w:trPr>
        <w:tc>
          <w:tcPr>
            <w:tcW w:w="6260" w:type="dxa"/>
            <w:vAlign w:val="bottom"/>
          </w:tcPr>
          <w:p>
            <w:pPr>
              <w:ind w:left="40"/>
              <w:spacing w:after="0"/>
              <w:rPr>
                <w:sz w:val="20"/>
                <w:szCs w:val="20"/>
                <w:color w:val="auto"/>
              </w:rPr>
            </w:pPr>
            <w:r>
              <w:rPr>
                <w:rFonts w:ascii="Arial" w:cs="Arial" w:eastAsia="Arial" w:hAnsi="Arial"/>
                <w:sz w:val="14"/>
                <w:szCs w:val="14"/>
                <w:color w:val="auto"/>
              </w:rPr>
              <w:t>Less: Gains (losses) recognized in net interest expense</w:t>
            </w:r>
          </w:p>
        </w:tc>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(213.5)</w:t>
            </w:r>
          </w:p>
        </w:tc>
      </w:t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Settlements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223.1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124.2</w:t>
            </w:r>
          </w:p>
        </w:tc>
      </w:tr>
      <w:tr>
        <w:trPr>
          <w:trHeight w:val="241"/>
        </w:trPr>
        <w:tc>
          <w:tcPr>
            <w:tcW w:w="6260" w:type="dxa"/>
            <w:vAlign w:val="bottom"/>
          </w:tcPr>
          <w:p>
            <w:pPr>
              <w:ind w:left="40"/>
              <w:spacing w:after="0"/>
              <w:rPr>
                <w:sz w:val="20"/>
                <w:szCs w:val="20"/>
                <w:color w:val="auto"/>
              </w:rPr>
            </w:pPr>
            <w:r>
              <w:rPr>
                <w:rFonts w:ascii="Arial" w:cs="Arial" w:eastAsia="Arial" w:hAnsi="Arial"/>
                <w:sz w:val="14"/>
                <w:szCs w:val="14"/>
                <w:b w:val="1"/>
                <w:bCs w:val="1"/>
                <w:color w:val="auto"/>
              </w:rPr>
              <w:t>Balance at end of period</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288.8</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288.8</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401.3</w:t>
            </w: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In the first quarter of 2018, we acquired a 51% share in Island Offshore. The noncontrolling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 mezzanine equity at fair value. The fair value measurement is based upon significant unobservable inputs not observable in the market and is consequently classified as a Level 3 fair value measurement. As of September 30, 2019 and December 31, 2018, the fair value of our redeemable noncontrolling interest was $38.5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3 to our condensed consolidated financial statements of this Quarterly Report for additional disclosure related to the acquisition.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23"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9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See Note 19 to our condensed consolidated financial statements of this Quarterly Report for additional disclosure related to derivative financial instruments.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respective carrying value and fair value of our Synthetic bonds and our Senior Notes and private placement notes on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basis as of September 30, 2019 was $1,926.8 million and $2,085.0 million, respectively. The respective carrying value and fair value of our Synthetic bonds and our Senior Notes and private placement notes on a combined basis as of December 31, 2018 were $1,998.6 million and $2,109.7 million.</w:t>
      </w:r>
    </w:p>
    <w:p>
      <w:pPr>
        <w:spacing w:after="0" w:line="11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as well as amounts included in other current assets and other current liabilities that meet the definition of financial instruments, approximate fair value.</w:t>
      </w:r>
    </w:p>
    <w:p>
      <w:pPr>
        <w:spacing w:after="0" w:line="1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collectibility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w:t>
      </w:r>
    </w:p>
    <w:p>
      <w:pPr>
        <w:spacing w:after="0" w:line="173"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In October 2019, we entered into an agreement to obtain voting control interests of legal entities that own the interest in Technip Odebrecht, currently accounted for as an equity method investment in our Subsea segment. This transaction is expected to close by December 31, 2019.</w:t>
      </w:r>
    </w:p>
    <w:p>
      <w:pPr>
        <w:spacing w:after="0" w:line="9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November 2019, we announced our intent to sell our G1201 vessel as part of our overall strategy to optimize the profile and size of our subsea fleet. We entered into a Memorandum of Agreement (MOA), which is subject to certain conditions precedent to complete the transaction. We expect to complete the sale in December 2019, as these conditions are met, including delivery of the vessel in December 2019.</w:t>
      </w:r>
    </w:p>
    <w:p>
      <w:pPr>
        <w:spacing w:after="0" w:line="11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Due to this transaction we reviewed the carrying value of the G1200 vessel, the sister vessel to the G1201, of similar design, asset class and functionality, as of September 30, 2019. As a result of this assessment, an impairment charge of $125.1 million was recorded on the two vessels.</w:t>
      </w:r>
    </w:p>
    <w:p>
      <w:pPr>
        <w:sectPr>
          <w:pgSz w:w="11900" w:h="16838" w:orient="portrait"/>
          <w:cols w:equalWidth="0" w:num="1">
            <w:col w:w="11400"/>
          </w:cols>
          <w:pgMar w:left="240" w:top="576" w:right="259" w:bottom="1440" w:gutter="0" w:footer="0" w:header="0"/>
        </w:sect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576" w:right="2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7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Overall Outlook - The price of crude oil has been on a gradual upward trend since the cyclical trough experienced in early 2016, although with continued price volatility. The sustainability of the price recovery and business activity levels is dependent on several variables, including geopolitical stability, OPEC’s actions to regulate its production capacity, changes in demand patterns, and international sanctions and tariffs. However, as long-term demand is forecast to rise and base production continues to naturally decline, we believe the macroeconomic backdrop will provide our customers with greater confidence to increase their investments in new sources of oil and natural gas production.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Subsea - </w:t>
      </w:r>
      <w:r>
        <w:rPr>
          <w:rFonts w:ascii="Arial" w:cs="Arial" w:eastAsia="Arial" w:hAnsi="Arial"/>
          <w:sz w:val="17"/>
          <w:szCs w:val="17"/>
          <w:color w:val="auto"/>
        </w:rPr>
        <w:t>The impact of the crude oil price decline earlier this decade and the subsequent low price environment led many of our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their capital spending plans and defer new offshore projects. During this period, we lowered our cost base through reductions in both workforce and physical manufacturing capacity. These actions led to improved cost efficiency and helped mitigate some of the negative impacts to our operating profit caused by the lower activity and reduced pricing. However, we remain committed to further developing and investing in our people and assets to ensure we have the core competencies and capabilities necessary for continued success during the market recovery.</w:t>
      </w: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lowered cost base combined with the aggressive cost reductions taken by our customers has caused project economics to improve. Many current and future offshore projects are deemed to be economic at current oil pricing level. While customer investment decisions can be delayed for a variety of reasons, we continue to work closely with our customers through early engagement in front end engineering and design (FEED) studies and the use of our unique integrated approach to subsea development (iEPCI™) to allow more project final investment decisions through the cycle. iEPCI™ can support clients’ initiatives to improve subsea project economics by helping to reduce cost and accelerate time to first oil. In the long term, we continue to believe that offshore and deepwater developments will remain a significant part of our customers’ portfolios.</w:t>
      </w:r>
    </w:p>
    <w:p>
      <w:pPr>
        <w:spacing w:after="0" w:line="12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outlook for the subsea industry continues to improve. We remain encouraged by the increased level of client engagement and project tendering. We have experienced growth in both the volume and value of subsea projects that have the potential for sanctioning over the intermediate term. Increased activity will also benefit the industry’s underutilized manufacturing and vessel capacity that has contributed to the pricing pressure.</w:t>
      </w:r>
    </w:p>
    <w:p>
      <w:pPr>
        <w:spacing w:after="0" w:line="11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 market activity continues to provide a tangible set of opportunities, particularly for natural gas monetization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as natural gas continues to take a larger share of global energy demand. Market conditions for liquefied natural gas (“LNG”) have improved as rising demand continues to rebalance an oversupplied market, which is driving an improved outlook.</w:t>
      </w:r>
    </w:p>
    <w:p>
      <w:pPr>
        <w:spacing w:after="0" w:line="109"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We are engaged in LNG FEED studies across multiple geographies. These FEED studies provide a platform for early engagement with clients and can significantly de-risk project execution while also supporting our pursuit of the engineering, procurement and construction contract.</w:t>
      </w:r>
    </w:p>
    <w:p>
      <w:pPr>
        <w:spacing w:after="0" w:line="9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Since June of 2019, a total of five LNG projects have been sanctioned or awarded initial scope ahead of final investment decision. Two of these projects - Arctic LNG 2 and Rovuma LNG - were awarded to TechnipFMC and our partners. We see potential for additional liquefaction and regasification capacity to be sanctioned in the near and intermediate term. As an industry leader, we are well positioned for this growth and are actively pursuing several opportunities.</w:t>
      </w:r>
    </w:p>
    <w:p>
      <w:pPr>
        <w:spacing w:after="0" w:line="116"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Additionally, we continue to selectively pursue refining, petrochemical, and fertilizer project opportunities in the Middle East, Africa, Asia, and North American markets.</w:t>
      </w:r>
    </w:p>
    <w:p>
      <w:pPr>
        <w:spacing w:after="0" w:line="9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After a period of rapid growth, the North America unconventional market is undergoing near-term volatility. Completions</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was reduced in the second half of 2018, stemming from pipeline take-away capacity constraints and exhaustion of operator capital budgets for exploration and production. Hydraulic fracturing activity slowed, particularly in the Permian basin.</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36" w:right="239" w:bottom="1440" w:gutter="0" w:footer="0" w:header="0"/>
        </w:sectPr>
      </w:pPr>
    </w:p>
    <w:bookmarkStart w:id="37" w:name="page38"/>
    <w:bookmarkEnd w:id="37"/>
    <w:p>
      <w:pPr>
        <w:spacing w:after="0" w:line="264" w:lineRule="auto"/>
        <w:rPr>
          <w:sz w:val="20"/>
          <w:szCs w:val="20"/>
          <w:color w:val="auto"/>
        </w:rPr>
      </w:pPr>
      <w:r>
        <w:rPr>
          <w:rFonts w:ascii="Arial" w:cs="Arial" w:eastAsia="Arial" w:hAnsi="Arial"/>
          <w:sz w:val="18"/>
          <w:szCs w:val="18"/>
          <w:color w:val="auto"/>
        </w:rPr>
        <w:t>North American activity continued to decline in the first nine months of 2019 in both drilling and completions-related activities. Reduced operator spending, mainly driven by increased capital discipline and by oil-price volatility, has also negatively impacted equipment and services pricing as the market adjusts to the excess capacity created by the lower activity. Despite the near-term volatility, we are continuing to introduce new, innovative commercial models in North America.</w:t>
      </w:r>
    </w:p>
    <w:p>
      <w:pPr>
        <w:spacing w:after="0" w:line="170"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Activity in our Surface Technologies business outside of North America has been more resilient. Activity has increased in the first nine months of 2019 compared with first nine months of 2018 and we expect activity to continue to be strong throughout the remainder of 2019.</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76"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2019 AND 2018</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71"/>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3,335.1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3,143.8</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Cost of sales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2,726.4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2,558.5</w:t>
            </w:r>
          </w:p>
        </w:tc>
        <w:tc>
          <w:tcPr>
            <w:tcW w:w="1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6.6</w:t>
            </w: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16)</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1,346.4</w:t>
            </w: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Separation costs (Note 2)</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n/a</w:t>
            </w: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Merger transaction and integration costs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4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3,221.0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2,863.7</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357.3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12.5</w:t>
            </w:r>
          </w:p>
        </w:tc>
      </w:tr>
      <w:tr>
        <w:trPr>
          <w:trHeight w:val="271"/>
        </w:trPr>
        <w:tc>
          <w:tcPr>
            <w:tcW w:w="56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(654.8)</w:t>
            </w: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from equity affiliates (Note 11)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w:t>
            </w:r>
          </w:p>
        </w:tc>
      </w:tr>
      <w:tr>
        <w:trPr>
          <w:trHeight w:val="266"/>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(9.9)</w:t>
            </w:r>
          </w:p>
        </w:tc>
      </w:tr>
      <w:tr>
        <w:trPr>
          <w:trHeight w:val="25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r>
      <w:tr>
        <w:trPr>
          <w:trHeight w:val="266"/>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 (Note 18)</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81.1</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21.6</w:t>
            </w:r>
          </w:p>
        </w:tc>
      </w:tr>
      <w:tr>
        <w:trPr>
          <w:trHeight w:val="25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134.2</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w:t>
            </w:r>
          </w:p>
        </w:tc>
      </w:tr>
      <w:tr>
        <w:trPr>
          <w:trHeight w:val="266"/>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loss attributable to noncontrolling interests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(240.7)</w:t>
            </w: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Revenue increased $191.3 million or 6.1% in the third quarter of 2019 compared to the third quarter of 2018, primarily as a result of increased project activity. Subsea revenue increased year-over-year with higher project-related activity and increased demand in services. Onshore/Offshore revenue also increased with recent awards in the downstream, petrochemical, and offshore sectors as well as a first contribution from Arctic LNG, partially offset by lower activity on Yamal LNG as the project nears completion. Surface Technologies’ revenue decreased modestly due to lower sales in North America resulting from lower drilling and completion activity, largely offset by revenue growth in international markets</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Gross profit (revenue less cost of sales) as a percentage of sales decreased modestly to 18.3% in the third quarter of 2019, from 18.6% in the prior year period.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Selling, general and administrative expense increased $47.5 million year-over-year, primarily as a result of increased corporate expense driven largely by accelerated IT spending.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71"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In the $140.3 million of restructuring and impairment charges during the third quarter of 2019, we recorded a $125.1 million vessel impairment charge in Subsea for the three months ended September 30, 2019. See Note 21 for further details.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71"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We incurred integration costs of $6.2 million during the third quarter of 2019, primarily due to integration activities pertaining to combining the two legacy companies.</w:t>
      </w:r>
    </w:p>
    <w:p>
      <w:pPr>
        <w:sectPr>
          <w:pgSz w:w="11900" w:h="16838" w:orient="portrait"/>
          <w:cols w:equalWidth="0" w:num="1">
            <w:col w:w="11420"/>
          </w:cols>
          <w:pgMar w:left="240" w:top="736" w:right="239" w:bottom="144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736"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Separation Costs</w:t>
      </w:r>
    </w:p>
    <w:p>
      <w:pPr>
        <w:spacing w:after="0" w:line="17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have incurred $9.4 million of separation costs associated with the preparation of the spin-off transaction during the third quarter 2019. Refer to Note 2 for further information regarding the planned spin-off transaction.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third quarter of 2019, we recognized $53.2 million of net foreign exchange losses, compared to $34.4 million of net foreign exchange losses in the third quarter of 2018. Foreign exchange losses resulted from the devaluation of unhedged currencies, primarily the Angolan Kwanza.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7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During three months ended September 30, 2019, we revalued the mandatorily redeemable financial liability to reflect current expectations about the obligation and recognized a charge of $ 99.1 million to reflect the incremental liability to our partners. Refer to Note 20 for further information regarding the fair value measurement assumptions of the mandatorily redeemable financial liability and related changes in its fair value. Net interest expense, excluding the fair value measurement of the mandatorily redeemable financial liability, also includes interest income and expenses, which were lower by $4.6 million on a net basis compared to three months ended September 30,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effective tax rate was (237.1)% and 33.2% for the three months ended September 30, 2019 and 2018, respectively. The year-over-year increase in the effective tax rate was primarily due to the increased impact of losses (including certain asset impairments) in jurisdictions with a full valuation allowance and an unfavorable change in earnings mix.</w:t>
      </w:r>
    </w:p>
    <w:p>
      <w:pPr>
        <w:spacing w:after="0" w:line="109"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76"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CONSOLIDATED RESULTS OF OPERATIONS OF TECHNIPFMC PLC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2019 AND 2018</w:t>
      </w:r>
    </w:p>
    <w:p>
      <w:pPr>
        <w:sectPr>
          <w:pgSz w:w="11900" w:h="16838" w:orient="portrait"/>
          <w:cols w:equalWidth="0" w:num="1">
            <w:col w:w="11420"/>
          </w:cols>
          <w:pgMar w:left="240" w:top="7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Costs and expenses</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Cost of sales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Selling, general and administrative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Research and development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Impairment, restructuring and other expenses (Note 16)</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Separation costs (Note 2)</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Merger transaction and integration costs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costs and expenses</w:t>
      </w:r>
    </w:p>
    <w:p>
      <w:pPr>
        <w:spacing w:after="0" w:line="38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from equity affiliates (Note 11)</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interest expense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(loss) before income taxes</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Provision for income taxes (Note 18)</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(loss)</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(income) loss attributable to noncontrolling interests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(loss) attributable to TechnipFMC plc</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268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23"/>
                <w:szCs w:val="23"/>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43"/>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9,682.3</w:t>
            </w:r>
          </w:p>
        </w:tc>
        <w:tc>
          <w:tcPr>
            <w:tcW w:w="120" w:type="dxa"/>
            <w:vAlign w:val="bottom"/>
          </w:tcPr>
          <w:p>
            <w:pPr>
              <w:spacing w:after="0"/>
              <w:rPr>
                <w:sz w:val="21"/>
                <w:szCs w:val="21"/>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9,229.9</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452.4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824"/>
        </w:trPr>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7,883.5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7,505.3</w:t>
            </w:r>
          </w:p>
        </w:tc>
        <w:tc>
          <w:tcPr>
            <w:tcW w:w="12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378.2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919.7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835.1</w:t>
            </w:r>
          </w:p>
        </w:tc>
        <w:tc>
          <w:tcPr>
            <w:tcW w:w="1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10.1</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166.0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409.2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n/a</w:t>
            </w:r>
          </w:p>
        </w:tc>
      </w:tr>
      <w:tr>
        <w:trPr>
          <w:trHeight w:val="274"/>
        </w:trPr>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49.3</w:t>
            </w:r>
          </w:p>
        </w:tc>
      </w:tr>
      <w:tr>
        <w:trPr>
          <w:trHeight w:val="246"/>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9,119.8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8,527.2</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592.6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6.9</w:t>
            </w:r>
          </w:p>
        </w:tc>
      </w:tr>
      <w:tr>
        <w:trPr>
          <w:trHeight w:val="540"/>
        </w:trPr>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(1,142.1)</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74"/>
        </w:trPr>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(345.3)</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(41.3)</w:t>
            </w:r>
          </w:p>
        </w:tc>
      </w:tr>
      <w:tr>
        <w:trPr>
          <w:trHeight w:val="246"/>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516.4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(77.8)</w:t>
            </w:r>
          </w:p>
        </w:tc>
      </w:tr>
      <w:tr>
        <w:trPr>
          <w:trHeight w:val="274"/>
        </w:trPr>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96.5</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246"/>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(94.6)</w:t>
            </w:r>
          </w:p>
        </w:tc>
      </w:tr>
      <w:tr>
        <w:trPr>
          <w:trHeight w:val="274"/>
        </w:trPr>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(1,070.0)</w:t>
            </w:r>
          </w:p>
        </w:tc>
      </w:tr>
      <w:tr>
        <w:trPr>
          <w:trHeight w:val="241"/>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337.7</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-3284220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-2932430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-2589530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-2245995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-1903095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-1560195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-1217295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-874395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-530860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-187960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00" w:space="720"/>
            <w:col w:w="5800"/>
          </w:cols>
          <w:pgMar w:left="240" w:top="736"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Revenue increased $452.4 million or 4.9% in the first nine months of 2019 compared to the prior-year period, primarily as a result of improved project activity. Subsea revenue increased year-over-year with higher project-related activity and increased demand in services. Onshore/Offshore revenue was stable as a decrease in revenues from projects progressing towards completion, primarily Yamal LNG, was largely offset by increased project activity in the Middle East and Asia Pacific regions. Surface Technologies revenue increased primarily as a result of improving order backlog from international markets, primarily in the Asia Pacific and Middle East regions.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Gross profit (revenue less cost of sales) as a percentage of sales remained flat at 18.6% in the first nine months of 2019, and 18.7% in the prior-year period.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Selling, general and administrative expense increased $84.6 million year-over-year, primarily as a result of increased corporate expense driven largely by accelerated IT spending as well as additional performance incentive compensation awards.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71"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color w:val="auto"/>
        </w:rPr>
        <w:t>In the $166.0 million of restructuring and impairment charges during the first nine months of 2019, we recorded a $125.1 million vessel impairment charge in Subsea for the nine months ended September 30, 2019. See Note 21 for further details.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71"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incurred merger transaction and integration costs of $31.2 million during the first nine months of 2019, primarily due to integration activities pertaining to combining the two legacy companies.</w:t>
      </w:r>
    </w:p>
    <w:p>
      <w:pPr>
        <w:sectPr>
          <w:pgSz w:w="11900" w:h="16838" w:orient="portrait"/>
          <w:cols w:equalWidth="0" w:num="1">
            <w:col w:w="11420"/>
          </w:cols>
          <w:pgMar w:left="240" w:top="736" w:right="239" w:bottom="1440" w:gutter="0" w:footer="0" w:header="0"/>
          <w:type w:val="continuous"/>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736"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Separation Costs</w:t>
      </w:r>
    </w:p>
    <w:p>
      <w:pPr>
        <w:spacing w:after="0" w:line="171" w:lineRule="exact"/>
        <w:rPr>
          <w:sz w:val="20"/>
          <w:szCs w:val="20"/>
          <w:color w:val="auto"/>
        </w:rPr>
      </w:pPr>
    </w:p>
    <w:p>
      <w:pPr>
        <w:ind w:right="2320"/>
        <w:spacing w:after="0" w:line="292" w:lineRule="auto"/>
        <w:rPr>
          <w:sz w:val="20"/>
          <w:szCs w:val="20"/>
          <w:color w:val="auto"/>
        </w:rPr>
      </w:pPr>
      <w:r>
        <w:rPr>
          <w:rFonts w:ascii="Arial" w:cs="Arial" w:eastAsia="Arial" w:hAnsi="Arial"/>
          <w:sz w:val="18"/>
          <w:szCs w:val="18"/>
          <w:color w:val="auto"/>
        </w:rPr>
        <w:t>We have incurred $9.4 million of separation costs associated with the preparation of the spin-off transaction during nine months of 2019. Refer to Note 2 for further information regarding the planned spin-off transaction.</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nine months of 2019, we recognized $82.8 million of net foreign exchange losses, compared with $77.7 million of net foreign exchange loss in the prior year period. Additionally we recognized $91.0 million for the global resolution to pay the Department of Justice. Refer to Note 17 for further information regarding the global resolution.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7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Net interest expense increased $ 101.0 million in the first nine months of 2019 compared to 2018, primarily due to the change in the fair value of the redeemable financial liability. We revalued the mandatorily redeemable financial liability to reflect current expectations about the obligation and recognized a charge of $324.0 million. See Note 20 for further information regarding the fair value measurement assumptions of the mandatorily redeemable financial liability and related changes in its fair value. Net interest expense, excluding the fair value measurement of the mandatorily redeemable financial liability, also includes interest income and expenses, which were lower by $9.5 million on a net basis as compared to the same period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effective tax rate was 84.1% and 35.0% for the nine months ended September 30, 2019 and 2018, respectively. The year-over-year increase in the effective tax rate was primarily due to the increased impact of losses (including certain asset impairments) in jurisdictions with a full valuation allowance and an unfavorable change in forecasted earnings mix, offset in part by recognized tax benefits related to the finalization of previously estimated tax liabilities based on the filing of tax returns in certain jurisdictions and the release of a valuation allowance previously recorded against certain deferred tax assets in Brazil.</w:t>
      </w:r>
    </w:p>
    <w:p>
      <w:pPr>
        <w:spacing w:after="0" w:line="121"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76"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SEPTEMBER 30, 2019 AND 2018</w:t>
      </w:r>
    </w:p>
    <w:p>
      <w:pPr>
        <w:spacing w:after="0" w:line="14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7 to our condensed consolidated financial statements of this Quarterly Report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71"/>
        </w:trPr>
        <w:tc>
          <w:tcPr>
            <w:tcW w:w="55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51"/>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1,342.2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1,209.1</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133.1</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r>
      <w:tr>
        <w:trPr>
          <w:trHeight w:val="266"/>
        </w:trPr>
        <w:tc>
          <w:tcPr>
            <w:tcW w:w="5520" w:type="dxa"/>
            <w:vAlign w:val="bottom"/>
          </w:tcPr>
          <w:p>
            <w:pPr>
              <w:ind w:left="40"/>
              <w:spacing w:after="0"/>
              <w:rPr>
                <w:sz w:val="20"/>
                <w:szCs w:val="20"/>
                <w:color w:val="auto"/>
              </w:rPr>
            </w:pPr>
            <w:r>
              <w:rPr>
                <w:rFonts w:ascii="Arial" w:cs="Arial" w:eastAsia="Arial" w:hAnsi="Arial"/>
                <w:sz w:val="14"/>
                <w:szCs w:val="14"/>
                <w:color w:val="auto"/>
              </w:rPr>
              <w:t>Operating profit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23"/>
                <w:szCs w:val="23"/>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(159.3)</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(199.9)</w:t>
            </w:r>
          </w:p>
        </w:tc>
      </w:tr>
      <w:tr>
        <w:trPr>
          <w:trHeight w:val="288"/>
        </w:trPr>
        <w:tc>
          <w:tcPr>
            <w:tcW w:w="5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2"/>
        </w:trPr>
        <w:tc>
          <w:tcPr>
            <w:tcW w:w="552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(12.5) pts.</w:t>
            </w:r>
          </w:p>
        </w:tc>
      </w:tr>
    </w:tbl>
    <w:p>
      <w:pPr>
        <w:spacing w:after="0" w:line="16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Subsea revenue increased $133.1 million or 11.0% year-over-year, primarily due to higher project-related activity and growth in Subsea services. Revenue growth was negatively impacted by the timing of key project milestones, shifting recognition of some anticipated revenue to future periods. The increase in Subsea services revenue was driven by higher installation, well intervention and asset refurbishment activities.</w:t>
      </w:r>
    </w:p>
    <w:p>
      <w:pPr>
        <w:spacing w:after="0" w:line="95"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Operating profit decreased from the prior-year quarter due to a higher mix of early phase projects, the impact of more competitively priced backlog and a vessel impairment charge of $125.1 million. See Note 21 for further details regarding the vessel impairment.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71"/>
        </w:trPr>
        <w:tc>
          <w:tcPr>
            <w:tcW w:w="55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1"/>
        </w:trPr>
        <w:tc>
          <w:tcPr>
            <w:tcW w:w="5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1,596.3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1,532.5</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6"/>
        </w:trPr>
        <w:tc>
          <w:tcPr>
            <w:tcW w:w="55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284.6</w:t>
            </w:r>
          </w:p>
        </w:tc>
        <w:tc>
          <w:tcPr>
            <w:tcW w:w="1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88"/>
        </w:trPr>
        <w:tc>
          <w:tcPr>
            <w:tcW w:w="5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2"/>
        </w:trPr>
        <w:tc>
          <w:tcPr>
            <w:tcW w:w="55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 pts.</w:t>
            </w:r>
          </w:p>
        </w:tc>
      </w:tr>
    </w:tbl>
    <w:p>
      <w:pPr>
        <w:spacing w:after="0" w:line="147"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Onshore/Offshore revenue increased $63.8 million or 4.2% year-over-year due to increased activity on recent awards in the downstream, petrochemical, and offshore sectors, more than offsetting a reduction in revenue from Yamal LNG as the project nears completion.</w:t>
      </w:r>
    </w:p>
    <w:p>
      <w:pPr>
        <w:spacing w:after="0" w:line="91"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Operating profit increased versus the prior-year quarter, due to incremental profit related to strong execution on Yamal LNG with close out of sub-contracts.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6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71"/>
        </w:trPr>
        <w:tc>
          <w:tcPr>
            <w:tcW w:w="5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w:t>
            </w:r>
          </w:p>
        </w:tc>
      </w:tr>
      <w:tr>
        <w:trPr>
          <w:trHeight w:val="251"/>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396.6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402.2</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66"/>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(88.2)</w:t>
            </w:r>
          </w:p>
        </w:tc>
      </w:tr>
      <w:tr>
        <w:trPr>
          <w:trHeight w:val="288"/>
        </w:trPr>
        <w:tc>
          <w:tcPr>
            <w:tcW w:w="5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2"/>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ind w:left="600"/>
              <w:spacing w:after="0"/>
              <w:rPr>
                <w:sz w:val="20"/>
                <w:szCs w:val="20"/>
                <w:color w:val="auto"/>
              </w:rPr>
            </w:pPr>
            <w:r>
              <w:rPr>
                <w:rFonts w:ascii="Arial" w:cs="Arial" w:eastAsia="Arial" w:hAnsi="Arial"/>
                <w:sz w:val="14"/>
                <w:szCs w:val="14"/>
                <w:color w:val="auto"/>
              </w:rPr>
              <w:t>(11.4) pts.</w:t>
            </w:r>
          </w:p>
        </w:tc>
      </w:tr>
    </w:tbl>
    <w:p>
      <w:pPr>
        <w:spacing w:after="0" w:line="147"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Surface Technologies revenue decreased $ 5.6 million or 1.4% year-over-year, primarily driven by lower sales in North America resulting from further reductions in drilling and completion activity, largely offset by revenue growth in international markets.</w:t>
      </w:r>
    </w:p>
    <w:p>
      <w:pPr>
        <w:spacing w:after="0" w:line="91" w:lineRule="exact"/>
        <w:rPr>
          <w:sz w:val="20"/>
          <w:szCs w:val="20"/>
          <w:color w:val="auto"/>
        </w:rPr>
      </w:pPr>
    </w:p>
    <w:p>
      <w:pPr>
        <w:ind w:right="1260"/>
        <w:spacing w:after="0" w:line="538" w:lineRule="auto"/>
        <w:rPr>
          <w:sz w:val="20"/>
          <w:szCs w:val="20"/>
          <w:color w:val="auto"/>
        </w:rPr>
      </w:pPr>
      <w:r>
        <w:rPr>
          <w:rFonts w:ascii="Arial" w:cs="Arial" w:eastAsia="Arial" w:hAnsi="Arial"/>
          <w:sz w:val="18"/>
          <w:szCs w:val="18"/>
          <w:color w:val="auto"/>
        </w:rPr>
        <w:t>Operating profit decreased versus the prior-year quarter primarily due to further declines in volume and pricing in North America 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 </w:t>
      </w:r>
      <w:r>
        <w:rPr>
          <w:rFonts w:ascii="Arial" w:cs="Arial" w:eastAsia="Arial" w:hAnsi="Arial"/>
          <w:sz w:val="18"/>
          <w:szCs w:val="18"/>
          <w:b w:val="1"/>
          <w:bCs w:val="1"/>
          <w:i w:val="1"/>
          <w:iCs w:val="1"/>
          <w:color w:val="auto"/>
        </w:rPr>
        <w:t>Corporate Items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71"/>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w:t>
            </w:r>
          </w:p>
        </w:tc>
      </w:tr>
    </w:tbl>
    <w:p>
      <w:pPr>
        <w:spacing w:after="0" w:line="13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Corporate expense in the third quarter was $128.8 million. This included charges and credits totaling $18.2 million of expense resulting from net legal provisions of $0.6 million, $9.4 million of expense primarily related to merger integration and $9.4 million expense related to the planned spin-off transaction. Excluding charges and credits, corporate expense was $110.6 million which included $53.2 million of foreign exchange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76"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2019 AND 2018</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7 to our condensed consolidated financial statements of this Quarterly Report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5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4,036.2</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3,606.7</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429.5</w:t>
            </w: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62"/>
        </w:trPr>
        <w:tc>
          <w:tcPr>
            <w:tcW w:w="55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8"/>
                <w:szCs w:val="18"/>
                <w:color w:val="auto"/>
              </w:rPr>
            </w:pPr>
          </w:p>
        </w:tc>
        <w:tc>
          <w:tcPr>
            <w:tcW w:w="50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58"/>
        </w:trPr>
        <w:tc>
          <w:tcPr>
            <w:tcW w:w="55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5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(4.2) pts.</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Subsea revenue increased $429.5 million or 11.9% year-over-year, primarily due to higher project-related activity and growth in Subsea services. Integrated project activity continues to represent an increasing share of revenue. The increase in Subsea services revenue was driven by higher installation, well intervention and asset refurbishment activities.</w:t>
      </w:r>
    </w:p>
    <w:p>
      <w:pPr>
        <w:spacing w:after="0" w:line="95"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Operating profit decreased year-over-year, primarily due to more competitively priced backlog and a vessel impairment charge of $125.1 million. See Note 21 for further details regarding the vessel impairment.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5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4,436.4</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4,448.3</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62"/>
        </w:trPr>
        <w:tc>
          <w:tcPr>
            <w:tcW w:w="55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714.3</w:t>
            </w:r>
          </w:p>
        </w:tc>
        <w:tc>
          <w:tcPr>
            <w:tcW w:w="100" w:type="dxa"/>
            <w:vAlign w:val="bottom"/>
          </w:tcPr>
          <w:p>
            <w:pPr>
              <w:spacing w:after="0"/>
              <w:rPr>
                <w:sz w:val="18"/>
                <w:szCs w:val="18"/>
                <w:color w:val="auto"/>
              </w:rPr>
            </w:pPr>
          </w:p>
        </w:tc>
        <w:tc>
          <w:tcPr>
            <w:tcW w:w="50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617.6</w:t>
            </w:r>
          </w:p>
        </w:tc>
        <w:tc>
          <w:tcPr>
            <w:tcW w:w="120" w:type="dxa"/>
            <w:vAlign w:val="bottom"/>
          </w:tcPr>
          <w:p>
            <w:pPr>
              <w:spacing w:after="0"/>
              <w:rPr>
                <w:sz w:val="18"/>
                <w:szCs w:val="18"/>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8"/>
                <w:szCs w:val="18"/>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58"/>
        </w:trPr>
        <w:tc>
          <w:tcPr>
            <w:tcW w:w="55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5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2.2 pts.</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Onshore/Offshore revenue decreased $11.9 million or 0.3% year-over-year. Revenue from Yamal LNG declined as we moved closer to completion, largely offset by increased activity on recent awards in the downstream, petrochemical and offshore sectors. Projects awarded in recent quarters are in early stages of completion and will contribute more significantly in subsequent quarters as the projects progress.</w:t>
      </w:r>
    </w:p>
    <w:p>
      <w:pPr>
        <w:spacing w:after="0" w:line="109"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Operating profit increased year-over-year, primarily due to strong project execution across many portfolio projects, primarily Yamal LNG, and a bonus for completion of key milestones on Yamal LNG.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Refer to ‘Non-GAAP Measures’ for further information regarding our segment operating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6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5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1,209.7</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1,174.9</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62"/>
        </w:trPr>
        <w:tc>
          <w:tcPr>
            <w:tcW w:w="55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8"/>
                <w:szCs w:val="18"/>
                <w:color w:val="auto"/>
              </w:rPr>
            </w:pPr>
          </w:p>
        </w:tc>
        <w:tc>
          <w:tcPr>
            <w:tcW w:w="50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58"/>
        </w:trPr>
        <w:tc>
          <w:tcPr>
            <w:tcW w:w="55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5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(7.9) pts.</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Surface Technologies revenue increased $34.8 million or 3.0% year-over-year, primarily driven by higher demand for pressure control equipment outside the Americas. North American revenue declined in the period as a result of lower activity.</w:t>
      </w:r>
    </w:p>
    <w:p>
      <w:pPr>
        <w:spacing w:after="0" w:line="91"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Operating profit decreased year-over-year, primarily due to the continued decline in completions-related activity, resulting in unfavorable product line mix and a weaker pricing environment in the North America market.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Refer to ‘Non-GAAP Measures’ for further information regarding our segment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(361.4)</w:t>
            </w:r>
          </w:p>
        </w:tc>
        <w:tc>
          <w:tcPr>
            <w:tcW w:w="12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62"/>
        </w:trPr>
        <w:tc>
          <w:tcPr>
            <w:tcW w:w="56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Corporate expense in the nine months ended September 30, 2019 was $361.4 million. This includes charges and credits totaling $ 108.7 million resulting from net legal provisions of $54.6 million, $44.7 million of expense primarily related to merger integration and $9.4 million expense related to the planned spin-off transaction. Excluding charges and credits, corporate expense was $252.7 million which included $82.8 million of foreign exchange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NON-GAAP MEASURES</w:t>
      </w:r>
    </w:p>
    <w:p>
      <w:pPr>
        <w:spacing w:after="0" w:line="173"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9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income, excluding charges and credits, as well as measures derived from it (excluding charges and credits; Income before net interest expense and taxes, excluding charges and credits ("Adjusted Operating profit"); Depreciation and amortization, excluding charges and credits (“Adjusted Depreciation and amortization”); Earnings before net interest expense, income taxes, depreciation and amortization, excluding charges and credits ("Adjusted EBITDA"); and net (debt) cash) are non-GAAP financial measures.</w:t>
      </w:r>
    </w:p>
    <w:p>
      <w:pPr>
        <w:spacing w:after="0" w:line="11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74" w:right="259" w:bottom="1440" w:gutter="0" w:footer="0" w:header="0"/>
        </w:sectPr>
      </w:pPr>
    </w:p>
    <w:bookmarkStart w:id="47" w:name="page48"/>
    <w:bookmarkEnd w:id="47"/>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194945</wp:posOffset>
            </wp:positionV>
            <wp:extent cx="5574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26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3"/>
                <w:szCs w:val="13"/>
                <w:b w:val="1"/>
                <w:bCs w:val="1"/>
                <w:color w:val="auto"/>
                <w:w w:val="97"/>
              </w:rPr>
              <w:t>September 30, 2019</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Income (loss)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Net income (loss)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expense, income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5"/>
              </w:rPr>
              <w:t>Net income (loss)</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before net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9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Provision for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Net interest</w:t>
            </w:r>
          </w:p>
        </w:tc>
        <w:tc>
          <w:tcPr>
            <w:tcW w:w="12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interest expense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 and</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9"/>
              </w:rPr>
              <w:t>income taxes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5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223.9</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126.1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126.3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126.3</w:t>
            </w: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80"/>
              <w:spacing w:after="0" w:line="140" w:lineRule="exact"/>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2"/>
                <w:szCs w:val="12"/>
                <w:color w:val="auto"/>
              </w:rPr>
            </w:pP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77"/>
        </w:trPr>
        <w:tc>
          <w:tcPr>
            <w:tcW w:w="264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Separation costs</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63"/>
        </w:trPr>
        <w:tc>
          <w:tcPr>
            <w:tcW w:w="2640" w:type="dxa"/>
            <w:vAlign w:val="bottom"/>
          </w:tcPr>
          <w:p>
            <w:pPr>
              <w:ind w:left="280"/>
              <w:spacing w:after="0"/>
              <w:rPr>
                <w:sz w:val="20"/>
                <w:szCs w:val="20"/>
                <w:color w:val="auto"/>
              </w:rPr>
            </w:pPr>
            <w:r>
              <w:rPr>
                <w:rFonts w:ascii="Arial" w:cs="Arial" w:eastAsia="Arial" w:hAnsi="Arial"/>
                <w:sz w:val="13"/>
                <w:szCs w:val="13"/>
                <w:color w:val="auto"/>
              </w:rPr>
              <w:t>Legal provision, net</w:t>
            </w:r>
          </w:p>
        </w:tc>
        <w:tc>
          <w:tcPr>
            <w:tcW w:w="100" w:type="dxa"/>
            <w:vAlign w:val="bottom"/>
          </w:tcPr>
          <w:p>
            <w:pPr>
              <w:spacing w:after="0"/>
              <w:rPr>
                <w:sz w:val="22"/>
                <w:szCs w:val="22"/>
                <w:color w:val="auto"/>
              </w:rPr>
            </w:pP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379.2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64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Diluted earnings (loss) per share attributable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(0.27)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 TechnipFMC plc, as reported</w:t>
            </w: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Adjusted diluted earnings per share</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0.12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40" w:type="dxa"/>
            <w:vAlign w:val="bottom"/>
          </w:tcPr>
          <w:p>
            <w:pPr>
              <w:ind w:left="40"/>
              <w:spacing w:after="0"/>
              <w:rPr>
                <w:sz w:val="20"/>
                <w:szCs w:val="20"/>
                <w:color w:val="auto"/>
              </w:rPr>
            </w:pPr>
            <w:r>
              <w:rPr>
                <w:rFonts w:ascii="Arial" w:cs="Arial" w:eastAsia="Arial" w:hAnsi="Arial"/>
                <w:sz w:val="13"/>
                <w:szCs w:val="13"/>
                <w:color w:val="auto"/>
              </w:rPr>
              <w:t>attributable to TechnipFMC plc</w:t>
            </w:r>
          </w:p>
        </w:tc>
        <w:tc>
          <w:tcPr>
            <w:tcW w:w="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437515</wp:posOffset>
            </wp:positionV>
            <wp:extent cx="5574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26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3"/>
                <w:szCs w:val="13"/>
                <w:b w:val="1"/>
                <w:bCs w:val="1"/>
                <w:color w:val="auto"/>
                <w:w w:val="97"/>
              </w:rPr>
              <w:t>September 30, 2018</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Income (loss)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Net income (loss)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expense, income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5"/>
              </w:rPr>
              <w:t>Net income (loss)</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before net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9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Provision for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Net interest</w:t>
            </w:r>
          </w:p>
        </w:tc>
        <w:tc>
          <w:tcPr>
            <w:tcW w:w="12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interest expense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 and</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9"/>
              </w:rPr>
              <w:t>income taxes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5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448.9</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80"/>
              <w:spacing w:after="0" w:line="140" w:lineRule="exact"/>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2"/>
                <w:szCs w:val="12"/>
                <w:color w:val="auto"/>
              </w:rPr>
            </w:pP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7"/>
        </w:trPr>
        <w:tc>
          <w:tcPr>
            <w:tcW w:w="264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on divestitures</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64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Diluted earnings per share attributable to</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Adjusted diluted earnings per share</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0.31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40" w:type="dxa"/>
            <w:vAlign w:val="bottom"/>
          </w:tcPr>
          <w:p>
            <w:pPr>
              <w:ind w:left="40"/>
              <w:spacing w:after="0"/>
              <w:rPr>
                <w:sz w:val="20"/>
                <w:szCs w:val="20"/>
                <w:color w:val="auto"/>
              </w:rPr>
            </w:pPr>
            <w:r>
              <w:rPr>
                <w:rFonts w:ascii="Arial" w:cs="Arial" w:eastAsia="Arial" w:hAnsi="Arial"/>
                <w:sz w:val="13"/>
                <w:szCs w:val="13"/>
                <w:color w:val="auto"/>
              </w:rPr>
              <w:t>attributable to TechnipFMC plc</w:t>
            </w:r>
          </w:p>
        </w:tc>
        <w:tc>
          <w:tcPr>
            <w:tcW w:w="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4" w:right="239" w:bottom="1440" w:gutter="0" w:footer="0" w:header="0"/>
        </w:sectPr>
      </w:pPr>
    </w:p>
    <w:bookmarkStart w:id="48" w:name="page49"/>
    <w:bookmarkEnd w:id="48"/>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194945</wp:posOffset>
            </wp:positionV>
            <wp:extent cx="5574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gridSpan w:val="5"/>
          </w:tcPr>
          <w:p>
            <w:pPr>
              <w:ind w:left="4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26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September 30, 2019</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Income before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Net income (loss)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expense, income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Net income</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9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Provision for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Net interest</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expense and</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 and</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income taxes</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9"/>
              </w:rPr>
              <w:t>income taxes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5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838.5</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127.0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127.5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127.5</w:t>
            </w: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38.5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80"/>
              <w:spacing w:after="0" w:line="140" w:lineRule="exact"/>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2"/>
                <w:szCs w:val="12"/>
                <w:color w:val="auto"/>
              </w:rPr>
            </w:pP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77"/>
        </w:trPr>
        <w:tc>
          <w:tcPr>
            <w:tcW w:w="264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Separation costs</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63"/>
        </w:trPr>
        <w:tc>
          <w:tcPr>
            <w:tcW w:w="2640" w:type="dxa"/>
            <w:vAlign w:val="bottom"/>
          </w:tcPr>
          <w:p>
            <w:pPr>
              <w:ind w:left="280"/>
              <w:spacing w:after="0"/>
              <w:rPr>
                <w:sz w:val="20"/>
                <w:szCs w:val="20"/>
                <w:color w:val="auto"/>
              </w:rPr>
            </w:pPr>
            <w:r>
              <w:rPr>
                <w:rFonts w:ascii="Arial" w:cs="Arial" w:eastAsia="Arial" w:hAnsi="Arial"/>
                <w:sz w:val="13"/>
                <w:szCs w:val="13"/>
                <w:color w:val="auto"/>
              </w:rPr>
              <w:t>Reorganization</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Legal provision, net</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263"/>
        </w:trPr>
        <w:tc>
          <w:tcPr>
            <w:tcW w:w="2640" w:type="dxa"/>
            <w:vAlign w:val="bottom"/>
          </w:tcPr>
          <w:p>
            <w:pPr>
              <w:ind w:left="28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1"/>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Valuation allowance</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3"/>
        </w:trPr>
        <w:tc>
          <w:tcPr>
            <w:tcW w:w="2640" w:type="dxa"/>
            <w:vAlign w:val="bottom"/>
          </w:tcPr>
          <w:p>
            <w:pPr>
              <w:ind w:left="40"/>
              <w:spacing w:after="0"/>
              <w:rPr>
                <w:sz w:val="20"/>
                <w:szCs w:val="20"/>
                <w:color w:val="auto"/>
              </w:rPr>
            </w:pPr>
            <w:r>
              <w:rPr>
                <w:rFonts w:ascii="Arial" w:cs="Arial" w:eastAsia="Arial" w:hAnsi="Arial"/>
                <w:sz w:val="13"/>
                <w:szCs w:val="13"/>
                <w:color w:val="auto"/>
              </w:rPr>
              <w:t>Adjusted financial measures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256.7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150.6</w:t>
            </w:r>
          </w:p>
        </w:tc>
        <w:tc>
          <w:tcPr>
            <w:tcW w:w="34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345.3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772.0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353.0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1,125.0</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Diluted earnings (loss) per share attributable</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640" w:type="dxa"/>
            <w:vAlign w:val="bottom"/>
          </w:tcPr>
          <w:p>
            <w:pPr>
              <w:ind w:left="40"/>
              <w:spacing w:after="0"/>
              <w:rPr>
                <w:sz w:val="20"/>
                <w:szCs w:val="20"/>
                <w:color w:val="auto"/>
              </w:rPr>
            </w:pPr>
            <w:r>
              <w:rPr>
                <w:rFonts w:ascii="Arial" w:cs="Arial" w:eastAsia="Arial" w:hAnsi="Arial"/>
                <w:sz w:val="13"/>
                <w:szCs w:val="13"/>
                <w:color w:val="auto"/>
              </w:rPr>
              <w:t>to TechnipFMC plc, as reported</w:t>
            </w:r>
          </w:p>
        </w:tc>
        <w:tc>
          <w:tcPr>
            <w:tcW w:w="10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Adjusted diluted earnings per share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attributable to TechnipFMC plc</w:t>
            </w: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428625</wp:posOffset>
            </wp:positionV>
            <wp:extent cx="5574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gridSpan w:val="5"/>
          </w:tcPr>
          <w:p>
            <w:pPr>
              <w:ind w:left="2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26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September 30, 2018</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Income before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Net income (loss)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expense, income</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5"/>
              </w:rPr>
              <w:t>Net income (loss)</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net interest</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40" w:type="dxa"/>
            <w:vAlign w:val="bottom"/>
          </w:tcPr>
          <w:p>
            <w:pPr>
              <w:spacing w:after="0"/>
              <w:rPr>
                <w:sz w:val="11"/>
                <w:szCs w:val="11"/>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Provision for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Net interest</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expense and</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Depreciation and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depreciation and</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noncontrolling</w:t>
            </w: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income taxes</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9"/>
              </w:rPr>
              <w:t>income taxes</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(Operating 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amortization</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25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180.7</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1,173.2</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22"/>
                <w:szCs w:val="22"/>
                <w:color w:val="auto"/>
              </w:rPr>
            </w:pPr>
          </w:p>
        </w:tc>
        <w:tc>
          <w:tcPr>
            <w:tcW w:w="106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Restructuring and other severance</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280"/>
              <w:spacing w:after="0" w:line="140" w:lineRule="exact"/>
              <w:rPr>
                <w:sz w:val="20"/>
                <w:szCs w:val="20"/>
                <w:color w:val="auto"/>
              </w:rPr>
            </w:pPr>
            <w:r>
              <w:rPr>
                <w:rFonts w:ascii="Arial" w:cs="Arial" w:eastAsia="Arial" w:hAnsi="Arial"/>
                <w:sz w:val="13"/>
                <w:szCs w:val="13"/>
                <w:color w:val="auto"/>
              </w:rPr>
              <w:t>Business combination transaction and</w:t>
            </w:r>
          </w:p>
        </w:tc>
        <w:tc>
          <w:tcPr>
            <w:tcW w:w="100" w:type="dxa"/>
            <w:vAlign w:val="bottom"/>
          </w:tcPr>
          <w:p>
            <w:pPr>
              <w:spacing w:after="0"/>
              <w:rPr>
                <w:sz w:val="12"/>
                <w:szCs w:val="12"/>
                <w:color w:val="auto"/>
              </w:rPr>
            </w:pP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vMerge w:val="restart"/>
          </w:tcPr>
          <w:p>
            <w:pPr>
              <w:jc w:val="right"/>
              <w:ind w:right="17"/>
              <w:spacing w:after="0"/>
              <w:rPr>
                <w:sz w:val="20"/>
                <w:szCs w:val="20"/>
                <w:color w:val="auto"/>
              </w:rPr>
            </w:pPr>
            <w:r>
              <w:rPr>
                <w:rFonts w:ascii="Arial" w:cs="Arial" w:eastAsia="Arial" w:hAnsi="Arial"/>
                <w:sz w:val="13"/>
                <w:szCs w:val="13"/>
                <w:color w:val="auto"/>
              </w:rPr>
              <w:t>7.0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77"/>
        </w:trPr>
        <w:tc>
          <w:tcPr>
            <w:tcW w:w="264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on divestitures</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50.9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66.5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(67.3)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financial measures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203.7</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849.1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1,194.3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64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Diluted earnings per share attributable to</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0.73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Adjusted diluted earnings per share</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57"/>
              <w:spacing w:after="0"/>
              <w:rPr>
                <w:sz w:val="20"/>
                <w:szCs w:val="20"/>
                <w:color w:val="auto"/>
              </w:rPr>
            </w:pPr>
            <w:r>
              <w:rPr>
                <w:rFonts w:ascii="Arial" w:cs="Arial" w:eastAsia="Arial" w:hAnsi="Arial"/>
                <w:sz w:val="13"/>
                <w:szCs w:val="13"/>
                <w:color w:val="auto"/>
              </w:rPr>
              <w:t>0.87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40" w:type="dxa"/>
            <w:vAlign w:val="bottom"/>
          </w:tcPr>
          <w:p>
            <w:pPr>
              <w:ind w:left="40"/>
              <w:spacing w:after="0"/>
              <w:rPr>
                <w:sz w:val="20"/>
                <w:szCs w:val="20"/>
                <w:color w:val="auto"/>
              </w:rPr>
            </w:pPr>
            <w:r>
              <w:rPr>
                <w:rFonts w:ascii="Arial" w:cs="Arial" w:eastAsia="Arial" w:hAnsi="Arial"/>
                <w:sz w:val="13"/>
                <w:szCs w:val="13"/>
                <w:color w:val="auto"/>
              </w:rPr>
              <w:t>attributable to TechnipFMC plc</w:t>
            </w:r>
          </w:p>
        </w:tc>
        <w:tc>
          <w:tcPr>
            <w:tcW w:w="1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74" w:right="239" w:bottom="1440" w:gutter="0" w:footer="0" w:header="0"/>
        </w:sectPr>
      </w:pPr>
    </w:p>
    <w:bookmarkStart w:id="49" w:name="page50"/>
    <w:bookmarkEnd w:id="49"/>
    <w:p>
      <w:pPr>
        <w:ind w:left="280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194945</wp:posOffset>
            </wp:positionV>
            <wp:extent cx="39960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6"/>
          </w:tcPr>
          <w:p>
            <w:pPr>
              <w:jc w:val="center"/>
              <w:ind w:left="82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Subsea</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09"/>
              <w:spacing w:after="0" w:line="133" w:lineRule="exact"/>
              <w:rPr>
                <w:sz w:val="20"/>
                <w:szCs w:val="20"/>
                <w:color w:val="auto"/>
              </w:rPr>
            </w:pPr>
            <w:r>
              <w:rPr>
                <w:rFonts w:ascii="Arial" w:cs="Arial" w:eastAsia="Arial" w:hAnsi="Arial"/>
                <w:sz w:val="13"/>
                <w:szCs w:val="13"/>
                <w:b w:val="1"/>
                <w:bCs w:val="1"/>
                <w:color w:val="auto"/>
              </w:rPr>
              <w:t>Onshore/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220"/>
              <w:spacing w:after="0" w:line="133" w:lineRule="exact"/>
              <w:rPr>
                <w:sz w:val="20"/>
                <w:szCs w:val="20"/>
                <w:color w:val="auto"/>
              </w:rPr>
            </w:pPr>
            <w:r>
              <w:rPr>
                <w:rFonts w:ascii="Arial" w:cs="Arial" w:eastAsia="Arial" w:hAnsi="Arial"/>
                <w:sz w:val="13"/>
                <w:szCs w:val="13"/>
                <w:b w:val="1"/>
                <w:bCs w:val="1"/>
                <w:color w:val="auto"/>
              </w:rPr>
              <w:t>Surface</w:t>
            </w:r>
          </w:p>
        </w:tc>
        <w:tc>
          <w:tcPr>
            <w:tcW w:w="12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Corporate and</w:t>
            </w:r>
          </w:p>
        </w:tc>
        <w:tc>
          <w:tcPr>
            <w:tcW w:w="260" w:type="dxa"/>
            <w:vAlign w:val="bottom"/>
          </w:tcPr>
          <w:p>
            <w:pPr>
              <w:spacing w:after="0"/>
              <w:rPr>
                <w:sz w:val="11"/>
                <w:szCs w:val="11"/>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5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Offshore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7"/>
              </w:rPr>
              <w:t>Technologies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1,342.2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1,596.3</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396.6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3,335.1</w:t>
            </w:r>
          </w:p>
        </w:tc>
        <w:tc>
          <w:tcPr>
            <w:tcW w:w="0" w:type="dxa"/>
            <w:vAlign w:val="bottom"/>
          </w:tcPr>
          <w:p>
            <w:pPr>
              <w:spacing w:after="0"/>
              <w:rPr>
                <w:sz w:val="1"/>
                <w:szCs w:val="1"/>
                <w:color w:val="auto"/>
              </w:rPr>
            </w:pPr>
          </w:p>
        </w:tc>
      </w:tr>
      <w:tr>
        <w:trPr>
          <w:trHeight w:val="284"/>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284.6</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284"/>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0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23"/>
                <w:szCs w:val="23"/>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126.3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74"/>
        </w:trPr>
        <w:tc>
          <w:tcPr>
            <w:tcW w:w="5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66"/>
        </w:trPr>
        <w:tc>
          <w:tcPr>
            <w:tcW w:w="510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40" w:type="dxa"/>
            <w:vAlign w:val="bottom"/>
          </w:tcPr>
          <w:p>
            <w:pPr>
              <w:spacing w:after="0"/>
              <w:rPr>
                <w:sz w:val="23"/>
                <w:szCs w:val="23"/>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4"/>
        </w:trPr>
        <w:tc>
          <w:tcPr>
            <w:tcW w:w="5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Separation costs</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66"/>
        </w:trPr>
        <w:tc>
          <w:tcPr>
            <w:tcW w:w="5100" w:type="dxa"/>
            <w:vAlign w:val="bottom"/>
          </w:tcPr>
          <w:p>
            <w:pPr>
              <w:ind w:left="280"/>
              <w:spacing w:after="0"/>
              <w:rPr>
                <w:sz w:val="20"/>
                <w:szCs w:val="20"/>
                <w:color w:val="auto"/>
              </w:rPr>
            </w:pPr>
            <w:r>
              <w:rPr>
                <w:rFonts w:ascii="Arial" w:cs="Arial" w:eastAsia="Arial" w:hAnsi="Arial"/>
                <w:sz w:val="14"/>
                <w:szCs w:val="14"/>
                <w:color w:val="auto"/>
              </w:rPr>
              <w:t>Legal provision, net</w:t>
            </w:r>
          </w:p>
        </w:tc>
        <w:tc>
          <w:tcPr>
            <w:tcW w:w="240" w:type="dxa"/>
            <w:vAlign w:val="bottom"/>
          </w:tcPr>
          <w:p>
            <w:pPr>
              <w:spacing w:after="0"/>
              <w:rPr>
                <w:sz w:val="23"/>
                <w:szCs w:val="23"/>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0"/>
        </w:trPr>
        <w:tc>
          <w:tcPr>
            <w:tcW w:w="5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50"/>
        </w:trPr>
        <w:tc>
          <w:tcPr>
            <w:tcW w:w="5100" w:type="dxa"/>
            <w:vAlign w:val="bottom"/>
          </w:tcPr>
          <w:p>
            <w:pPr>
              <w:ind w:left="48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139.7</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5.2</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288"/>
        </w:trPr>
        <w:tc>
          <w:tcPr>
            <w:tcW w:w="5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60.1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289.8</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246.1</w:t>
            </w:r>
          </w:p>
        </w:tc>
        <w:tc>
          <w:tcPr>
            <w:tcW w:w="0" w:type="dxa"/>
            <w:vAlign w:val="bottom"/>
          </w:tcPr>
          <w:p>
            <w:pPr>
              <w:spacing w:after="0"/>
              <w:rPr>
                <w:sz w:val="1"/>
                <w:szCs w:val="1"/>
                <w:color w:val="auto"/>
              </w:rPr>
            </w:pPr>
          </w:p>
        </w:tc>
      </w:tr>
      <w:tr>
        <w:trPr>
          <w:trHeight w:val="281"/>
        </w:trPr>
        <w:tc>
          <w:tcPr>
            <w:tcW w:w="5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0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23"/>
                <w:szCs w:val="23"/>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14.4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288"/>
        </w:trPr>
        <w:tc>
          <w:tcPr>
            <w:tcW w:w="5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304.2</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(108.5)</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379.2</w:t>
            </w:r>
          </w:p>
        </w:tc>
        <w:tc>
          <w:tcPr>
            <w:tcW w:w="0" w:type="dxa"/>
            <w:vAlign w:val="bottom"/>
          </w:tcPr>
          <w:p>
            <w:pPr>
              <w:spacing w:after="0"/>
              <w:rPr>
                <w:sz w:val="1"/>
                <w:szCs w:val="1"/>
                <w:color w:val="auto"/>
              </w:rPr>
            </w:pPr>
          </w:p>
        </w:tc>
      </w:tr>
      <w:tr>
        <w:trPr>
          <w:trHeight w:val="264"/>
        </w:trPr>
        <w:tc>
          <w:tcPr>
            <w:tcW w:w="5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100" w:type="dxa"/>
            <w:vAlign w:val="bottom"/>
          </w:tcPr>
          <w:p>
            <w:pPr>
              <w:ind w:left="20"/>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88"/>
        </w:trPr>
        <w:tc>
          <w:tcPr>
            <w:tcW w:w="5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0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88"/>
        </w:trPr>
        <w:tc>
          <w:tcPr>
            <w:tcW w:w="5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60" w:top="574" w:right="259" w:bottom="1440" w:gutter="0" w:footer="0" w:header="0"/>
        </w:sectPr>
      </w:pPr>
    </w:p>
    <w:bookmarkStart w:id="50" w:name="page51"/>
    <w:bookmarkEnd w:id="50"/>
    <w:p>
      <w:pPr>
        <w:ind w:left="280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194945</wp:posOffset>
            </wp:positionV>
            <wp:extent cx="3970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09"/>
              <w:spacing w:after="0" w:line="133" w:lineRule="exact"/>
              <w:rPr>
                <w:sz w:val="20"/>
                <w:szCs w:val="20"/>
                <w:color w:val="auto"/>
              </w:rPr>
            </w:pPr>
            <w:r>
              <w:rPr>
                <w:rFonts w:ascii="Arial" w:cs="Arial" w:eastAsia="Arial" w:hAnsi="Arial"/>
                <w:sz w:val="13"/>
                <w:szCs w:val="13"/>
                <w:b w:val="1"/>
                <w:bCs w:val="1"/>
                <w:color w:val="auto"/>
              </w:rPr>
              <w:t>Onshore/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right="260"/>
              <w:spacing w:after="0" w:line="133" w:lineRule="exact"/>
              <w:rPr>
                <w:sz w:val="20"/>
                <w:szCs w:val="20"/>
                <w:color w:val="auto"/>
              </w:rPr>
            </w:pPr>
            <w:r>
              <w:rPr>
                <w:rFonts w:ascii="Arial" w:cs="Arial" w:eastAsia="Arial" w:hAnsi="Arial"/>
                <w:sz w:val="13"/>
                <w:szCs w:val="13"/>
                <w:b w:val="1"/>
                <w:bCs w:val="1"/>
                <w:color w:val="auto"/>
                <w:w w:val="96"/>
              </w:rPr>
              <w:t>Surface</w:t>
            </w:r>
          </w:p>
        </w:tc>
        <w:tc>
          <w:tcPr>
            <w:tcW w:w="10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Corporate and</w:t>
            </w:r>
          </w:p>
        </w:tc>
        <w:tc>
          <w:tcPr>
            <w:tcW w:w="260" w:type="dxa"/>
            <w:vAlign w:val="bottom"/>
          </w:tcPr>
          <w:p>
            <w:pPr>
              <w:spacing w:after="0"/>
              <w:rPr>
                <w:sz w:val="11"/>
                <w:szCs w:val="11"/>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5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Offshore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1,209.1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1,532.5</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402.2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3,143.8</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 as reported (pre-tax)</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79.7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243.4</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 and (credits):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2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20" w:type="dxa"/>
            <w:vAlign w:val="bottom"/>
          </w:tcPr>
          <w:p>
            <w:pPr>
              <w:spacing w:after="0"/>
              <w:rPr>
                <w:sz w:val="23"/>
                <w:szCs w:val="2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divestitures</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Purchase price accounting adjustments - non-amortization related</w:t>
            </w:r>
          </w:p>
        </w:tc>
        <w:tc>
          <w:tcPr>
            <w:tcW w:w="22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50"/>
        </w:trPr>
        <w:tc>
          <w:tcPr>
            <w:tcW w:w="5140" w:type="dxa"/>
            <w:vAlign w:val="bottom"/>
          </w:tcPr>
          <w:p>
            <w:pPr>
              <w:ind w:left="480"/>
              <w:spacing w:after="0"/>
              <w:rPr>
                <w:sz w:val="20"/>
                <w:szCs w:val="20"/>
                <w:color w:val="auto"/>
              </w:rPr>
            </w:pPr>
            <w:r>
              <w:rPr>
                <w:rFonts w:ascii="Arial" w:cs="Arial" w:eastAsia="Arial" w:hAnsi="Arial"/>
                <w:sz w:val="14"/>
                <w:szCs w:val="14"/>
                <w:color w:val="auto"/>
              </w:rPr>
              <w:t>Subtotal</w:t>
            </w: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(28.5)</w:t>
            </w:r>
          </w:p>
        </w:tc>
        <w:tc>
          <w:tcPr>
            <w:tcW w:w="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88"/>
        </w:trPr>
        <w:tc>
          <w:tcPr>
            <w:tcW w:w="51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Operating profit (loss)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101.3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214.9</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54.0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311.8</w:t>
            </w:r>
          </w:p>
        </w:tc>
        <w:tc>
          <w:tcPr>
            <w:tcW w:w="0" w:type="dxa"/>
            <w:vAlign w:val="bottom"/>
          </w:tcPr>
          <w:p>
            <w:pPr>
              <w:spacing w:after="0"/>
              <w:rPr>
                <w:sz w:val="1"/>
                <w:szCs w:val="1"/>
                <w:color w:val="auto"/>
              </w:rPr>
            </w:pPr>
          </w:p>
        </w:tc>
      </w:tr>
      <w:tr>
        <w:trPr>
          <w:trHeight w:val="281"/>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20"/>
              <w:spacing w:after="0"/>
              <w:rPr>
                <w:sz w:val="20"/>
                <w:szCs w:val="20"/>
                <w:color w:val="auto"/>
              </w:rPr>
            </w:pPr>
            <w:r>
              <w:rPr>
                <w:rFonts w:ascii="Arial" w:cs="Arial" w:eastAsia="Arial" w:hAnsi="Arial"/>
                <w:sz w:val="14"/>
                <w:szCs w:val="14"/>
                <w:color w:val="auto"/>
              </w:rPr>
              <w:t>Adjusted Depreciation and amortization</w:t>
            </w:r>
          </w:p>
        </w:tc>
        <w:tc>
          <w:tcPr>
            <w:tcW w:w="22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12.4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88"/>
        </w:trPr>
        <w:tc>
          <w:tcPr>
            <w:tcW w:w="51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188.5</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227.3</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430.5</w:t>
            </w:r>
          </w:p>
        </w:tc>
        <w:tc>
          <w:tcPr>
            <w:tcW w:w="0" w:type="dxa"/>
            <w:vAlign w:val="bottom"/>
          </w:tcPr>
          <w:p>
            <w:pPr>
              <w:spacing w:after="0"/>
              <w:rPr>
                <w:sz w:val="1"/>
                <w:szCs w:val="1"/>
                <w:color w:val="auto"/>
              </w:rPr>
            </w:pPr>
          </w:p>
        </w:tc>
      </w:tr>
      <w:tr>
        <w:trPr>
          <w:trHeight w:val="264"/>
        </w:trPr>
        <w:tc>
          <w:tcPr>
            <w:tcW w:w="5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20"/>
              <w:spacing w:after="0"/>
              <w:rPr>
                <w:sz w:val="20"/>
                <w:szCs w:val="20"/>
                <w:color w:val="auto"/>
              </w:rPr>
            </w:pPr>
            <w:r>
              <w:rPr>
                <w:rFonts w:ascii="Arial" w:cs="Arial" w:eastAsia="Arial" w:hAnsi="Arial"/>
                <w:sz w:val="14"/>
                <w:szCs w:val="14"/>
                <w:color w:val="auto"/>
              </w:rPr>
              <w:t>Operating profit margin, as reported</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88"/>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20"/>
              <w:spacing w:after="0"/>
              <w:rPr>
                <w:sz w:val="20"/>
                <w:szCs w:val="20"/>
                <w:color w:val="auto"/>
              </w:rPr>
            </w:pPr>
            <w:r>
              <w:rPr>
                <w:rFonts w:ascii="Arial" w:cs="Arial" w:eastAsia="Arial" w:hAnsi="Arial"/>
                <w:sz w:val="14"/>
                <w:szCs w:val="14"/>
                <w:color w:val="auto"/>
              </w:rPr>
              <w:t>Adjusted Operating profit margin</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88"/>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60" w:top="574" w:right="259" w:bottom="1440" w:gutter="0" w:footer="0" w:header="0"/>
        </w:sectPr>
      </w:pPr>
    </w:p>
    <w:bookmarkStart w:id="51" w:name="page52"/>
    <w:bookmarkEnd w:id="51"/>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194945</wp:posOffset>
            </wp:positionV>
            <wp:extent cx="3970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49"/>
              <w:spacing w:after="0" w:line="133" w:lineRule="exact"/>
              <w:rPr>
                <w:sz w:val="20"/>
                <w:szCs w:val="20"/>
                <w:color w:val="auto"/>
              </w:rPr>
            </w:pPr>
            <w:r>
              <w:rPr>
                <w:rFonts w:ascii="Arial" w:cs="Arial" w:eastAsia="Arial" w:hAnsi="Arial"/>
                <w:sz w:val="13"/>
                <w:szCs w:val="13"/>
                <w:b w:val="1"/>
                <w:bCs w:val="1"/>
                <w:color w:val="auto"/>
              </w:rPr>
              <w:t>Onshore/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96"/>
              </w:rPr>
              <w:t>Surface</w:t>
            </w:r>
          </w:p>
        </w:tc>
        <w:tc>
          <w:tcPr>
            <w:tcW w:w="12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Corporate and</w:t>
            </w:r>
          </w:p>
        </w:tc>
        <w:tc>
          <w:tcPr>
            <w:tcW w:w="280" w:type="dxa"/>
            <w:vAlign w:val="bottom"/>
          </w:tcPr>
          <w:p>
            <w:pPr>
              <w:spacing w:after="0"/>
              <w:rPr>
                <w:sz w:val="11"/>
                <w:szCs w:val="11"/>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5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Offshore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4,036.2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4,436.4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1,209.7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9,682.3</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714.3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460.0</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Separation costs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Reorganization</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Legal provision, net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24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54"/>
        </w:trPr>
        <w:tc>
          <w:tcPr>
            <w:tcW w:w="51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163.5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36.4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108.7</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312.0</w:t>
            </w:r>
          </w:p>
        </w:tc>
        <w:tc>
          <w:tcPr>
            <w:tcW w:w="0" w:type="dxa"/>
            <w:vAlign w:val="bottom"/>
          </w:tcPr>
          <w:p>
            <w:pPr>
              <w:spacing w:after="0"/>
              <w:rPr>
                <w:sz w:val="1"/>
                <w:szCs w:val="1"/>
                <w:color w:val="auto"/>
              </w:rPr>
            </w:pPr>
          </w:p>
        </w:tc>
      </w:tr>
      <w:tr>
        <w:trPr>
          <w:trHeight w:val="284"/>
        </w:trPr>
        <w:tc>
          <w:tcPr>
            <w:tcW w:w="5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228.5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750.7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772.0</w:t>
            </w:r>
          </w:p>
        </w:tc>
        <w:tc>
          <w:tcPr>
            <w:tcW w:w="0" w:type="dxa"/>
            <w:vAlign w:val="bottom"/>
          </w:tcPr>
          <w:p>
            <w:pPr>
              <w:spacing w:after="0"/>
              <w:rPr>
                <w:sz w:val="1"/>
                <w:szCs w:val="1"/>
                <w:color w:val="auto"/>
              </w:rPr>
            </w:pPr>
          </w:p>
        </w:tc>
      </w:tr>
      <w:tr>
        <w:trPr>
          <w:trHeight w:val="281"/>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236.6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353.0</w:t>
            </w:r>
          </w:p>
        </w:tc>
        <w:tc>
          <w:tcPr>
            <w:tcW w:w="0" w:type="dxa"/>
            <w:vAlign w:val="bottom"/>
          </w:tcPr>
          <w:p>
            <w:pPr>
              <w:spacing w:after="0"/>
              <w:rPr>
                <w:sz w:val="1"/>
                <w:szCs w:val="1"/>
                <w:color w:val="auto"/>
              </w:rPr>
            </w:pPr>
          </w:p>
        </w:tc>
      </w:tr>
      <w:tr>
        <w:trPr>
          <w:trHeight w:val="284"/>
        </w:trPr>
        <w:tc>
          <w:tcPr>
            <w:tcW w:w="5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465.1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780.9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1,125.0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 margin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 margin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74" w:right="259" w:bottom="1440" w:gutter="0" w:footer="0" w:header="0"/>
        </w:sectPr>
      </w:pPr>
    </w:p>
    <w:bookmarkStart w:id="52" w:name="page53"/>
    <w:bookmarkEnd w:id="52"/>
    <w:p>
      <w:pPr>
        <w:ind w:left="28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194945</wp:posOffset>
            </wp:positionV>
            <wp:extent cx="3970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49"/>
              <w:spacing w:after="0" w:line="133" w:lineRule="exact"/>
              <w:rPr>
                <w:sz w:val="20"/>
                <w:szCs w:val="20"/>
                <w:color w:val="auto"/>
              </w:rPr>
            </w:pPr>
            <w:r>
              <w:rPr>
                <w:rFonts w:ascii="Arial" w:cs="Arial" w:eastAsia="Arial" w:hAnsi="Arial"/>
                <w:sz w:val="13"/>
                <w:szCs w:val="13"/>
                <w:b w:val="1"/>
                <w:bCs w:val="1"/>
                <w:color w:val="auto"/>
              </w:rPr>
              <w:t>Onshore/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96"/>
              </w:rPr>
              <w:t>Surface</w:t>
            </w:r>
          </w:p>
        </w:tc>
        <w:tc>
          <w:tcPr>
            <w:tcW w:w="12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Corporate and</w:t>
            </w:r>
          </w:p>
        </w:tc>
        <w:tc>
          <w:tcPr>
            <w:tcW w:w="280" w:type="dxa"/>
            <w:vAlign w:val="bottom"/>
          </w:tcPr>
          <w:p>
            <w:pPr>
              <w:spacing w:after="0"/>
              <w:rPr>
                <w:sz w:val="11"/>
                <w:szCs w:val="11"/>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5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Offshore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3,606.7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4,448.3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1,174.9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9,229.9</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617.6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760.7</w:t>
            </w: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 and (credits):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and other severance charges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Business combination transaction and integration costs</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4"/>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divestitures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66"/>
        </w:trPr>
        <w:tc>
          <w:tcPr>
            <w:tcW w:w="5140" w:type="dxa"/>
            <w:vAlign w:val="bottom"/>
          </w:tcPr>
          <w:p>
            <w:pPr>
              <w:ind w:left="280"/>
              <w:spacing w:after="0"/>
              <w:rPr>
                <w:sz w:val="20"/>
                <w:szCs w:val="20"/>
                <w:color w:val="auto"/>
              </w:rPr>
            </w:pPr>
            <w:r>
              <w:rPr>
                <w:rFonts w:ascii="Arial" w:cs="Arial" w:eastAsia="Arial" w:hAnsi="Arial"/>
                <w:sz w:val="14"/>
                <w:szCs w:val="14"/>
                <w:color w:val="auto"/>
              </w:rPr>
              <w:t>Purchase price accounting adjustments - non-amortization related</w:t>
            </w:r>
          </w:p>
        </w:tc>
        <w:tc>
          <w:tcPr>
            <w:tcW w:w="24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price accounting adjustments - amortization related</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50"/>
        </w:trPr>
        <w:tc>
          <w:tcPr>
            <w:tcW w:w="5140" w:type="dxa"/>
            <w:vAlign w:val="bottom"/>
          </w:tcPr>
          <w:p>
            <w:pPr>
              <w:ind w:left="50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288"/>
        </w:trPr>
        <w:tc>
          <w:tcPr>
            <w:tcW w:w="51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287.4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583.5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147.3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849.1</w:t>
            </w:r>
          </w:p>
        </w:tc>
        <w:tc>
          <w:tcPr>
            <w:tcW w:w="0" w:type="dxa"/>
            <w:vAlign w:val="bottom"/>
          </w:tcPr>
          <w:p>
            <w:pPr>
              <w:spacing w:after="0"/>
              <w:rPr>
                <w:sz w:val="1"/>
                <w:szCs w:val="1"/>
                <w:color w:val="auto"/>
              </w:rPr>
            </w:pPr>
          </w:p>
        </w:tc>
      </w:tr>
      <w:tr>
        <w:trPr>
          <w:trHeight w:val="281"/>
        </w:trPr>
        <w:tc>
          <w:tcPr>
            <w:tcW w:w="5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40"/>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23"/>
                <w:szCs w:val="23"/>
                <w:color w:val="auto"/>
              </w:rPr>
            </w:pP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345.2</w:t>
            </w:r>
          </w:p>
        </w:tc>
        <w:tc>
          <w:tcPr>
            <w:tcW w:w="0" w:type="dxa"/>
            <w:vAlign w:val="bottom"/>
          </w:tcPr>
          <w:p>
            <w:pPr>
              <w:spacing w:after="0"/>
              <w:rPr>
                <w:sz w:val="1"/>
                <w:szCs w:val="1"/>
                <w:color w:val="auto"/>
              </w:rPr>
            </w:pPr>
          </w:p>
        </w:tc>
      </w:tr>
      <w:tr>
        <w:trPr>
          <w:trHeight w:val="288"/>
        </w:trPr>
        <w:tc>
          <w:tcPr>
            <w:tcW w:w="51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4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551.7</w:t>
            </w:r>
          </w:p>
        </w:tc>
        <w:tc>
          <w:tcPr>
            <w:tcW w:w="10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613.2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(166.0)</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1,194.3</w:t>
            </w:r>
          </w:p>
        </w:tc>
        <w:tc>
          <w:tcPr>
            <w:tcW w:w="0" w:type="dxa"/>
            <w:vAlign w:val="bottom"/>
          </w:tcPr>
          <w:p>
            <w:pPr>
              <w:spacing w:after="0"/>
              <w:rPr>
                <w:sz w:val="1"/>
                <w:szCs w:val="1"/>
                <w:color w:val="auto"/>
              </w:rPr>
            </w:pPr>
          </w:p>
        </w:tc>
      </w:tr>
      <w:tr>
        <w:trPr>
          <w:trHeight w:val="264"/>
        </w:trPr>
        <w:tc>
          <w:tcPr>
            <w:tcW w:w="5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40"/>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88"/>
        </w:trPr>
        <w:tc>
          <w:tcPr>
            <w:tcW w:w="5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40" w:type="dxa"/>
            <w:vAlign w:val="bottom"/>
          </w:tcPr>
          <w:p>
            <w:pPr>
              <w:ind w:left="40"/>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88"/>
        </w:trPr>
        <w:tc>
          <w:tcPr>
            <w:tcW w:w="5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40" w:type="dxa"/>
            <w:vAlign w:val="bottom"/>
          </w:tcPr>
          <w:p>
            <w:pPr>
              <w:ind w:left="40"/>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74"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3"/>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9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22"/>
                <w:szCs w:val="22"/>
                <w:color w:val="auto"/>
              </w:rPr>
            </w:pPr>
          </w:p>
        </w:tc>
        <w:tc>
          <w:tcPr>
            <w:tcW w:w="2520" w:type="dxa"/>
            <w:vAlign w:val="bottom"/>
            <w:gridSpan w:val="4"/>
          </w:tcPr>
          <w:p>
            <w:pPr>
              <w:jc w:val="center"/>
              <w:ind w:right="408"/>
              <w:spacing w:after="0"/>
              <w:rPr>
                <w:sz w:val="20"/>
                <w:szCs w:val="20"/>
                <w:color w:val="auto"/>
              </w:rPr>
            </w:pPr>
            <w:r>
              <w:rPr>
                <w:rFonts w:ascii="Arial" w:cs="Arial" w:eastAsia="Arial" w:hAnsi="Arial"/>
                <w:sz w:val="14"/>
                <w:szCs w:val="14"/>
                <w:b w:val="1"/>
                <w:bCs w:val="1"/>
                <w:color w:val="auto"/>
              </w:rPr>
              <w:t>Nine Months Ended</w:t>
            </w:r>
          </w:p>
        </w:tc>
      </w:tr>
      <w:tr>
        <w:trPr>
          <w:trHeight w:val="271"/>
        </w:trPr>
        <w:tc>
          <w:tcPr>
            <w:tcW w:w="5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1,509.9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1,553.9</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6,820.3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4,297.9</w:t>
            </w:r>
          </w:p>
        </w:tc>
      </w:tr>
      <w:tr>
        <w:trPr>
          <w:trHeight w:val="266"/>
        </w:trPr>
        <w:tc>
          <w:tcPr>
            <w:tcW w:w="516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696.0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1,666.1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11,966.0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5,816.5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404.7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427.2</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1,188.3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1,251.5</w:t>
            </w:r>
          </w:p>
        </w:tc>
      </w:tr>
      <w:tr>
        <w:trPr>
          <w:trHeight w:val="241"/>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inbound orders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2,610.6</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3,647.2</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19,974.6</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11,365.9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 See</w:t>
      </w:r>
      <w:r>
        <w:rPr>
          <w:rFonts w:ascii="Arial" w:cs="Arial" w:eastAsia="Arial" w:hAnsi="Arial"/>
          <w:sz w:val="18"/>
          <w:szCs w:val="18"/>
          <w:i w:val="1"/>
          <w:iCs w:val="1"/>
          <w:color w:val="auto"/>
        </w:rPr>
        <w:t xml:space="preserve"> “Transaction Price Allocated to the Remaining Unsatisfied Performance Obligations” </w:t>
      </w:r>
      <w:r>
        <w:rPr>
          <w:rFonts w:ascii="Arial" w:cs="Arial" w:eastAsia="Arial" w:hAnsi="Arial"/>
          <w:sz w:val="18"/>
          <w:szCs w:val="18"/>
          <w:color w:val="auto"/>
        </w:rPr>
        <w:t>Note 6 to our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Quarterly Report for more information on order backlog.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Order Backlog</w:t>
            </w:r>
          </w:p>
        </w:tc>
      </w:tr>
      <w:tr>
        <w:trPr>
          <w:trHeight w:val="168"/>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5,999.6</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15,030.8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8,090.5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428.7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469.9</w:t>
            </w:r>
          </w:p>
        </w:tc>
      </w:tr>
      <w:tr>
        <w:trPr>
          <w:trHeight w:val="24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24,115.3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14,560.0</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September 30, 2019 increased by $2.7 billion compared to December 31, 2018. Subsea backlog of $8.7</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at September 30, 2019 was composed of various subsea projects, including Anadarko Golfinho; Petrobras pipelay support vessels and Mero I; Eni Coral and Merakes; Lundin Solveig and Rolvsnes; Equinor Johan Sverdrup Phase 2; Neptune Cara &amp; Gioa and Seagull; Energean Karish; Reliance MJ1; BP Thunderhorse South Extension 2; and ExxonMobil Liza Phase 2.</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Onshore/Offshore order backlog at September 30, 2019 increased by $6.9 billion compared to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Onshore/Offshore backlog of $15.0 billion was composed of various projects, including Arctic LNG 2, Yamal LNG; Midor refinery expansion; BP Tortue FPSO; ExxonMobil Beaumont refinery expansion; Long Son Petrochemicals; Energean Karish; HURL fertilizer plants; Neste bio-diesel expansion; and HPCL Visakh refinery.</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at September 30, 2019 decreased by $41.2 million compared to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Given the short-cycle nature of the business, most orders are quickly converted into sales revenue; longer contracts are typically converted within twelve months.</w:t>
      </w:r>
    </w:p>
    <w:p>
      <w:pPr>
        <w:spacing w:after="0" w:line="109" w:lineRule="exact"/>
        <w:rPr>
          <w:sz w:val="20"/>
          <w:szCs w:val="20"/>
          <w:color w:val="auto"/>
        </w:rPr>
      </w:pPr>
    </w:p>
    <w:p>
      <w:pPr>
        <w:ind w:right="1060"/>
        <w:spacing w:after="0" w:line="29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28"/>
              <w:spacing w:after="0"/>
              <w:rPr>
                <w:sz w:val="20"/>
                <w:szCs w:val="20"/>
                <w:color w:val="auto"/>
              </w:rPr>
            </w:pPr>
            <w:r>
              <w:rPr>
                <w:rFonts w:ascii="Arial" w:cs="Arial" w:eastAsia="Arial" w:hAnsi="Arial"/>
                <w:sz w:val="14"/>
                <w:szCs w:val="14"/>
                <w:b w:val="1"/>
                <w:bCs w:val="1"/>
                <w:color w:val="auto"/>
              </w:rPr>
              <w:t>Non-consolidated</w:t>
            </w:r>
          </w:p>
        </w:tc>
      </w:tr>
      <w:tr>
        <w:trPr>
          <w:trHeight w:val="203"/>
        </w:trPr>
        <w:tc>
          <w:tcPr>
            <w:tcW w:w="9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backlog</w:t>
            </w:r>
          </w:p>
        </w:tc>
      </w:tr>
      <w:tr>
        <w:trPr>
          <w:trHeight w:val="168"/>
        </w:trPr>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rPr>
              <w:t>September 30,</w:t>
            </w:r>
          </w:p>
        </w:tc>
      </w:tr>
      <w:tr>
        <w:trPr>
          <w:trHeight w:val="203"/>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2019</w:t>
            </w:r>
          </w:p>
        </w:tc>
      </w:tr>
      <w:tr>
        <w:trPr>
          <w:trHeight w:val="211"/>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842.1</w:t>
            </w:r>
          </w:p>
        </w:tc>
      </w:tr>
      <w:tr>
        <w:trPr>
          <w:trHeight w:val="21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2,632.0</w:t>
            </w:r>
          </w:p>
        </w:tc>
      </w:tr>
      <w:tr>
        <w:trPr>
          <w:trHeight w:val="21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3,474.1</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3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globally and in many operating jurisdictions to best meet the liquidity needs of our global operations. Under current U.S. law, as amended by the Tax Cuts and Jobs Act, signed into law on December 22, 2017, any repatriation to the United States in the form of a dividend would generally be eligible for a 100% dividend received deduction and therefore would not be subject to U.S. federal income tax.</w:t>
      </w:r>
    </w:p>
    <w:p>
      <w:pPr>
        <w:spacing w:after="0" w:line="116"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9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21"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251"/>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5,540.0</w:t>
            </w:r>
          </w:p>
        </w:tc>
      </w:tr>
      <w:tr>
        <w:trPr>
          <w:trHeight w:val="266"/>
        </w:trPr>
        <w:tc>
          <w:tcPr>
            <w:tcW w:w="8100" w:type="dxa"/>
            <w:vAlign w:val="bottom"/>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(67.4)</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portion</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(3,608.8)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(4,124.3)</w:t>
            </w:r>
          </w:p>
        </w:tc>
      </w:tr>
      <w:tr>
        <w:trPr>
          <w:trHeight w:val="241"/>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Net cash</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1,348.3</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generated $289.4 million of cash from operating activities during the nine months ended September 30, 2019 as compared to $344.7 million cash used by operating activities during the same period in 2018. The change was primarily due to a decrease in cash paid to settle trade payables during the nine months ended September 30, 2019 and an increase in contract liabilities, partially offset by a decrease in other current liabilities.</w:t>
      </w:r>
    </w:p>
    <w:p>
      <w:pPr>
        <w:spacing w:after="0" w:line="116"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Investing activities consumed $357.2 million and $358.2 million of cash during the nine months ended September 30, 2019 and 2018, respectively. The cash consumed by investing activities remained flat.</w:t>
      </w:r>
    </w:p>
    <w:p>
      <w:pPr>
        <w:spacing w:after="0" w:line="9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Financing activities used $ 898.9 million and $403.0 million of cash during the nine months ended September 30, 2019 and 2018, respectively. The increase in cash used by financing activities was primarily due to repayments of commercial papers and settlements of mandatorily redeemable financial liability during the nine months ended September 30, 2019.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Facility - </w:t>
      </w:r>
      <w:r>
        <w:rPr>
          <w:rFonts w:ascii="Arial" w:cs="Arial" w:eastAsia="Arial" w:hAnsi="Arial"/>
          <w:sz w:val="18"/>
          <w:szCs w:val="18"/>
          <w:color w:val="auto"/>
        </w:rPr>
        <w:t>The following is a summary of our revolving credit facility at September 30,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Commercial</w:t>
            </w:r>
          </w:p>
        </w:tc>
        <w:tc>
          <w:tcPr>
            <w:tcW w:w="28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Letters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68"/>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Paper</w:t>
            </w:r>
          </w:p>
        </w:tc>
        <w:tc>
          <w:tcPr>
            <w:tcW w:w="280" w:type="dxa"/>
            <w:vAlign w:val="bottom"/>
          </w:tcPr>
          <w:p>
            <w:pPr>
              <w:spacing w:after="0"/>
              <w:rPr>
                <w:sz w:val="14"/>
                <w:szCs w:val="1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of</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Unused</w:t>
            </w:r>
          </w:p>
        </w:tc>
        <w:tc>
          <w:tcPr>
            <w:tcW w:w="1360" w:type="dxa"/>
            <w:vAlign w:val="bottom"/>
          </w:tcPr>
          <w:p>
            <w:pPr>
              <w:spacing w:after="0"/>
              <w:rPr>
                <w:sz w:val="14"/>
                <w:szCs w:val="14"/>
                <w:color w:val="auto"/>
              </w:rPr>
            </w:pPr>
          </w:p>
        </w:tc>
      </w:tr>
      <w:tr>
        <w:trPr>
          <w:trHeight w:val="164"/>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center"/>
              <w:ind w:left="18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4" w:lineRule="exact"/>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(a)</w:t>
            </w:r>
          </w:p>
        </w:tc>
        <w:tc>
          <w:tcPr>
            <w:tcW w:w="280" w:type="dxa"/>
            <w:vAlign w:val="bottom"/>
          </w:tcPr>
          <w:p>
            <w:pPr>
              <w:spacing w:after="0"/>
              <w:rPr>
                <w:sz w:val="14"/>
                <w:szCs w:val="1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Credit</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Capacity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Five-year 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1,639.7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2023</w:t>
            </w:r>
          </w:p>
        </w:tc>
      </w:tr>
    </w:tbl>
    <w:p>
      <w:pPr>
        <w:spacing w:after="0" w:line="149" w:lineRule="exact"/>
        <w:rPr>
          <w:sz w:val="20"/>
          <w:szCs w:val="20"/>
          <w:color w:val="auto"/>
        </w:rPr>
      </w:pPr>
    </w:p>
    <w:p>
      <w:pPr>
        <w:ind w:left="340" w:right="500" w:hanging="332"/>
        <w:spacing w:after="0" w:line="29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8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$ 1,639.7 million of commercial paper issued under our facility at September 30, 2019. As we had both the ability and intent to refinance these obligations on a long-term basis, our commercial paper borrowings were classified as long-term debt in the accompanying condensed consolidated balance sheets at September 30, 2019.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3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As of September 30, 2019, we were in compliance with all restrictive covenants under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our condensed consolidated financial statements of this Quarterly Report for more information related to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Valuations of derivative assets and liabilities reflect the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16"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Additional information about credit risk is incorporated herein by reference to Note 20 to our condensed consolidated financial statements of this Quarterly Report.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7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Historically, we have generated our liquidity and capital resources primarily through operations and, when needed, through our credit facility. We have $860.3 million of capacity available under our revolving credit facility that we expect to utilize if working capital needs temporarily increase. The volatility in credit, equity and commodity markets creates some uncertainty for our businesses.</w:t>
      </w:r>
    </w:p>
    <w:p>
      <w:pPr>
        <w:spacing w:after="0" w:line="10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project spending approximately $350.0 million in 2019 for capital expenditures. Projected capital expenditures for 2019 do not include any contingent capital that may be needed to respond to a contract award and exclude $80.0 million in spending in the first quarter related to the purchase of a deepwater dive support vessel, Deep Discoverer, that was subsequently funded through a sale-leaseback transaction.</w:t>
      </w: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57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3"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Refer to our Annual Report on Form 10-K for the year ended December 31, 2018 for a discussion of our critical accounting estimates. During the nine months ended September 30, 2019, there were no changes to our identified critical accounting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impact on our operating profit a result of changes in contract estimates related to projects that were in progress at the prior year end is presented below.</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Our operating profit was positively impacted by approximately $289.0 million and $721.3 million for the three and nine months ended September 30, 2019, respectively, comprised of $225.3 million and $63.7 million for the three months ended September 30, 2019 and $482.2 million and $239.1 million for the nine months ended September 30, 2019 in our Onshore/Offshore and Subsea segments, respectively.</w:t>
      </w:r>
    </w:p>
    <w:p>
      <w:pPr>
        <w:spacing w:after="0" w:line="92"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Our operating profit was positively impacted by approximately $180.5 million and $471.6 million for the three and nine months ended September 30, 2018, respectively, comprised of $143.6 million and $36.9 million for the three months ended September 30, 2018 and $367.0 million and $104.6 million for the nine months ended September 30, 2018 in our Onshore/Offshore and Subsea segments,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contract estimates are attributed to better than expected performance throughout our execution of our projects.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736"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OTHER MATTERS</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U.S. Securities and Exchange Commission (“SEC”).</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2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0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16"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91" w:lineRule="exact"/>
        <w:rPr>
          <w:sz w:val="20"/>
          <w:szCs w:val="20"/>
          <w:color w:val="auto"/>
        </w:rPr>
      </w:pPr>
    </w:p>
    <w:p>
      <w:pPr>
        <w:jc w:val="both"/>
        <w:ind w:right="660"/>
        <w:spacing w:after="0" w:line="271"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0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736"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quantitative and qualitative disclosures about market risk affecting TechnipFMC, see Part II, Item 7A, “Quantitative and Qualitative Disclosures About Market Risk,” in our Annual Report on Form 10-K for the year ended December 31, 2018. Our exposure to market risk has not changed materially since December 31, 2018.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of September 30, 2019, and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as of September 30, 2019, that our disclosure controls and procedures were not effective because of the material weaknesses in our internal control over financial reporting that were disclosed in our Annual Report on Form 10-K for the year ended December 31, 2018 (“Form 10-K”).</w:t>
      </w:r>
    </w:p>
    <w:p>
      <w:pPr>
        <w:spacing w:after="0" w:line="121"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As disclosed in Part II, Item 9A, “Controls and Procedures” in our Form 10-K, we identified material weaknesses in internal control over financial reporting in the following areas:</w:t>
      </w:r>
    </w:p>
    <w:p>
      <w:pPr>
        <w:spacing w:after="0" w:line="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Period-End Financial Reporting</w:t>
      </w:r>
    </w:p>
    <w:p>
      <w:pPr>
        <w:spacing w:after="0" w:line="171" w:lineRule="exact"/>
        <w:rPr>
          <w:sz w:val="20"/>
          <w:szCs w:val="20"/>
          <w:color w:val="auto"/>
        </w:rPr>
      </w:pPr>
    </w:p>
    <w:p>
      <w:pPr>
        <w:ind w:left="620" w:right="360"/>
        <w:spacing w:after="0" w:line="292" w:lineRule="auto"/>
        <w:rPr>
          <w:sz w:val="20"/>
          <w:szCs w:val="20"/>
          <w:color w:val="auto"/>
        </w:rPr>
      </w:pPr>
      <w:r>
        <w:rPr>
          <w:rFonts w:ascii="Arial" w:cs="Arial" w:eastAsia="Arial" w:hAnsi="Arial"/>
          <w:sz w:val="18"/>
          <w:szCs w:val="18"/>
          <w:color w:val="auto"/>
        </w:rPr>
        <w:t>In certain locations, we did not design and maintain effective controls over the period-end financial reporting process. We have ineffective controls over the documentation, authorization, and review of adjustments to and reconciliations of financial information.</w:t>
      </w:r>
    </w:p>
    <w:p>
      <w:pPr>
        <w:spacing w:after="0" w:line="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(ii) Accounting for Income Taxes</w:t>
      </w:r>
    </w:p>
    <w:p>
      <w:pPr>
        <w:spacing w:after="0" w:line="171" w:lineRule="exact"/>
        <w:rPr>
          <w:sz w:val="20"/>
          <w:szCs w:val="20"/>
          <w:color w:val="auto"/>
        </w:rPr>
      </w:pPr>
    </w:p>
    <w:p>
      <w:pPr>
        <w:ind w:left="620" w:right="400"/>
        <w:spacing w:after="0" w:line="292" w:lineRule="auto"/>
        <w:rPr>
          <w:sz w:val="20"/>
          <w:szCs w:val="20"/>
          <w:color w:val="auto"/>
        </w:rPr>
      </w:pPr>
      <w:r>
        <w:rPr>
          <w:rFonts w:ascii="Arial" w:cs="Arial" w:eastAsia="Arial" w:hAnsi="Arial"/>
          <w:sz w:val="18"/>
          <w:szCs w:val="18"/>
          <w:color w:val="auto"/>
        </w:rPr>
        <w:t>We did not design and maintain effective controls over the completeness, accuracy, and presentation of our accounting for income taxes, including the income tax provision and related income tax assets and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Remediation Efforts</w:t>
      </w:r>
    </w:p>
    <w:p>
      <w:pPr>
        <w:spacing w:after="0" w:line="171"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In response to the material weaknesses identified and described above, our management, with the oversight of the Audit Committee of our Board of Directors, will continue through 2019 to dedicate significant efforts and resources to further improve our control environment and to take steps to remediate these material weaknesses.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Except for changes in connection with our implementation of the remediation measures or as described above, there were no changes in our internal control over financial reporting during the three months ended September 30, 2019 that have materially affected, or are reasonably likely to materially affect, our internal control over financial reporting.</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736"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A purported shareholder class action filed in 2017 and amended in January 2018 and captioned </w:t>
      </w:r>
      <w:r>
        <w:rPr>
          <w:rFonts w:ascii="Arial" w:cs="Arial" w:eastAsia="Arial" w:hAnsi="Arial"/>
          <w:sz w:val="18"/>
          <w:szCs w:val="18"/>
          <w:i w:val="1"/>
          <w:iCs w:val="1"/>
          <w:color w:val="auto"/>
        </w:rPr>
        <w:t>Prause v. TechnipFMC, et al.</w:t>
      </w:r>
      <w:r>
        <w:rPr>
          <w:rFonts w:ascii="Arial" w:cs="Arial" w:eastAsia="Arial" w:hAnsi="Arial"/>
          <w:sz w:val="18"/>
          <w:szCs w:val="18"/>
          <w:color w:val="auto"/>
        </w:rPr>
        <w:t>, No. 4:17-cv-02368 (S.D. Texas) is pending in the U.S. District Court for the Southern District of Texas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A remaining claim for alleged violation of Section 11 of the Securities Act in connection with the reporting of certain financial results in the Company’s Form S-4 Registration Statement filed in 2016 is pending and seeks unspecified damages. The Company is vigorously contesting the litigation and cannot predict its duration or outcome.</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In addition to our risk factors previously disclosed in Part I, Item 1A of our Annual Report on Form 10-K for the year ended December 31, 2018, the following risk factors were identified or modified:</w:t>
      </w:r>
    </w:p>
    <w:p>
      <w:pPr>
        <w:spacing w:after="0" w:line="91"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b w:val="1"/>
          <w:bCs w:val="1"/>
          <w:i w:val="1"/>
          <w:iCs w:val="1"/>
          <w:color w:val="auto"/>
        </w:rPr>
        <w:t>The proposed separation and spin-off transaction announced on August 26, 2019 is contingent upon the satisfaction of a number of conditions, may require significant time and attention of our management, and may not achieve the intended results.</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previously disclosed, our Board of Directors unanimously approved a plan to separate into two independent, publicly traded companies. For more information, please refer to Note 2 to our condensed consolidated financial statements of this Quarterly Report. The completion of the transaction, which is expected to be structured as a spin-off of our Onshore/Offshore segment, including Genesis, a leader in front-end engineering and design, as well as Loading Systems, a leader in cryogenic material transfer products, and Cybernetix, a technology leader in process automation, is contingent upon the final approval of our Board of Directors as well as market conditions and the receipt of regulatory approvals, which are beyond our control, as well as consultation of employee representatives, where applicable. We may also choose to abandon the spin-off at any time. For these and other reasons, the spin-off may not be completed in the expected timeframe or at all. Additionally, the execution of the proposed spin-off will likely continue to require significant time and attention of our management, which could impact other strategic initiatives. Our employees may also be uncertain about their future roles within the separate companies pending the completion of the spin-off, which could lead to departures. In addition, if the spin-off is completed, we may not realize its expected benefits. Any such difficulties could have an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September 30,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September 30, 2019.</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736"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Paid per</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4"/>
                <w:szCs w:val="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Purchased</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Share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4"/>
                <w:szCs w:val="4"/>
                <w:color w:val="auto"/>
              </w:rPr>
            </w:pPr>
          </w:p>
        </w:tc>
        <w:tc>
          <w:tcPr>
            <w:tcW w:w="2040" w:type="dxa"/>
            <w:vAlign w:val="bottom"/>
            <w:vMerge w:val="restart"/>
          </w:tcPr>
          <w:p>
            <w:pPr>
              <w:jc w:val="center"/>
              <w:spacing w:after="0" w:line="164" w:lineRule="exact"/>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7"/>
                <w:szCs w:val="17"/>
                <w:b w:val="1"/>
                <w:bCs w:val="1"/>
                <w:color w:val="auto"/>
                <w:vertAlign w:val="superscript"/>
              </w:rPr>
              <w:t>(b)</w:t>
            </w:r>
          </w:p>
        </w:tc>
        <w:tc>
          <w:tcPr>
            <w:tcW w:w="0" w:type="dxa"/>
            <w:vAlign w:val="bottom"/>
          </w:tcPr>
          <w:p>
            <w:pPr>
              <w:spacing w:after="0"/>
              <w:rPr>
                <w:sz w:val="1"/>
                <w:szCs w:val="1"/>
                <w:color w:val="auto"/>
              </w:rPr>
            </w:pPr>
          </w:p>
        </w:tc>
      </w:tr>
      <w:tr>
        <w:trPr>
          <w:trHeight w:val="107"/>
        </w:trPr>
        <w:tc>
          <w:tcPr>
            <w:tcW w:w="4020" w:type="dxa"/>
            <w:vAlign w:val="bottom"/>
            <w:gridSpan w:val="3"/>
            <w:vMerge w:val="continue"/>
          </w:tcPr>
          <w:p>
            <w:pPr>
              <w:spacing w:after="0"/>
              <w:rPr>
                <w:sz w:val="9"/>
                <w:szCs w:val="9"/>
                <w:color w:val="auto"/>
              </w:rPr>
            </w:pPr>
          </w:p>
        </w:tc>
        <w:tc>
          <w:tcPr>
            <w:tcW w:w="1500" w:type="dxa"/>
            <w:vAlign w:val="bottom"/>
          </w:tcPr>
          <w:p>
            <w:pPr>
              <w:jc w:val="center"/>
              <w:spacing w:after="0"/>
              <w:rPr>
                <w:sz w:val="20"/>
                <w:szCs w:val="20"/>
                <w:color w:val="auto"/>
              </w:rPr>
            </w:pPr>
            <w:r>
              <w:rPr>
                <w:rFonts w:ascii="Arial" w:cs="Arial" w:eastAsia="Arial" w:hAnsi="Arial"/>
                <w:sz w:val="9"/>
                <w:szCs w:val="9"/>
                <w:b w:val="1"/>
                <w:bCs w:val="1"/>
                <w:color w:val="auto"/>
                <w:w w:val="90"/>
              </w:rPr>
              <w:t>(a)</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July 1, 2019 - July 31, 2019</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36,000</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25.27</w:t>
            </w:r>
          </w:p>
        </w:tc>
        <w:tc>
          <w:tcPr>
            <w:tcW w:w="120" w:type="dxa"/>
            <w:vAlign w:val="bottom"/>
            <w:shd w:val="clear" w:color="auto" w:fill="CCEEFF"/>
          </w:tcPr>
          <w:p>
            <w:pPr>
              <w:spacing w:after="0"/>
              <w:rPr>
                <w:sz w:val="16"/>
                <w:szCs w:val="16"/>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36,000</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62"/>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020" w:type="dxa"/>
            <w:vAlign w:val="bottom"/>
            <w:gridSpan w:val="3"/>
          </w:tcPr>
          <w:p>
            <w:pPr>
              <w:ind w:left="40"/>
              <w:spacing w:after="0"/>
              <w:rPr>
                <w:sz w:val="20"/>
                <w:szCs w:val="20"/>
                <w:color w:val="auto"/>
              </w:rPr>
            </w:pPr>
            <w:r>
              <w:rPr>
                <w:rFonts w:ascii="Arial" w:cs="Arial" w:eastAsia="Arial" w:hAnsi="Arial"/>
                <w:sz w:val="14"/>
                <w:szCs w:val="14"/>
                <w:color w:val="auto"/>
              </w:rPr>
              <w:t>August 1, 2019 - August 31, 2019</w:t>
            </w: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September 1, 2019 - September 30, 2019</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67"/>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2040" w:type="dxa"/>
            <w:vAlign w:val="bottom"/>
            <w:tcBorders>
              <w:bottom w:val="single" w:sz="8" w:color="auto"/>
            </w:tcBorders>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36,000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36,000</w:t>
            </w:r>
          </w:p>
        </w:tc>
        <w:tc>
          <w:tcPr>
            <w:tcW w:w="2140" w:type="dxa"/>
            <w:vAlign w:val="bottom"/>
            <w:gridSpan w:val="2"/>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36,000 ordinary shares repurchased and canceled.</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December 2018, our Board of Directors authorized an extension of our share repurchase program for $300.0 million for the purchase of ordinary shares.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Within the second quarter 2018, management decided to wind down all business in Iran, with the exception of seeking to collect outstanding receivables for work previously completed. Since the second quarter 2018, the Company has not and will not accept any new work in Iran.</w:t>
      </w:r>
    </w:p>
    <w:p>
      <w:pPr>
        <w:spacing w:after="0" w:line="9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Pursuant to section 13(r) of the Exchange Act, two of our non-U.S. subsidiaries had contracts with entities in Iran. Pursuant to these contracts, which were terminated in the first and second quarter 2018, we prepared a feasibility study related to improvements to an olefins plant in Iran and also provided engineering and design services for the construction of an ethylene plant in Iran. We have not received any revenue under either of these contracts for the quarter ended September 30, 2019. The expected revenue related to services performed prior to contract termination for the olefins plant and the ethylene plant is 260,000 Euros and 4,000,000 Euros, respectively, which is less than 0.1% of our revenues for the fiscal year ended December 31, 2018. We also had a non-binding arrangement with an engineering, procurement, and construction company in Iran for the purpose of jointly bidding and negotiating for work on two projects in Iran, which we terminated in third quarter 2018. No projects were pursued under the non-binding agreement and no revenue was generated.</w:t>
      </w:r>
    </w:p>
    <w:p>
      <w:pPr>
        <w:spacing w:after="0" w:line="12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had submitted bids to or had discussions with companies in Iran, including some that may be owned or controlled by the Government of Iran, regarding potential future projects in Iran. In third quarter 2018, we withdrew all pending bids in Iran and will not accept a contract award related to such a project.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7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6.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7"/>
                <w:szCs w:val="17"/>
                <w:color w:val="auto"/>
              </w:rPr>
            </w:pPr>
          </w:p>
        </w:tc>
        <w:tc>
          <w:tcPr>
            <w:tcW w:w="9780" w:type="dxa"/>
            <w:vAlign w:val="bottom"/>
            <w:gridSpan w:val="5"/>
          </w:tcPr>
          <w:p>
            <w:pPr>
              <w:spacing w:after="0"/>
              <w:rPr>
                <w:sz w:val="20"/>
                <w:szCs w:val="20"/>
                <w:color w:val="auto"/>
              </w:rPr>
            </w:pPr>
            <w:r>
              <w:rPr>
                <w:rFonts w:ascii="Arial" w:cs="Arial" w:eastAsia="Arial" w:hAnsi="Arial"/>
                <w:sz w:val="14"/>
                <w:szCs w:val="14"/>
                <w:b w:val="1"/>
                <w:bCs w:val="1"/>
                <w:color w:val="auto"/>
              </w:rPr>
              <w:t>Exhibit Description</w:t>
            </w:r>
          </w:p>
        </w:tc>
      </w:tr>
      <w:tr>
        <w:trPr>
          <w:trHeight w:val="170"/>
        </w:trPr>
        <w:tc>
          <w:tcPr>
            <w:tcW w:w="1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31.1</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780" w:type="dxa"/>
            <w:vAlign w:val="bottom"/>
            <w:tcBorders>
              <w:top w:val="single" w:sz="8" w:color="auto"/>
            </w:tcBorders>
            <w:gridSpan w:val="5"/>
            <w:shd w:val="clear" w:color="auto" w:fill="CCEEFF"/>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Certification of Chief Executive Officer Pursuant to Rule 13a-14(a) and Rule 15d-14(a).</w:t>
              </w:r>
            </w:hyperlink>
          </w:p>
        </w:tc>
      </w:tr>
      <w:tr>
        <w:trPr>
          <w:trHeight w:val="61"/>
        </w:trPr>
        <w:tc>
          <w:tcPr>
            <w:tcW w:w="1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8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780" w:type="dxa"/>
            <w:vAlign w:val="bottom"/>
            <w:tcBorders>
              <w:top w:val="single" w:sz="8" w:color="CCEEFF"/>
            </w:tcBorders>
            <w:shd w:val="clear" w:color="auto" w:fill="CCEEFF"/>
          </w:tcPr>
          <w:p>
            <w:pPr>
              <w:spacing w:after="0"/>
              <w:rPr>
                <w:sz w:val="5"/>
                <w:szCs w:val="5"/>
                <w:color w:val="auto"/>
              </w:rPr>
            </w:pPr>
          </w:p>
        </w:tc>
      </w:tr>
      <w:tr>
        <w:trPr>
          <w:trHeight w:val="176"/>
        </w:trPr>
        <w:tc>
          <w:tcPr>
            <w:tcW w:w="150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5"/>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Certification of Chief Financial Officer Pursuant to Rule 13a-14(a) and Rule 15d-14(a).</w:t>
              </w:r>
            </w:hyperlink>
          </w:p>
        </w:tc>
      </w:tr>
      <w:tr>
        <w:trPr>
          <w:trHeight w:val="75"/>
        </w:trPr>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8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780" w:type="dxa"/>
            <w:vAlign w:val="bottom"/>
          </w:tcPr>
          <w:p>
            <w:pPr>
              <w:spacing w:after="0"/>
              <w:rPr>
                <w:sz w:val="6"/>
                <w:szCs w:val="6"/>
                <w:color w:val="auto"/>
              </w:rPr>
            </w:pPr>
          </w:p>
        </w:tc>
      </w:tr>
      <w:tr>
        <w:trPr>
          <w:trHeight w:val="17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80" w:type="dxa"/>
            <w:vAlign w:val="bottom"/>
            <w:gridSpan w:val="5"/>
            <w:shd w:val="clear" w:color="auto" w:fill="CCEEFF"/>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Certification of Chief Executive Officer Under Section 906 of the Sarbanes-Oxley Act of 2002, 18 U.S.C. 1350.</w:t>
              </w:r>
            </w:hyperlink>
          </w:p>
        </w:tc>
      </w:tr>
      <w:tr>
        <w:trPr>
          <w:trHeight w:val="75"/>
        </w:trPr>
        <w:tc>
          <w:tcPr>
            <w:tcW w:w="15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48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1440" w:type="dxa"/>
            <w:vAlign w:val="bottom"/>
            <w:tcBorders>
              <w:top w:val="single" w:sz="8" w:color="0000FF"/>
            </w:tcBorders>
            <w:shd w:val="clear" w:color="auto" w:fill="CCEEFF"/>
          </w:tcPr>
          <w:p>
            <w:pPr>
              <w:spacing w:after="0"/>
              <w:rPr>
                <w:sz w:val="6"/>
                <w:szCs w:val="6"/>
                <w:color w:val="auto"/>
              </w:rPr>
            </w:pPr>
          </w:p>
        </w:tc>
        <w:tc>
          <w:tcPr>
            <w:tcW w:w="40" w:type="dxa"/>
            <w:vAlign w:val="bottom"/>
            <w:tcBorders>
              <w:top w:val="single" w:sz="8" w:color="0000FF"/>
            </w:tcBorders>
            <w:shd w:val="clear" w:color="auto" w:fill="CCEEFF"/>
          </w:tcPr>
          <w:p>
            <w:pPr>
              <w:spacing w:after="0"/>
              <w:rPr>
                <w:sz w:val="6"/>
                <w:szCs w:val="6"/>
                <w:color w:val="auto"/>
              </w:rPr>
            </w:pPr>
          </w:p>
        </w:tc>
        <w:tc>
          <w:tcPr>
            <w:tcW w:w="2780" w:type="dxa"/>
            <w:vAlign w:val="bottom"/>
            <w:tcBorders>
              <w:top w:val="single" w:sz="8" w:color="CCEEFF"/>
            </w:tcBorders>
            <w:shd w:val="clear" w:color="auto" w:fill="CCEEFF"/>
          </w:tcPr>
          <w:p>
            <w:pPr>
              <w:spacing w:after="0"/>
              <w:rPr>
                <w:sz w:val="6"/>
                <w:szCs w:val="6"/>
                <w:color w:val="auto"/>
              </w:rPr>
            </w:pPr>
          </w:p>
        </w:tc>
      </w:tr>
      <w:tr>
        <w:trPr>
          <w:trHeight w:val="176"/>
        </w:trPr>
        <w:tc>
          <w:tcPr>
            <w:tcW w:w="150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5"/>
          </w:tcPr>
          <w:p>
            <w:pPr>
              <w:spacing w:after="0"/>
              <w:rPr>
                <w:rFonts w:ascii="Arial" w:cs="Arial" w:eastAsia="Arial" w:hAnsi="Arial"/>
                <w:sz w:val="14"/>
                <w:szCs w:val="14"/>
                <w:color w:val="0000FF"/>
              </w:rPr>
            </w:pPr>
            <w:hyperlink w:anchor="page67">
              <w:r>
                <w:rPr>
                  <w:rFonts w:ascii="Arial" w:cs="Arial" w:eastAsia="Arial" w:hAnsi="Arial"/>
                  <w:sz w:val="14"/>
                  <w:szCs w:val="14"/>
                  <w:color w:val="0000FF"/>
                </w:rPr>
                <w:t>Certification of Chief Financial Officer Under Section 906 of the Sarbanes-Oxley Act of 2002, 18 U.S.C. 1350.</w:t>
              </w:r>
            </w:hyperlink>
          </w:p>
        </w:tc>
      </w:tr>
      <w:tr>
        <w:trPr>
          <w:trHeight w:val="75"/>
        </w:trPr>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8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44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2780" w:type="dxa"/>
            <w:vAlign w:val="bottom"/>
          </w:tcPr>
          <w:p>
            <w:pPr>
              <w:spacing w:after="0"/>
              <w:rPr>
                <w:sz w:val="6"/>
                <w:szCs w:val="6"/>
                <w:color w:val="auto"/>
              </w:rPr>
            </w:pPr>
          </w:p>
        </w:tc>
      </w:tr>
      <w:tr>
        <w:trPr>
          <w:trHeight w:val="176"/>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101.INS</w:t>
            </w:r>
          </w:p>
        </w:tc>
        <w:tc>
          <w:tcPr>
            <w:tcW w:w="20" w:type="dxa"/>
            <w:vAlign w:val="bottom"/>
            <w:shd w:val="clear" w:color="auto" w:fill="CCEEFF"/>
          </w:tcPr>
          <w:p>
            <w:pPr>
              <w:spacing w:after="0"/>
              <w:rPr>
                <w:sz w:val="15"/>
                <w:szCs w:val="15"/>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w:t>
            </w:r>
          </w:p>
        </w:tc>
      </w:tr>
      <w:tr>
        <w:trPr>
          <w:trHeight w:val="202"/>
        </w:trPr>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document.</w:t>
            </w:r>
          </w:p>
        </w:tc>
      </w:tr>
      <w:tr>
        <w:trPr>
          <w:trHeight w:val="208"/>
        </w:trPr>
        <w:tc>
          <w:tcPr>
            <w:tcW w:w="162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62"/>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780" w:type="dxa"/>
            <w:vAlign w:val="bottom"/>
          </w:tcPr>
          <w:p>
            <w:pPr>
              <w:spacing w:after="0"/>
              <w:rPr>
                <w:sz w:val="5"/>
                <w:szCs w:val="5"/>
                <w:color w:val="auto"/>
              </w:rPr>
            </w:pPr>
          </w:p>
        </w:tc>
      </w:tr>
      <w:tr>
        <w:trPr>
          <w:trHeight w:val="208"/>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101.CAL</w:t>
            </w:r>
          </w:p>
        </w:tc>
        <w:tc>
          <w:tcPr>
            <w:tcW w:w="20" w:type="dxa"/>
            <w:vAlign w:val="bottom"/>
            <w:shd w:val="clear" w:color="auto" w:fill="CCEEFF"/>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62"/>
        </w:trPr>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780" w:type="dxa"/>
            <w:vAlign w:val="bottom"/>
            <w:shd w:val="clear" w:color="auto" w:fill="CCEEFF"/>
          </w:tcPr>
          <w:p>
            <w:pPr>
              <w:spacing w:after="0"/>
              <w:rPr>
                <w:sz w:val="5"/>
                <w:szCs w:val="5"/>
                <w:color w:val="auto"/>
              </w:rPr>
            </w:pPr>
          </w:p>
        </w:tc>
      </w:tr>
      <w:tr>
        <w:trPr>
          <w:trHeight w:val="208"/>
        </w:trPr>
        <w:tc>
          <w:tcPr>
            <w:tcW w:w="162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62"/>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780" w:type="dxa"/>
            <w:vAlign w:val="bottom"/>
          </w:tcPr>
          <w:p>
            <w:pPr>
              <w:spacing w:after="0"/>
              <w:rPr>
                <w:sz w:val="5"/>
                <w:szCs w:val="5"/>
                <w:color w:val="auto"/>
              </w:rPr>
            </w:pPr>
          </w:p>
        </w:tc>
      </w:tr>
      <w:tr>
        <w:trPr>
          <w:trHeight w:val="208"/>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101.LAB</w:t>
            </w:r>
          </w:p>
        </w:tc>
        <w:tc>
          <w:tcPr>
            <w:tcW w:w="20" w:type="dxa"/>
            <w:vAlign w:val="bottom"/>
            <w:shd w:val="clear" w:color="auto" w:fill="CCEEFF"/>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62"/>
        </w:trPr>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780" w:type="dxa"/>
            <w:vAlign w:val="bottom"/>
            <w:shd w:val="clear" w:color="auto" w:fill="CCEEFF"/>
          </w:tcPr>
          <w:p>
            <w:pPr>
              <w:spacing w:after="0"/>
              <w:rPr>
                <w:sz w:val="5"/>
                <w:szCs w:val="5"/>
                <w:color w:val="auto"/>
              </w:rPr>
            </w:pPr>
          </w:p>
        </w:tc>
      </w:tr>
      <w:tr>
        <w:trPr>
          <w:trHeight w:val="208"/>
        </w:trPr>
        <w:tc>
          <w:tcPr>
            <w:tcW w:w="162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62"/>
        </w:trPr>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780" w:type="dxa"/>
            <w:vAlign w:val="bottom"/>
          </w:tcPr>
          <w:p>
            <w:pPr>
              <w:spacing w:after="0"/>
              <w:rPr>
                <w:sz w:val="5"/>
                <w:szCs w:val="5"/>
                <w:color w:val="auto"/>
              </w:rPr>
            </w:pPr>
          </w:p>
        </w:tc>
      </w:tr>
      <w:tr>
        <w:trPr>
          <w:trHeight w:val="208"/>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7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r>
        <w:trPr>
          <w:trHeight w:val="62"/>
        </w:trPr>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4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780" w:type="dxa"/>
            <w:vAlign w:val="bottom"/>
            <w:shd w:val="clear" w:color="auto" w:fill="CCEEFF"/>
          </w:tcPr>
          <w:p>
            <w:pPr>
              <w:spacing w:after="0"/>
              <w:rPr>
                <w:sz w:val="5"/>
                <w:szCs w:val="5"/>
                <w:color w:val="auto"/>
              </w:rPr>
            </w:pPr>
          </w:p>
        </w:tc>
      </w:tr>
    </w:tbl>
    <w:p>
      <w:pPr>
        <w:spacing w:after="0" w:line="14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Furnished with this Quarterly Report on Form 10-Q.</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36" w:right="239" w:bottom="1440" w:gutter="0" w:footer="0" w:header="0"/>
        </w:sectPr>
      </w:pPr>
    </w:p>
    <w:bookmarkStart w:id="62" w:name="page63"/>
    <w:bookmarkEnd w:id="62"/>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46736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Krisztina Doroghazi</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Controller and Chief Accounting Officer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 and a Duly Authorized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240" w:top="736" w:right="5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2019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69"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60" w:right="420" w:hanging="328"/>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ind w:left="660" w:right="40" w:hanging="328"/>
        <w:spacing w:after="0" w:line="269"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420" w:hanging="320"/>
        <w:spacing w:after="0" w:line="269"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300" w:right="340" w:hanging="320"/>
        <w:spacing w:after="0" w:line="269"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300" w:right="340" w:hanging="320"/>
        <w:spacing w:after="0" w:line="291"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300" w:right="40" w:hanging="320"/>
        <w:spacing w:after="0" w:line="269"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660" w:right="360" w:hanging="328"/>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300" w:right="820" w:hanging="320"/>
        <w:spacing w:after="0" w:line="291"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300" w:right="460" w:hanging="320"/>
        <w:spacing w:after="0" w:line="291"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12, 2019</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79"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2019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69"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60" w:right="420" w:hanging="328"/>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ind w:left="660" w:right="40" w:hanging="328"/>
        <w:spacing w:after="0" w:line="269"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420" w:hanging="320"/>
        <w:spacing w:after="0" w:line="269"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300" w:right="340" w:hanging="320"/>
        <w:spacing w:after="0" w:line="269"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300" w:right="340" w:hanging="320"/>
        <w:spacing w:after="0" w:line="291"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300" w:right="40" w:hanging="320"/>
        <w:spacing w:after="0" w:line="269"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660" w:right="360" w:hanging="328"/>
        <w:spacing w:after="0" w:line="29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300" w:right="820" w:hanging="320"/>
        <w:spacing w:after="0" w:line="291"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300" w:right="460" w:hanging="320"/>
        <w:spacing w:after="0" w:line="291"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12, 2019</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79"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74"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I, Douglas J. Pferdehirt, Chief Executive Officer of TechnipFMC plc (the “Company”), do hereby certify, pursuant to 18 U.S.C. Section 1350, as adopted pursuant to Section 906 of the Sarbanes-Oxley Act of 2002, that, to my knowledge:</w:t>
      </w:r>
    </w:p>
    <w:p>
      <w:pPr>
        <w:spacing w:after="0" w:line="121" w:lineRule="exact"/>
        <w:rPr>
          <w:sz w:val="20"/>
          <w:szCs w:val="20"/>
          <w:color w:val="auto"/>
        </w:rPr>
      </w:pPr>
    </w:p>
    <w:p>
      <w:pPr>
        <w:ind w:right="80" w:firstLine="8"/>
        <w:spacing w:after="0" w:line="291" w:lineRule="auto"/>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2019, as filed with the Securities and Exchange Commission (the “Report”), fully complies with the requirements of Section 13(a) or 15(d) of the Securities Exchange Act of 1934, as amended; and</w:t>
      </w:r>
    </w:p>
    <w:p>
      <w:pPr>
        <w:spacing w:after="0" w:line="121"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12, 2019</w:t>
      </w:r>
    </w:p>
    <w:p>
      <w:pPr>
        <w:spacing w:after="0" w:line="200" w:lineRule="exact"/>
        <w:rPr>
          <w:sz w:val="20"/>
          <w:szCs w:val="20"/>
          <w:color w:val="auto"/>
        </w:rPr>
      </w:pPr>
    </w:p>
    <w:p>
      <w:pPr>
        <w:spacing w:after="0" w:line="210"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79"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174" w:lineRule="exact"/>
        <w:rPr>
          <w:sz w:val="20"/>
          <w:szCs w:val="20"/>
          <w:color w:val="auto"/>
        </w:rPr>
      </w:pPr>
    </w:p>
    <w:p>
      <w:pPr>
        <w:ind w:right="80" w:firstLine="8"/>
        <w:spacing w:after="0" w:line="291" w:lineRule="auto"/>
        <w:tabs>
          <w:tab w:leader="none" w:pos="2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2019, as filed with the Securities and Exchange Commission (the “Report”), fully complies with the requirements of Section 13(a) or 15(d) of the Securities Exchange Act of 1934, as amended; and</w:t>
      </w:r>
    </w:p>
    <w:p>
      <w:pPr>
        <w:spacing w:after="0" w:line="121"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12, 2019</w:t>
      </w:r>
    </w:p>
    <w:p>
      <w:pPr>
        <w:spacing w:after="0" w:line="200" w:lineRule="exact"/>
        <w:rPr>
          <w:sz w:val="20"/>
          <w:szCs w:val="20"/>
          <w:color w:val="auto"/>
        </w:rPr>
      </w:pPr>
    </w:p>
    <w:p>
      <w:pPr>
        <w:spacing w:after="0" w:line="210"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3445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6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decimal"/>
      <w:start w:val="6"/>
    </w:lvl>
  </w:abstractNum>
  <w:abstractNum w:abstractNumId="4">
    <w:nsid w:val="1BEFD79F"/>
    <w:multiLevelType w:val="hybridMultilevel"/>
    <w:lvl w:ilvl="0">
      <w:lvlJc w:val="left"/>
      <w:lvlText w:val="(%1)"/>
      <w:numFmt w:val="lowerRoman"/>
      <w:start w:val="4"/>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2"/>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2019-12-28T01:45:14Z</dcterms:created>
  <dcterms:modified xsi:type="dcterms:W3CDTF">2019-12-28T01:45:14Z</dcterms:modified>
</cp:coreProperties>
</file>