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70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701155"/>
                    </a:xfrm>
                    <a:prstGeom prst="rect">
                      <a:avLst/>
                    </a:prstGeom>
                    <a:noFill/>
                  </pic:spPr>
                </pic:pic>
              </a:graphicData>
            </a:graphic>
          </wp:anchor>
        </w:drawing>
      </w:r>
    </w:p>
    <w:p>
      <w:pPr>
        <w:spacing w:after="0" w:line="99" w:lineRule="exact"/>
        <w:rPr>
          <w:sz w:val="24"/>
          <w:szCs w:val="24"/>
          <w:color w:val="auto"/>
        </w:rPr>
      </w:pPr>
    </w:p>
    <w:p>
      <w:pPr>
        <w:sectPr>
          <w:pgSz w:w="11900" w:h="16887"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Parmentier Thierry</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TechnipFMC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FTI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01/17/2017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10"/>
        <w:spacing w:after="0"/>
        <w:rPr>
          <w:sz w:val="20"/>
          <w:szCs w:val="20"/>
          <w:color w:val="auto"/>
        </w:rPr>
      </w:pPr>
      <w:r>
        <w:rPr>
          <w:rFonts w:ascii="Arial" w:cs="Arial" w:eastAsia="Arial" w:hAnsi="Arial"/>
          <w:sz w:val="17"/>
          <w:szCs w:val="17"/>
          <w:color w:val="0000FF"/>
        </w:rPr>
        <w:t>EVP, Human Resources</w:t>
      </w:r>
    </w:p>
    <w:p>
      <w:pPr>
        <w:spacing w:after="0" w:line="326" w:lineRule="exact"/>
        <w:rPr>
          <w:sz w:val="24"/>
          <w:szCs w:val="24"/>
          <w:color w:val="auto"/>
        </w:rPr>
      </w:pPr>
    </w:p>
    <w:p>
      <w:pPr>
        <w:sectPr>
          <w:pgSz w:w="11900" w:h="16887" w:orient="portrait"/>
          <w:cols w:equalWidth="0" w:num="3">
            <w:col w:w="3340" w:space="720"/>
            <w:col w:w="3270" w:space="720"/>
            <w:col w:w="3470"/>
          </w:cols>
          <w:pgMar w:left="240" w:top="224"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40"/>
              <w:spacing w:after="0"/>
              <w:rPr>
                <w:sz w:val="20"/>
                <w:szCs w:val="20"/>
                <w:color w:val="auto"/>
              </w:rPr>
            </w:pPr>
            <w:r>
              <w:rPr>
                <w:rFonts w:ascii="Arial" w:cs="Arial" w:eastAsia="Arial" w:hAnsi="Arial"/>
                <w:sz w:val="17"/>
                <w:szCs w:val="17"/>
                <w:color w:val="0000FF"/>
              </w:rPr>
              <w:t>EC4M 8AP</w:t>
            </w:r>
          </w:p>
        </w:tc>
      </w:tr>
      <w:tr>
        <w:trPr>
          <w:trHeight w:val="154"/>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87"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0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Pr>
          <w:p>
            <w:pPr>
              <w:spacing w:after="0"/>
              <w:rPr>
                <w:sz w:val="22"/>
                <w:szCs w:val="22"/>
                <w:color w:val="auto"/>
              </w:rPr>
            </w:pPr>
          </w:p>
        </w:tc>
        <w:tc>
          <w:tcPr>
            <w:tcW w:w="1920" w:type="dxa"/>
            <w:vAlign w:val="bottom"/>
            <w:gridSpan w:val="2"/>
          </w:tcPr>
          <w:p>
            <w:pPr>
              <w:ind w:left="940"/>
              <w:spacing w:after="0"/>
              <w:rPr>
                <w:sz w:val="20"/>
                <w:szCs w:val="20"/>
                <w:color w:val="auto"/>
              </w:rPr>
            </w:pPr>
            <w:r>
              <w:rPr>
                <w:rFonts w:ascii="Arial" w:cs="Arial" w:eastAsia="Arial" w:hAnsi="Arial"/>
                <w:sz w:val="17"/>
                <w:szCs w:val="17"/>
                <w:color w:val="0000FF"/>
              </w:rPr>
              <w:t>01/17/2017</w:t>
            </w: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jc w:val="right"/>
              <w:ind w:right="439"/>
              <w:spacing w:after="0"/>
              <w:rPr>
                <w:sz w:val="20"/>
                <w:szCs w:val="20"/>
                <w:color w:val="auto"/>
              </w:rPr>
            </w:pPr>
            <w:r>
              <w:rPr>
                <w:rFonts w:ascii="Arial" w:cs="Arial" w:eastAsia="Arial" w:hAnsi="Arial"/>
                <w:sz w:val="13"/>
                <w:szCs w:val="13"/>
                <w:color w:val="0000FF"/>
              </w:rPr>
              <w:t>A</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81,200</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Pr>
          <w:p>
            <w:pPr>
              <w:ind w:left="280"/>
              <w:spacing w:after="0"/>
              <w:rPr>
                <w:sz w:val="20"/>
                <w:szCs w:val="20"/>
                <w:color w:val="auto"/>
              </w:rPr>
            </w:pPr>
            <w:r>
              <w:rPr>
                <w:rFonts w:ascii="Arial" w:cs="Arial" w:eastAsia="Arial" w:hAnsi="Arial"/>
                <w:sz w:val="11"/>
                <w:szCs w:val="11"/>
                <w:color w:val="008000"/>
              </w:rPr>
              <w:t>(1)</w:t>
            </w:r>
          </w:p>
        </w:tc>
        <w:tc>
          <w:tcPr>
            <w:tcW w:w="1360" w:type="dxa"/>
            <w:vAlign w:val="bottom"/>
            <w:gridSpan w:val="3"/>
          </w:tcPr>
          <w:p>
            <w:pPr>
              <w:jc w:val="right"/>
              <w:ind w:right="358"/>
              <w:spacing w:after="0"/>
              <w:rPr>
                <w:sz w:val="20"/>
                <w:szCs w:val="20"/>
                <w:color w:val="auto"/>
              </w:rPr>
            </w:pPr>
            <w:r>
              <w:rPr>
                <w:rFonts w:ascii="Arial" w:cs="Arial" w:eastAsia="Arial" w:hAnsi="Arial"/>
                <w:sz w:val="17"/>
                <w:szCs w:val="17"/>
                <w:color w:val="0000FF"/>
              </w:rPr>
              <w:t>81,200</w:t>
            </w:r>
          </w:p>
        </w:tc>
        <w:tc>
          <w:tcPr>
            <w:tcW w:w="32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6"/>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right"/>
              <w:ind w:righ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0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3"/>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8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(3)(4)</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w w:val="85"/>
              </w:rPr>
              <w:t>28,320</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2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06/17/2018</w:t>
            </w:r>
          </w:p>
        </w:tc>
        <w:tc>
          <w:tcPr>
            <w:tcW w:w="660" w:type="dxa"/>
            <w:vAlign w:val="bottom"/>
          </w:tcPr>
          <w:p>
            <w:pPr>
              <w:ind w:left="40"/>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28,320</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color w:val="0000FF"/>
              </w:rPr>
              <w:t>28,320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tcPr>
          <w:p>
            <w:pPr>
              <w:ind w:left="40"/>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(3)(5)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w w:val="85"/>
              </w:rPr>
              <w:t>21,288</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2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06/15/2019</w:t>
            </w:r>
          </w:p>
        </w:tc>
        <w:tc>
          <w:tcPr>
            <w:tcW w:w="660" w:type="dxa"/>
            <w:vAlign w:val="bottom"/>
          </w:tcPr>
          <w:p>
            <w:pPr>
              <w:ind w:left="40"/>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21,288</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color w:val="0000FF"/>
              </w:rPr>
              <w:t>21,288</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tcPr>
          <w:p>
            <w:pPr>
              <w:ind w:left="40"/>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(3)(6)</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w w:val="85"/>
              </w:rPr>
              <w:t>24,000</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2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06/14/2021</w:t>
            </w:r>
          </w:p>
        </w:tc>
        <w:tc>
          <w:tcPr>
            <w:tcW w:w="660" w:type="dxa"/>
            <w:vAlign w:val="bottom"/>
          </w:tcPr>
          <w:p>
            <w:pPr>
              <w:ind w:left="40"/>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24,000</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color w:val="0000FF"/>
              </w:rPr>
              <w:t>24,000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tcPr>
          <w:p>
            <w:pPr>
              <w:ind w:left="40"/>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(3)(7)</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w w:val="85"/>
              </w:rPr>
              <w:t>50,000</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2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(7)</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09/07/2023</w:t>
            </w:r>
          </w:p>
        </w:tc>
        <w:tc>
          <w:tcPr>
            <w:tcW w:w="660" w:type="dxa"/>
            <w:vAlign w:val="bottom"/>
          </w:tcPr>
          <w:p>
            <w:pPr>
              <w:ind w:left="40"/>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50,000</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color w:val="0000FF"/>
              </w:rPr>
              <w:t>50,000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tcPr>
          <w:p>
            <w:pPr>
              <w:ind w:left="40"/>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(3)(8)</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w w:val="85"/>
              </w:rPr>
              <w:t>50,000</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2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(8)</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07/01/2024</w:t>
            </w:r>
          </w:p>
        </w:tc>
        <w:tc>
          <w:tcPr>
            <w:tcW w:w="660" w:type="dxa"/>
            <w:vAlign w:val="bottom"/>
          </w:tcPr>
          <w:p>
            <w:pPr>
              <w:ind w:left="40"/>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50,000</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color w:val="0000FF"/>
              </w:rPr>
              <w:t>50,000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tcPr>
          <w:p>
            <w:pPr>
              <w:ind w:left="40"/>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9"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8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Business Combination Agreement, dated as of June 14, 2016 (the "BCA") by and among the Issuer, FMC Technologies, Inc. ("FMCTI") and Technip S.A. ("Technip"), each ordinary share of Technip beneficially owned by the Reporting Person at the effective time of the transactions contemplated by the BCA (the "Effective Time") was exchanged for 2.00 ordinary shares of the Issuer (the "Exchange Ratio").</w:t>
      </w:r>
    </w:p>
    <w:p>
      <w:pPr>
        <w:spacing w:after="0" w:line="25" w:lineRule="exact"/>
        <w:rPr>
          <w:rFonts w:ascii="Arial" w:cs="Arial" w:eastAsia="Arial" w:hAnsi="Arial"/>
          <w:sz w:val="13"/>
          <w:szCs w:val="13"/>
          <w:color w:val="008000"/>
        </w:rPr>
      </w:pPr>
    </w:p>
    <w:p>
      <w:pPr>
        <w:ind w:left="40" w:right="50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BCA, each option to purchase or subscribe for Technip ordinary shares (a "Technip Option"), whether vested or unvested, that was outstanding immediately prior to the Effective Time, was converted into an option to purchase ordinary shares of the Issuer (an "Issuer Option"), subject to the terms of the BCA.</w:t>
      </w:r>
    </w:p>
    <w:p>
      <w:pPr>
        <w:spacing w:after="0" w:line="16" w:lineRule="exact"/>
        <w:rPr>
          <w:rFonts w:ascii="Arial" w:cs="Arial" w:eastAsia="Arial" w:hAnsi="Arial"/>
          <w:sz w:val="13"/>
          <w:szCs w:val="13"/>
          <w:color w:val="008000"/>
        </w:rPr>
      </w:pPr>
    </w:p>
    <w:p>
      <w:pPr>
        <w:ind w:left="40" w:right="340" w:firstLine="6"/>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BCA, (i) the number of ordinary shares of the Issuer subject to each Issuer Option is equal to the product of (x) the number of ordinary shares of Technip subject to the Technip Option immediately prior to the Effective Time and (y) the Exchange Ratio (rounded down to the nearest whole number) and (ii) each Issuer Option has an exercise price per ordinary share of the Issuer equal to (a) the exercise price per ordinary share of Technip immediately prior to the Effective Time divided by (b) the Exchange Ratio (rounded up to the nearest whole cent), subject to the terms of the BCA.</w:t>
      </w:r>
    </w:p>
    <w:p>
      <w:pPr>
        <w:spacing w:after="0" w:line="8" w:lineRule="exact"/>
        <w:rPr>
          <w:rFonts w:ascii="Arial" w:cs="Arial" w:eastAsia="Arial" w:hAnsi="Arial"/>
          <w:sz w:val="12"/>
          <w:szCs w:val="12"/>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immediately exercisable at an exercise price of 36.35EUR per ordinary share.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immediately exercisable at an exercise price of 37.27EUR per ordinary share.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on June 14, 2017 and will be exercisable at an exercise price of 42.87EUR per ordinary share.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on September 7, 2019 and will be exercisable at an exercise price of 23.92EUR per ordinary share.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on July 1, 2020 and will be exercisable at an exercise price of 24.17EUR per ordinary share.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Lisa P. Wang, Attorney-In-Fact  01/18/2017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-8255</wp:posOffset>
            </wp:positionV>
            <wp:extent cx="1948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48815" cy="8255"/>
                    </a:xfrm>
                    <a:prstGeom prst="rect">
                      <a:avLst/>
                    </a:prstGeom>
                    <a:noFill/>
                  </pic:spPr>
                </pic:pic>
              </a:graphicData>
            </a:graphic>
          </wp:anchor>
        </w:drawing>
      </w:r>
    </w:p>
    <w:p>
      <w:pPr>
        <w:spacing w:after="0" w:line="5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59"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87"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94442"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2019-12-04T02:41:51Z</dcterms:created>
  <dcterms:modified xsi:type="dcterms:W3CDTF">2019-12-04T02:41:51Z</dcterms:modified>
</cp:coreProperties>
</file>