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3332" w:hAnchor="page" w:vAnchor="page" w:x="280" w:y="197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Schedule 13G. </w:t>
      </w:r>
    </w:p>
    <w:p>
      <w:pPr>
        <w:pStyle w:val="Normal"/>
        <w:framePr w:w="10218" w:hAnchor="page" w:vAnchor="page" w:x="280" w:y="1952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4: Reference is made to Items 5-11 on the preceding pages of this </w:t>
      </w:r>
    </w:p>
    <w:p>
      <w:pPr>
        <w:pStyle w:val="Normal"/>
        <w:framePr w:w="3753" w:hAnchor="page" w:vAnchor="page" w:x="280" w:y="190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Advisers Act of 1940 </w:t>
      </w:r>
    </w:p>
    <w:p>
      <w:pPr>
        <w:pStyle w:val="Normal"/>
        <w:framePr w:w="10078" w:hAnchor="page" w:vAnchor="page" w:x="280" w:y="188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X   Investment Adviser registered under Section 203 of the Investment </w:t>
      </w:r>
    </w:p>
    <w:p>
      <w:pPr>
        <w:pStyle w:val="Normal"/>
        <w:framePr w:w="7408" w:hAnchor="page" w:vAnchor="page" w:x="280" w:y="1862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3: The person filing this Schedule 13G is an: </w:t>
      </w:r>
    </w:p>
    <w:p>
      <w:pPr>
        <w:pStyle w:val="Normal"/>
        <w:framePr w:w="5018" w:hAnchor="page" w:vAnchor="page" w:x="280" w:y="181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2(e) Cusip Number: G87110105 </w:t>
      </w:r>
    </w:p>
    <w:p>
      <w:pPr>
        <w:pStyle w:val="Normal"/>
        <w:framePr w:w="7688" w:hAnchor="page" w:vAnchor="page" w:x="280" w:y="177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2(d) Title of Class of Securities: COMMON STOCK </w:t>
      </w:r>
    </w:p>
    <w:p>
      <w:pPr>
        <w:pStyle w:val="Normal"/>
        <w:framePr w:w="2067" w:hAnchor="page" w:vAnchor="page" w:x="280" w:y="172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Maryland </w:t>
      </w:r>
    </w:p>
    <w:p>
      <w:pPr>
        <w:pStyle w:val="Normal"/>
        <w:framePr w:w="6986" w:hAnchor="page" w:vAnchor="page" w:x="280" w:y="170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2(c) Citizenship or Place of Organization: </w:t>
      </w:r>
    </w:p>
    <w:p>
      <w:pPr>
        <w:pStyle w:val="Normal"/>
        <w:framePr w:w="6002" w:hAnchor="page" w:vAnchor="page" w:x="280" w:y="166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100 E. Pratt Street, Baltimore, MD 21202 </w:t>
      </w:r>
    </w:p>
    <w:p>
      <w:pPr>
        <w:pStyle w:val="Normal"/>
        <w:framePr w:w="6986" w:hAnchor="page" w:vAnchor="page" w:x="280" w:y="163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2(b) Address of Principal Business Office: </w:t>
      </w:r>
    </w:p>
    <w:p>
      <w:pPr>
        <w:pStyle w:val="Normal"/>
        <w:framePr w:w="7829" w:hAnchor="page" w:vAnchor="page" w:x="280" w:y="159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T. ROWE PRICE ASSOCIATES, INC. (Price Associates) </w:t>
      </w:r>
    </w:p>
    <w:p>
      <w:pPr>
        <w:pStyle w:val="Normal"/>
        <w:framePr w:w="5299" w:hAnchor="page" w:vAnchor="page" w:x="280" w:y="157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2(a) Name of Person(s) Filing: </w:t>
      </w:r>
    </w:p>
    <w:p>
      <w:pPr>
        <w:pStyle w:val="Normal"/>
        <w:framePr w:w="10921" w:hAnchor="page" w:vAnchor="page" w:x="280" w:y="152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HADRIAN HOUSE, WINCOMBLEE ROAD, NEWCASTLE UPON TYNE, UNITED KINGDOM NE6 3PL </w:t>
      </w:r>
    </w:p>
    <w:p>
      <w:pPr>
        <w:pStyle w:val="Normal"/>
        <w:framePr w:w="8532" w:hAnchor="page" w:vAnchor="page" w:x="280" w:y="150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1(b) Address of Issuer's Principal Executive Offices: </w:t>
      </w:r>
    </w:p>
    <w:p>
      <w:pPr>
        <w:pStyle w:val="Normal"/>
        <w:framePr w:w="2348" w:hAnchor="page" w:vAnchor="page" w:x="280" w:y="145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3894" w:hAnchor="page" w:vAnchor="page" w:x="280" w:y="143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1(a) Name of Issuer: </w:t>
      </w:r>
    </w:p>
    <w:p>
      <w:pPr>
        <w:pStyle w:val="Normal"/>
        <w:framePr w:w="9656" w:hAnchor="page" w:vAnchor="page" w:x="280" w:y="138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*Any shares reported in Items 5 and 6 are also reported in Item 7. </w:t>
      </w:r>
    </w:p>
    <w:p>
      <w:pPr>
        <w:pStyle w:val="Normal"/>
        <w:framePr w:w="521" w:hAnchor="page" w:vAnchor="page" w:x="1217" w:y="134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IA</w:t>
      </w:r>
    </w:p>
    <w:p>
      <w:pPr>
        <w:pStyle w:val="Normal"/>
        <w:framePr w:w="4315" w:hAnchor="page" w:vAnchor="page" w:x="280" w:y="132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12. Type of Reporting Person </w:t>
      </w:r>
    </w:p>
    <w:p>
      <w:pPr>
        <w:pStyle w:val="Normal"/>
        <w:framePr w:w="1083" w:hAnchor="page" w:vAnchor="page" w:x="1217" w:y="127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13.3% </w:t>
      </w:r>
    </w:p>
    <w:p>
      <w:pPr>
        <w:pStyle w:val="Normal"/>
        <w:framePr w:w="7548" w:hAnchor="page" w:vAnchor="page" w:x="280" w:y="125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11. Percent of Class Represented by Amount in Row 9 </w:t>
      </w:r>
    </w:p>
    <w:p>
      <w:pPr>
        <w:pStyle w:val="Normal"/>
        <w:framePr w:w="2348" w:hAnchor="page" w:vAnchor="page" w:x="1217" w:y="120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10499" w:hAnchor="page" w:vAnchor="page" w:x="280" w:y="118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10. Check Box if the Aggregate Amount in Row (9) Excludes Certain Shares </w:t>
      </w:r>
    </w:p>
    <w:p>
      <w:pPr>
        <w:pStyle w:val="Normal"/>
        <w:framePr w:w="2207" w:hAnchor="page" w:vAnchor="page" w:x="280" w:y="114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56,934,828 </w:t>
      </w:r>
    </w:p>
    <w:p>
      <w:pPr>
        <w:pStyle w:val="Normal"/>
        <w:framePr w:w="9234" w:hAnchor="page" w:vAnchor="page" w:x="280" w:y="111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9. Aggregate Amount Beneficially Owned by Each Reporting Person </w:t>
      </w:r>
    </w:p>
    <w:p>
      <w:pPr>
        <w:pStyle w:val="Normal"/>
        <w:framePr w:w="4737" w:hAnchor="page" w:vAnchor="page" w:x="280" w:y="107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8. Shared Dispositive Power   0 </w:t>
      </w:r>
    </w:p>
    <w:p>
      <w:pPr>
        <w:pStyle w:val="Normal"/>
        <w:framePr w:w="6002" w:hAnchor="page" w:vAnchor="page" w:x="280" w:y="102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7. Sole Dispositive Power*    56,926,432 </w:t>
      </w:r>
    </w:p>
    <w:p>
      <w:pPr>
        <w:pStyle w:val="Normal"/>
        <w:framePr w:w="4737" w:hAnchor="page" w:vAnchor="page" w:x="280" w:y="98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6. Shared Voting Power*       0 </w:t>
      </w:r>
    </w:p>
    <w:p>
      <w:pPr>
        <w:pStyle w:val="Normal"/>
        <w:framePr w:w="6002" w:hAnchor="page" w:vAnchor="page" w:x="280" w:y="93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5. Sole Voting Power*         55,457,846 </w:t>
      </w:r>
    </w:p>
    <w:p>
      <w:pPr>
        <w:pStyle w:val="Normal"/>
        <w:framePr w:w="9516" w:hAnchor="page" w:vAnchor="page" w:x="280" w:y="89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Number of Shares Beneficially Owned by Each Reporting Person With </w:t>
      </w:r>
    </w:p>
    <w:p>
      <w:pPr>
        <w:pStyle w:val="Normal"/>
        <w:framePr w:w="1926" w:hAnchor="page" w:vAnchor="page" w:x="280" w:y="84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Maryland </w:t>
      </w:r>
    </w:p>
    <w:p>
      <w:pPr>
        <w:pStyle w:val="Normal"/>
        <w:framePr w:w="5861" w:hAnchor="page" w:vAnchor="page" w:x="280" w:y="82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4. Citizenship or Place of Organization </w:t>
      </w:r>
    </w:p>
    <w:p>
      <w:pPr>
        <w:pStyle w:val="Normal"/>
        <w:framePr w:w="2489" w:hAnchor="page" w:vAnchor="page" w:x="280" w:y="78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3. SEC Use Only </w:t>
      </w:r>
    </w:p>
    <w:p>
      <w:pPr>
        <w:pStyle w:val="Normal"/>
        <w:framePr w:w="2770" w:hAnchor="page" w:vAnchor="page" w:x="280" w:y="73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NOT APPLICABLE </w:t>
      </w:r>
    </w:p>
    <w:p>
      <w:pPr>
        <w:pStyle w:val="Normal"/>
        <w:framePr w:w="7548" w:hAnchor="page" w:vAnchor="page" w:x="280" w:y="71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2. Check the Appropriate Box if a Member of a Group </w:t>
      </w:r>
    </w:p>
    <w:p>
      <w:pPr>
        <w:pStyle w:val="Normal"/>
        <w:framePr w:w="2207" w:hAnchor="page" w:vAnchor="page" w:x="280" w:y="66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52-0556948 </w:t>
      </w:r>
    </w:p>
    <w:p>
      <w:pPr>
        <w:pStyle w:val="Normal"/>
        <w:framePr w:w="5018" w:hAnchor="page" w:vAnchor="page" w:x="280" w:y="64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T. ROWE PRICE ASSOCIATES, INC. </w:t>
      </w:r>
    </w:p>
    <w:p>
      <w:pPr>
        <w:pStyle w:val="Normal"/>
        <w:framePr w:w="4175" w:hAnchor="page" w:vAnchor="page" w:x="280" w:y="62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1. Name of Reporting Person </w:t>
      </w:r>
    </w:p>
    <w:p>
      <w:pPr>
        <w:pStyle w:val="Normal"/>
        <w:framePr w:w="3191" w:hAnchor="page" w:vAnchor="page" w:x="280" w:y="57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Rule 13d - 1(d) </w:t>
      </w:r>
    </w:p>
    <w:p>
      <w:pPr>
        <w:pStyle w:val="Normal"/>
        <w:framePr w:w="3191" w:hAnchor="page" w:vAnchor="page" w:x="280" w:y="556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Rule 13d - 1(c) </w:t>
      </w:r>
    </w:p>
    <w:p>
      <w:pPr>
        <w:pStyle w:val="Normal"/>
        <w:framePr w:w="3191" w:hAnchor="page" w:vAnchor="page" w:x="280" w:y="534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[x]  Rule 13d - 1(b) </w:t>
      </w:r>
    </w:p>
    <w:p>
      <w:pPr>
        <w:pStyle w:val="Normal"/>
        <w:framePr w:w="2910" w:hAnchor="page" w:vAnchor="page" w:x="280" w:y="511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is filed: </w:t>
      </w:r>
    </w:p>
    <w:p>
      <w:pPr>
        <w:pStyle w:val="Normal"/>
        <w:framePr w:w="10218" w:hAnchor="page" w:vAnchor="page" w:x="280" w:y="48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Check the appropriate box to designate the Rule pursuant to which this </w:t>
      </w:r>
    </w:p>
    <w:p>
      <w:pPr>
        <w:pStyle w:val="Normal"/>
        <w:framePr w:w="7408" w:hAnchor="page" w:vAnchor="page" w:x="280" w:y="44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(Date of Event which Requires Filing of Statement) </w:t>
      </w:r>
    </w:p>
    <w:p>
      <w:pPr>
        <w:pStyle w:val="Normal"/>
        <w:framePr w:w="2910" w:hAnchor="page" w:vAnchor="page" w:x="280" w:y="421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September 30, 2024 </w:t>
      </w:r>
    </w:p>
    <w:p>
      <w:pPr>
        <w:pStyle w:val="Normal"/>
        <w:framePr w:w="2348" w:hAnchor="page" w:vAnchor="page" w:x="280" w:y="376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(CUSIP NUMBER) </w:t>
      </w:r>
    </w:p>
    <w:p>
      <w:pPr>
        <w:pStyle w:val="Normal"/>
        <w:framePr w:w="1645" w:hAnchor="page" w:vAnchor="page" w:x="280" w:y="35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G87110105 </w:t>
      </w:r>
    </w:p>
    <w:p>
      <w:pPr>
        <w:pStyle w:val="Normal"/>
        <w:framePr w:w="4597" w:hAnchor="page" w:vAnchor="page" w:x="280" w:y="309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(Title of Class of Securities) </w:t>
      </w:r>
    </w:p>
    <w:p>
      <w:pPr>
        <w:pStyle w:val="Normal"/>
        <w:framePr w:w="2067" w:hAnchor="page" w:vAnchor="page" w:x="280" w:y="286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COMMON STOCK </w:t>
      </w:r>
    </w:p>
    <w:p>
      <w:pPr>
        <w:pStyle w:val="Normal"/>
        <w:framePr w:w="2629" w:hAnchor="page" w:vAnchor="page" w:x="280" w:y="241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(Name of Issuer) </w:t>
      </w:r>
    </w:p>
    <w:p>
      <w:pPr>
        <w:pStyle w:val="Normal"/>
        <w:framePr w:w="2348" w:hAnchor="page" w:vAnchor="page" w:x="280" w:y="218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2770" w:hAnchor="page" w:vAnchor="page" w:x="280" w:y="173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(Amendment No. 5) </w:t>
      </w:r>
    </w:p>
    <w:p>
      <w:pPr>
        <w:pStyle w:val="Normal"/>
        <w:framePr w:w="6143" w:hAnchor="page" w:vAnchor="page" w:x="280" w:y="128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Under the Securities Exchange Act of 1934 </w:t>
      </w:r>
    </w:p>
    <w:p>
      <w:pPr>
        <w:pStyle w:val="Normal"/>
        <w:framePr w:w="2067" w:hAnchor="page" w:vAnchor="page" w:x="280" w:y="83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13G </w:t>
      </w:r>
    </w:p>
    <w:p>
      <w:pPr>
        <w:pStyle w:val="Normal"/>
        <w:framePr w:w="3472" w:hAnchor="page" w:vAnchor="page" w:x="280" w:y="61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Washington, D.C. 20549 </w:t>
      </w:r>
    </w:p>
    <w:p>
      <w:pPr>
        <w:pStyle w:val="Normal"/>
        <w:framePr w:w="5159" w:hAnchor="page" w:vAnchor="page" w:x="280" w:y="38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SECURITIES AND EXCHANGE COMMISSION </w:t>
      </w:r>
    </w:p>
    <w:p>
      <w:pPr>
        <w:pStyle w:val="Normal"/>
        <w:framePr w:w="2207" w:hAnchor="page" w:vAnchor="page" w:x="280" w:y="16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</w:p>
    <w:p>
      <w:pPr>
        <w:pStyle w:val="Normal"/>
        <w:framePr w:w="1645" w:hAnchor="page" w:vAnchor="page" w:x="280" w:y="142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09/30/2024</w:t>
      </w:r>
    </w:p>
    <w:p>
      <w:pPr>
        <w:pStyle w:val="Normal"/>
        <w:framePr w:w="6002" w:hAnchor="page" w:vAnchor="page" w:x="280" w:y="137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Name &amp; Title: Ellen York, Vice President </w:t>
      </w:r>
    </w:p>
    <w:p>
      <w:pPr>
        <w:pStyle w:val="Normal"/>
        <w:framePr w:w="3894" w:hAnchor="page" w:vAnchor="page" w:x="280" w:y="135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Signature: /s/ Ellen York </w:t>
      </w:r>
    </w:p>
    <w:p>
      <w:pPr>
        <w:pStyle w:val="Normal"/>
        <w:framePr w:w="3613" w:hAnchor="page" w:vAnchor="page" w:x="280" w:y="1332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Date: November 14, 2024 </w:t>
      </w:r>
    </w:p>
    <w:p>
      <w:pPr>
        <w:pStyle w:val="Normal"/>
        <w:framePr w:w="4597" w:hAnchor="page" w:vAnchor="page" w:x="280" w:y="131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T. ROWE PRICE ASSOCIATES, INC. </w:t>
      </w:r>
    </w:p>
    <w:p>
      <w:pPr>
        <w:pStyle w:val="Normal"/>
        <w:framePr w:w="4597" w:hAnchor="page" w:vAnchor="page" w:x="280" w:y="126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complete and correct. </w:t>
      </w:r>
    </w:p>
    <w:p>
      <w:pPr>
        <w:pStyle w:val="Normal"/>
        <w:framePr w:w="11062" w:hAnchor="page" w:vAnchor="page" w:x="280" w:y="1242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 certify that the information set forth in this statement is true, </w:t>
      </w:r>
    </w:p>
    <w:p>
      <w:pPr>
        <w:pStyle w:val="Normal"/>
        <w:framePr w:w="11202" w:hAnchor="page" w:vAnchor="page" w:x="280" w:y="1220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After reasonable inquiry and to the best of my knowledge and belief, </w:t>
      </w:r>
    </w:p>
    <w:p>
      <w:pPr>
        <w:pStyle w:val="Normal"/>
        <w:framePr w:w="3051" w:hAnchor="page" w:vAnchor="page" w:x="280" w:y="117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Signature. </w:t>
      </w:r>
    </w:p>
    <w:p>
      <w:pPr>
        <w:pStyle w:val="Normal"/>
        <w:framePr w:w="2629" w:hAnchor="page" w:vAnchor="page" w:x="280" w:y="113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denied. </w:t>
      </w:r>
    </w:p>
    <w:p>
      <w:pPr>
        <w:pStyle w:val="Normal"/>
        <w:framePr w:w="10499" w:hAnchor="page" w:vAnchor="page" w:x="280" w:y="110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securities referred to, which beneficial ownership is expressly </w:t>
      </w:r>
    </w:p>
    <w:p>
      <w:pPr>
        <w:pStyle w:val="Normal"/>
        <w:framePr w:w="8953" w:hAnchor="page" w:vAnchor="page" w:x="280" w:y="108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that Price Associates is the beneficial owner of the </w:t>
      </w:r>
    </w:p>
    <w:p>
      <w:pPr>
        <w:pStyle w:val="Normal"/>
        <w:framePr w:w="11483" w:hAnchor="page" w:vAnchor="page" w:x="280" w:y="106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that the filing of Schedule 13G shall not be construed as an admission </w:t>
      </w:r>
    </w:p>
    <w:p>
      <w:pPr>
        <w:pStyle w:val="Normal"/>
        <w:framePr w:w="9797" w:hAnchor="page" w:vAnchor="page" w:x="280" w:y="104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T. Rowe Price Associates, Inc. hereby declares and affirms </w:t>
      </w:r>
    </w:p>
    <w:p>
      <w:pPr>
        <w:pStyle w:val="Normal"/>
        <w:framePr w:w="8532" w:hAnchor="page" w:vAnchor="page" w:x="280" w:y="101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in any transaction having that purpose or effect. </w:t>
      </w:r>
    </w:p>
    <w:p>
      <w:pPr>
        <w:pStyle w:val="Normal"/>
        <w:framePr w:w="11202" w:hAnchor="page" w:vAnchor="page" w:x="280" w:y="99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not acquired and are not held in connection with or as a participant </w:t>
      </w:r>
    </w:p>
    <w:p>
      <w:pPr>
        <w:pStyle w:val="Normal"/>
        <w:framePr w:w="10640" w:hAnchor="page" w:vAnchor="page" w:x="280" w:y="97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influencing the control of the issuer of the securities and were </w:t>
      </w:r>
    </w:p>
    <w:p>
      <w:pPr>
        <w:pStyle w:val="Normal"/>
        <w:framePr w:w="9656" w:hAnchor="page" w:vAnchor="page" w:x="280" w:y="95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held for the purpose of or with the effect of changing or </w:t>
      </w:r>
    </w:p>
    <w:p>
      <w:pPr>
        <w:pStyle w:val="Normal"/>
        <w:framePr w:w="10218" w:hAnchor="page" w:vAnchor="page" w:x="280" w:y="92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ordinary course of business and were not acquired and are not </w:t>
      </w:r>
    </w:p>
    <w:p>
      <w:pPr>
        <w:pStyle w:val="Normal"/>
        <w:framePr w:w="10218" w:hAnchor="page" w:vAnchor="page" w:x="280" w:y="90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belief, the securities referred to above were acquired in the </w:t>
      </w:r>
    </w:p>
    <w:p>
      <w:pPr>
        <w:pStyle w:val="Normal"/>
        <w:framePr w:w="10640" w:hAnchor="page" w:vAnchor="page" w:x="280" w:y="88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By signing below I certify that, to the best of my knowledge and </w:t>
      </w:r>
    </w:p>
    <w:p>
      <w:pPr>
        <w:pStyle w:val="Normal"/>
        <w:framePr w:w="3472" w:hAnchor="page" w:vAnchor="page" w:x="280" w:y="860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10: Certification </w:t>
      </w:r>
    </w:p>
    <w:p>
      <w:pPr>
        <w:pStyle w:val="Normal"/>
        <w:framePr w:w="3472" w:hAnchor="page" w:vAnchor="page" w:x="280" w:y="81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5721" w:hAnchor="page" w:vAnchor="page" w:x="280" w:y="79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9: Notice of Dissolution of Group </w:t>
      </w:r>
    </w:p>
    <w:p>
      <w:pPr>
        <w:pStyle w:val="Normal"/>
        <w:framePr w:w="3472" w:hAnchor="page" w:vAnchor="page" w:x="280" w:y="747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9516" w:hAnchor="page" w:vAnchor="page" w:x="280" w:y="72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8: Identification and Classification of Members of the Group </w:t>
      </w:r>
    </w:p>
    <w:p>
      <w:pPr>
        <w:pStyle w:val="Normal"/>
        <w:framePr w:w="3472" w:hAnchor="page" w:vAnchor="page" w:x="280" w:y="67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9516" w:hAnchor="page" w:vAnchor="page" w:x="280" w:y="65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Security Being Reported on By the Parent Holding Company. </w:t>
      </w:r>
    </w:p>
    <w:p>
      <w:pPr>
        <w:pStyle w:val="Normal"/>
        <w:framePr w:w="11342" w:hAnchor="page" w:vAnchor="page" w:x="280" w:y="63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7: Identification and Classification of the Subsidiary Which Acquired the </w:t>
      </w:r>
    </w:p>
    <w:p>
      <w:pPr>
        <w:pStyle w:val="Normal"/>
        <w:framePr w:w="8953" w:hAnchor="page" w:vAnchor="page" w:x="280" w:y="56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subject to the investment advice of Price Associates. </w:t>
      </w:r>
    </w:p>
    <w:p>
      <w:pPr>
        <w:pStyle w:val="Normal"/>
        <w:framePr w:w="10780" w:hAnchor="page" w:vAnchor="page" w:x="280" w:y="54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than 5% of the class of such securities is owned by any one client </w:t>
      </w:r>
    </w:p>
    <w:p>
      <w:pPr>
        <w:pStyle w:val="Normal"/>
        <w:framePr w:w="8813" w:hAnchor="page" w:vAnchor="page" w:x="280" w:y="52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investment adviser ("T. Rowe Price Funds"), not more </w:t>
      </w:r>
    </w:p>
    <w:p>
      <w:pPr>
        <w:pStyle w:val="Normal"/>
        <w:framePr w:w="7126" w:hAnchor="page" w:vAnchor="page" w:x="280" w:y="49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Associates which it also serves as </w:t>
      </w:r>
    </w:p>
    <w:p>
      <w:pPr>
        <w:pStyle w:val="Normal"/>
        <w:framePr w:w="7688" w:hAnchor="page" w:vAnchor="page" w:x="280" w:y="47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registered investment companies sponsored by </w:t>
      </w:r>
    </w:p>
    <w:p>
      <w:pPr>
        <w:pStyle w:val="Normal"/>
        <w:framePr w:w="11062" w:hAnchor="page" w:vAnchor="page" w:x="280" w:y="45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Except as may be indicated if this is a joint filing with one of the </w:t>
      </w:r>
    </w:p>
    <w:p>
      <w:pPr>
        <w:pStyle w:val="Normal"/>
        <w:framePr w:w="6002" w:hAnchor="page" w:vAnchor="page" w:x="280" w:y="40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 whole or in part at any time. </w:t>
      </w:r>
    </w:p>
    <w:p>
      <w:pPr>
        <w:pStyle w:val="Normal"/>
        <w:framePr w:w="5861" w:hAnchor="page" w:vAnchor="page" w:x="280" w:y="387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Associates may be revoked </w:t>
      </w:r>
    </w:p>
    <w:p>
      <w:pPr>
        <w:pStyle w:val="Normal"/>
        <w:framePr w:w="10359" w:hAnchor="page" w:vAnchor="page" w:x="280" w:y="36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Any and all discretionary authority which has been delegated to </w:t>
      </w:r>
    </w:p>
    <w:p>
      <w:pPr>
        <w:pStyle w:val="Normal"/>
        <w:framePr w:w="7970" w:hAnchor="page" w:vAnchor="page" w:x="280" w:y="34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Associates serves as investment adviser. </w:t>
      </w:r>
    </w:p>
    <w:p>
      <w:pPr>
        <w:pStyle w:val="Normal"/>
        <w:framePr w:w="9375" w:hAnchor="page" w:vAnchor="page" w:x="280" w:y="31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vested in the individual and institutional clients which </w:t>
      </w:r>
    </w:p>
    <w:p>
      <w:pPr>
        <w:pStyle w:val="Normal"/>
        <w:framePr w:w="10780" w:hAnchor="page" w:vAnchor="page" w:x="280" w:y="29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respect to, and the proceeds from the sale of, such securities, is </w:t>
      </w:r>
    </w:p>
    <w:p>
      <w:pPr>
        <w:pStyle w:val="Normal"/>
        <w:framePr w:w="10359" w:hAnchor="page" w:vAnchor="page" w:x="280" w:y="27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The ultimate power to direct the receipt of dividends paid with </w:t>
      </w:r>
    </w:p>
    <w:p>
      <w:pPr>
        <w:pStyle w:val="Normal"/>
        <w:framePr w:w="9797" w:hAnchor="page" w:vAnchor="page" w:x="280" w:y="22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respect to, and proceeds from the sale of, such securities. </w:t>
      </w:r>
    </w:p>
    <w:p>
      <w:pPr>
        <w:pStyle w:val="Normal"/>
        <w:framePr w:w="9516" w:hAnchor="page" w:vAnchor="page" w:x="280" w:y="20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trustee bank has the right to receive dividends paid with </w:t>
      </w:r>
    </w:p>
    <w:p>
      <w:pPr>
        <w:pStyle w:val="Normal"/>
        <w:framePr w:w="8953" w:hAnchor="page" w:vAnchor="page" w:x="280" w:y="18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instance only the client or the client's custodian or </w:t>
      </w:r>
    </w:p>
    <w:p>
      <w:pPr>
        <w:pStyle w:val="Normal"/>
        <w:framePr w:w="9516" w:hAnchor="page" w:vAnchor="page" w:x="280" w:y="16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of the assets of any of its clients; accordingly, in each </w:t>
      </w:r>
    </w:p>
    <w:p>
      <w:pPr>
        <w:pStyle w:val="Normal"/>
        <w:framePr w:w="7688" w:hAnchor="page" w:vAnchor="page" w:x="280" w:y="13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    Price Associates does not serve as custodian </w:t>
      </w:r>
    </w:p>
    <w:p>
      <w:pPr>
        <w:pStyle w:val="Normal"/>
        <w:framePr w:w="10359" w:hAnchor="page" w:vAnchor="page" w:x="280" w:y="9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6: Ownership of More than Five Percent on Behalf of Another Person </w:t>
      </w:r>
    </w:p>
    <w:p>
      <w:pPr>
        <w:pStyle w:val="Normal"/>
        <w:framePr w:w="2348" w:hAnchor="page" w:vAnchor="page" w:x="1217" w:y="4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7688" w:hAnchor="page" w:vAnchor="page" w:x="280" w:y="2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5: Ownership of Five Percent or Less of a Class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7pt;margin-top:1pt;z-index:-16777208;width:598pt;height:732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CourierNewPSMT">
    <w:panose-1>"02070309020205020404"</w:panose-1>
    <w:charset>
      <w:val>"01"</w:val>
    </w:charset>
    <w:family>"Modern"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f84bb01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Relationship Id="rId3" Target="styles.xml" Type="http://schemas.openxmlformats.org/officeDocument/2006/relationships/styles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webSettings.xml" Type="http://schemas.openxmlformats.org/officeDocument/2006/relationships/webSettings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717</Words>
  <Characters>3595</Characters>
  <Application>e-iceblue</Application>
  <DocSecurity>0</DocSecurity>
  <Lines>108</Lines>
  <Paragraphs>108</Paragraphs>
  <ScaleCrop>false</ScaleCrop>
  <Company>e-iceblue</Company>
  <LinksUpToDate>false</LinksUpToDate>
  <CharactersWithSpaces>4685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2024-11-14T18:42:45Z</dcterms:created>
  <dc:creator>root</dc:creator>
  <cp:lastModifiedBy>root</cp:lastModifiedBy>
  <dcterms:modified xsi:type="dcterms:W3CDTF">2024-11-14T18:42:45Z</dcterms:modified>
  <cp:revision>1</cp:revision>
</cp:coreProperties>
</file>