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jc w:val="center"/>
        <w:ind w:right="-59"/>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22"/>
          <w:szCs w:val="22"/>
          <w:b w:val="1"/>
          <w:bCs w:val="1"/>
          <w:color w:val="auto"/>
        </w:rPr>
        <w:t>Securities Exchange Act of 1934 (Amendment No.</w:t>
        <w:tab/>
        <w:t>)</w:t>
      </w:r>
    </w:p>
    <w:p>
      <w:pPr>
        <w:spacing w:after="0" w:line="190" w:lineRule="exact"/>
        <w:rPr>
          <w:sz w:val="24"/>
          <w:szCs w:val="24"/>
          <w:color w:val="auto"/>
        </w:rPr>
      </w:pPr>
    </w:p>
    <w:p>
      <w:pPr>
        <w:spacing w:after="0" w:line="253" w:lineRule="exact"/>
        <w:tabs>
          <w:tab w:leader="none" w:pos="2380" w:val="left"/>
        </w:tabs>
        <w:rPr>
          <w:sz w:val="20"/>
          <w:szCs w:val="20"/>
          <w:color w:val="auto"/>
        </w:rPr>
      </w:pPr>
      <w:r>
        <w:rPr>
          <w:rFonts w:ascii="Arial" w:cs="Arial" w:eastAsia="Arial" w:hAnsi="Arial"/>
          <w:sz w:val="22"/>
          <w:szCs w:val="22"/>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45" w:lineRule="exact"/>
        <w:rPr>
          <w:sz w:val="24"/>
          <w:szCs w:val="24"/>
          <w:color w:val="auto"/>
        </w:rPr>
      </w:pPr>
    </w:p>
    <w:p>
      <w:pPr>
        <w:spacing w:after="0" w:line="253" w:lineRule="exact"/>
        <w:tabs>
          <w:tab w:leader="none" w:pos="4100" w:val="left"/>
        </w:tabs>
        <w:rPr>
          <w:sz w:val="20"/>
          <w:szCs w:val="20"/>
          <w:color w:val="auto"/>
        </w:rPr>
      </w:pPr>
      <w:r>
        <w:rPr>
          <w:rFonts w:ascii="Arial" w:cs="Arial" w:eastAsia="Arial" w:hAnsi="Arial"/>
          <w:sz w:val="22"/>
          <w:szCs w:val="22"/>
          <w:color w:val="auto"/>
        </w:rPr>
        <w:t>Filed by a Party other than the Registrant</w:t>
      </w:r>
      <w:r>
        <w:rPr>
          <w:sz w:val="20"/>
          <w:szCs w:val="20"/>
          <w:color w:val="auto"/>
        </w:rPr>
        <w:tab/>
      </w:r>
      <w:r>
        <w:rPr>
          <w:rFonts w:ascii="MS PGothic" w:cs="MS PGothic" w:eastAsia="MS PGothic" w:hAnsi="MS PGothic"/>
          <w:sz w:val="19"/>
          <w:szCs w:val="19"/>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36"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8" w:lineRule="exact"/>
        <w:rPr>
          <w:rFonts w:ascii="MS PGothic" w:cs="MS PGothic" w:eastAsia="MS PGothic" w:hAnsi="MS PGothic"/>
          <w:sz w:val="18"/>
          <w:szCs w:val="18"/>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380" w:hanging="33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 240.14a-12</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36" w:lineRule="exact"/>
        <w:rPr>
          <w:sz w:val="24"/>
          <w:szCs w:val="24"/>
          <w:color w:val="auto"/>
        </w:rPr>
      </w:pPr>
    </w:p>
    <w:p>
      <w:pPr>
        <w:ind w:left="380" w:hanging="33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80" w:hanging="33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720" w:hanging="298"/>
        <w:spacing w:after="0" w:line="246"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80" w:hanging="33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80" w:right="180" w:hanging="332"/>
        <w:spacing w:after="0" w:line="274" w:lineRule="auto"/>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rFonts w:ascii="MS PGothic" w:cs="MS PGothic" w:eastAsia="MS PGothic" w:hAnsi="MS PGothic"/>
          <w:sz w:val="17"/>
          <w:szCs w:val="17"/>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203200</wp:posOffset>
            </wp:positionV>
            <wp:extent cx="6703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-173355</wp:posOffset>
            </wp:positionV>
            <wp:extent cx="6703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-550545</wp:posOffset>
            </wp:positionV>
            <wp:extent cx="6703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-927735</wp:posOffset>
            </wp:positionV>
            <wp:extent cx="6703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-1784985</wp:posOffset>
            </wp:positionV>
            <wp:extent cx="6703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-2162175</wp:posOffset>
            </wp:positionV>
            <wp:extent cx="67036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-2539365</wp:posOffset>
            </wp:positionV>
            <wp:extent cx="67036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-3044825</wp:posOffset>
            </wp:positionV>
            <wp:extent cx="67036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-3422015</wp:posOffset>
            </wp:positionV>
            <wp:extent cx="67036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ADDITIONAL INFORMATION REGARDING THE ANNUAL GENERAL MEETING OF</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SHAREHOLDERS TO BE HELD ON APRIL 24, 2020</w:t>
      </w:r>
    </w:p>
    <w:p>
      <w:pPr>
        <w:spacing w:after="0" w:line="23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following Notice of 2020 Annual General Meeting of Shareholders relates to the proxy statement (the “Proxy Statement”) of TechnipFMC plc (the “Company”), dated March 13, 2020, furnished to shareholders of the Company in connection with the solicitation of proxies by the Board of Directors of the Company for use at the Company’s 2020 Annual General Meeting of Shareholders to be held on April 24, 2020 (the “Annual Meeting”).</w:t>
      </w:r>
    </w:p>
    <w:p>
      <w:pPr>
        <w:spacing w:after="0" w:line="228"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NOTICE IS HEREBY GIVEN, that as a result of the outbreak of the coronavirus disease 2019 (COVID-19) and rapidly developing public health guidance in the United Kingdom, the Company’s Annual Meeting will be moved from the Company’s headquarters in London to its offices at Pitreavie Business Park, Queensferry Road, Dunfermline KY11 8UD, United Kingdom. These definitive additional materials are being filed with the Securities and Exchange Commission and are being made available to shareholders on or about March 31, 2020.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READ THIS NOTICE CAREFULLY IN CONJUNCTION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31457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45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481F6E"/>
        </w:rPr>
        <w:t>Notice of 2020 Annual General Meeting of Shareholders</w:t>
      </w: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b w:val="1"/>
          <w:bCs w:val="1"/>
          <w:color w:val="481F6E"/>
        </w:rPr>
        <w:t>TechnipFMC plc</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333740"/>
        </w:rPr>
        <w:t>(a public limited company having its registered office at One St. Paul’s Churchyard, London EC4M 8AP, United Kingdom and incorporated in England and Wales with company number 09909709)</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481F6E"/>
        </w:rPr>
        <w:t>April 24, 2020</w:t>
      </w:r>
    </w:p>
    <w:p>
      <w:pPr>
        <w:spacing w:after="0" w:line="46" w:lineRule="exact"/>
        <w:rPr>
          <w:sz w:val="20"/>
          <w:szCs w:val="20"/>
          <w:color w:val="auto"/>
        </w:rPr>
      </w:pPr>
    </w:p>
    <w:p>
      <w:pPr>
        <w:spacing w:after="0"/>
        <w:rPr>
          <w:sz w:val="20"/>
          <w:szCs w:val="20"/>
          <w:color w:val="auto"/>
        </w:rPr>
      </w:pPr>
      <w:r>
        <w:rPr>
          <w:rFonts w:ascii="Arial" w:cs="Arial" w:eastAsia="Arial" w:hAnsi="Arial"/>
          <w:sz w:val="23"/>
          <w:szCs w:val="23"/>
          <w:b w:val="1"/>
          <w:bCs w:val="1"/>
          <w:color w:val="481F6E"/>
        </w:rPr>
        <w:t>10:00 a.m., London time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333740"/>
        </w:rPr>
        <w:t>Pitreavie Business Park, Queensferry Road, Dunfermline KY11 8UD,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64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120" w:type="dxa"/>
            <w:vAlign w:val="bottom"/>
            <w:gridSpan w:val="2"/>
            <w:shd w:val="clear" w:color="auto" w:fill="481F6E"/>
          </w:tcPr>
          <w:p>
            <w:pPr>
              <w:ind w:left="160"/>
              <w:spacing w:after="0"/>
              <w:rPr>
                <w:sz w:val="20"/>
                <w:szCs w:val="20"/>
                <w:color w:val="auto"/>
              </w:rPr>
            </w:pPr>
            <w:r>
              <w:rPr>
                <w:rFonts w:ascii="Arial" w:cs="Arial" w:eastAsia="Arial" w:hAnsi="Arial"/>
                <w:sz w:val="13"/>
                <w:szCs w:val="13"/>
                <w:color w:val="FFFFFF"/>
              </w:rPr>
              <w:t>Proposal</w:t>
            </w:r>
          </w:p>
        </w:tc>
        <w:tc>
          <w:tcPr>
            <w:tcW w:w="2460" w:type="dxa"/>
            <w:vAlign w:val="bottom"/>
            <w:shd w:val="clear" w:color="auto" w:fill="481F6E"/>
          </w:tcPr>
          <w:p>
            <w:pPr>
              <w:ind w:left="180"/>
              <w:spacing w:after="0"/>
              <w:rPr>
                <w:sz w:val="20"/>
                <w:szCs w:val="20"/>
                <w:color w:val="auto"/>
              </w:rPr>
            </w:pPr>
            <w:r>
              <w:rPr>
                <w:rFonts w:ascii="Arial" w:cs="Arial" w:eastAsia="Arial" w:hAnsi="Arial"/>
                <w:sz w:val="13"/>
                <w:szCs w:val="13"/>
                <w:color w:val="FFFFFF"/>
              </w:rPr>
              <w:t>Description</w:t>
            </w:r>
          </w:p>
        </w:tc>
        <w:tc>
          <w:tcPr>
            <w:tcW w:w="2140" w:type="dxa"/>
            <w:vAlign w:val="bottom"/>
            <w:shd w:val="clear" w:color="auto" w:fill="481F6E"/>
          </w:tcPr>
          <w:p>
            <w:pPr>
              <w:spacing w:after="0"/>
              <w:rPr>
                <w:sz w:val="24"/>
                <w:szCs w:val="24"/>
                <w:color w:val="auto"/>
              </w:rPr>
            </w:pPr>
          </w:p>
        </w:tc>
        <w:tc>
          <w:tcPr>
            <w:tcW w:w="1920" w:type="dxa"/>
            <w:vAlign w:val="bottom"/>
            <w:shd w:val="clear" w:color="auto" w:fill="481F6E"/>
          </w:tcPr>
          <w:p>
            <w:pPr>
              <w:spacing w:after="0"/>
              <w:rPr>
                <w:sz w:val="24"/>
                <w:szCs w:val="24"/>
                <w:color w:val="auto"/>
              </w:rPr>
            </w:pPr>
          </w:p>
        </w:tc>
        <w:tc>
          <w:tcPr>
            <w:tcW w:w="3580" w:type="dxa"/>
            <w:vAlign w:val="bottom"/>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60" w:type="dxa"/>
            <w:vAlign w:val="bottom"/>
            <w:shd w:val="clear" w:color="auto" w:fill="481F6E"/>
          </w:tcPr>
          <w:p>
            <w:pPr>
              <w:spacing w:after="0"/>
              <w:rPr>
                <w:sz w:val="13"/>
                <w:szCs w:val="13"/>
                <w:color w:val="auto"/>
              </w:rPr>
            </w:pPr>
          </w:p>
        </w:tc>
        <w:tc>
          <w:tcPr>
            <w:tcW w:w="960" w:type="dxa"/>
            <w:vAlign w:val="bottom"/>
            <w:shd w:val="clear" w:color="auto" w:fill="481F6E"/>
          </w:tcPr>
          <w:p>
            <w:pPr>
              <w:spacing w:after="0"/>
              <w:rPr>
                <w:sz w:val="13"/>
                <w:szCs w:val="13"/>
                <w:color w:val="auto"/>
              </w:rPr>
            </w:pPr>
          </w:p>
        </w:tc>
        <w:tc>
          <w:tcPr>
            <w:tcW w:w="10100" w:type="dxa"/>
            <w:vAlign w:val="bottom"/>
            <w:gridSpan w:val="4"/>
            <w:shd w:val="clear" w:color="auto" w:fill="481F6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0" w:type="dxa"/>
            <w:vAlign w:val="bottom"/>
            <w:tcBorders>
              <w:bottom w:val="single" w:sz="8" w:color="D7D8D6"/>
            </w:tcBorders>
            <w:shd w:val="clear" w:color="auto" w:fill="D7D8D6"/>
          </w:tcPr>
          <w:p>
            <w:pPr>
              <w:spacing w:after="0"/>
              <w:rPr>
                <w:sz w:val="24"/>
                <w:szCs w:val="24"/>
                <w:color w:val="auto"/>
              </w:rPr>
            </w:pPr>
          </w:p>
        </w:tc>
        <w:tc>
          <w:tcPr>
            <w:tcW w:w="960" w:type="dxa"/>
            <w:vAlign w:val="bottom"/>
            <w:tcBorders>
              <w:bottom w:val="single" w:sz="8" w:color="D7D8D6"/>
            </w:tcBorders>
            <w:shd w:val="clear" w:color="auto" w:fill="D7D8D6"/>
          </w:tcPr>
          <w:p>
            <w:pPr>
              <w:spacing w:after="0"/>
              <w:rPr>
                <w:sz w:val="20"/>
                <w:szCs w:val="20"/>
                <w:color w:val="auto"/>
              </w:rPr>
            </w:pPr>
            <w:r>
              <w:rPr>
                <w:rFonts w:ascii="Arial" w:cs="Arial" w:eastAsia="Arial" w:hAnsi="Arial"/>
                <w:sz w:val="13"/>
                <w:szCs w:val="13"/>
                <w:b w:val="1"/>
                <w:bCs w:val="1"/>
                <w:color w:val="333740"/>
              </w:rPr>
              <w:t>1(a) – 1(n)</w:t>
            </w:r>
          </w:p>
        </w:tc>
        <w:tc>
          <w:tcPr>
            <w:tcW w:w="10100" w:type="dxa"/>
            <w:vAlign w:val="bottom"/>
            <w:tcBorders>
              <w:bottom w:val="single" w:sz="8" w:color="D7D8D6"/>
            </w:tcBorders>
            <w:gridSpan w:val="4"/>
            <w:shd w:val="clear" w:color="auto" w:fill="D7D8D6"/>
          </w:tcPr>
          <w:p>
            <w:pPr>
              <w:ind w:left="180"/>
              <w:spacing w:after="0"/>
              <w:rPr>
                <w:sz w:val="20"/>
                <w:szCs w:val="20"/>
                <w:color w:val="auto"/>
              </w:rPr>
            </w:pPr>
            <w:r>
              <w:rPr>
                <w:rFonts w:ascii="Arial" w:cs="Arial" w:eastAsia="Arial" w:hAnsi="Arial"/>
                <w:sz w:val="14"/>
                <w:szCs w:val="14"/>
                <w:b w:val="1"/>
                <w:bCs w:val="1"/>
                <w:color w:val="333740"/>
              </w:rPr>
              <w:t xml:space="preserve">Election of Directors: </w:t>
            </w:r>
            <w:r>
              <w:rPr>
                <w:rFonts w:ascii="Arial" w:cs="Arial" w:eastAsia="Arial" w:hAnsi="Arial"/>
                <w:sz w:val="12"/>
                <w:szCs w:val="12"/>
                <w:color w:val="333740"/>
              </w:rPr>
              <w:t>To re-elect each of our 14 director nominees for a term expiring at the Company’s 2021 Annual General Meeting of Shareholders:</w:t>
            </w:r>
          </w:p>
        </w:tc>
        <w:tc>
          <w:tcPr>
            <w:tcW w:w="0" w:type="dxa"/>
            <w:vAlign w:val="bottom"/>
          </w:tcPr>
          <w:p>
            <w:pPr>
              <w:spacing w:after="0"/>
              <w:rPr>
                <w:sz w:val="1"/>
                <w:szCs w:val="1"/>
                <w:color w:val="auto"/>
              </w:rPr>
            </w:pPr>
          </w:p>
        </w:tc>
      </w:tr>
      <w:tr>
        <w:trPr>
          <w:trHeight w:val="254"/>
        </w:trPr>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tcPr>
          <w:p>
            <w:pPr>
              <w:ind w:left="180"/>
              <w:spacing w:after="0"/>
              <w:rPr>
                <w:sz w:val="20"/>
                <w:szCs w:val="20"/>
                <w:color w:val="auto"/>
              </w:rPr>
            </w:pPr>
            <w:r>
              <w:rPr>
                <w:rFonts w:ascii="Arial" w:cs="Arial" w:eastAsia="Arial" w:hAnsi="Arial"/>
                <w:sz w:val="13"/>
                <w:szCs w:val="13"/>
                <w:color w:val="333740"/>
              </w:rPr>
              <w:t>a. Douglas J. Pferdehirt</w:t>
            </w:r>
          </w:p>
        </w:tc>
        <w:tc>
          <w:tcPr>
            <w:tcW w:w="2140" w:type="dxa"/>
            <w:vAlign w:val="bottom"/>
          </w:tcPr>
          <w:p>
            <w:pPr>
              <w:ind w:left="80"/>
              <w:spacing w:after="0"/>
              <w:rPr>
                <w:sz w:val="20"/>
                <w:szCs w:val="20"/>
                <w:color w:val="auto"/>
              </w:rPr>
            </w:pPr>
            <w:r>
              <w:rPr>
                <w:rFonts w:ascii="Arial" w:cs="Arial" w:eastAsia="Arial" w:hAnsi="Arial"/>
                <w:sz w:val="13"/>
                <w:szCs w:val="13"/>
                <w:color w:val="333740"/>
              </w:rPr>
              <w:t>e. Marie-Ange Debon</w:t>
            </w:r>
          </w:p>
        </w:tc>
        <w:tc>
          <w:tcPr>
            <w:tcW w:w="1920" w:type="dxa"/>
            <w:vAlign w:val="bottom"/>
          </w:tcPr>
          <w:p>
            <w:pPr>
              <w:ind w:left="220"/>
              <w:spacing w:after="0"/>
              <w:rPr>
                <w:sz w:val="20"/>
                <w:szCs w:val="20"/>
                <w:color w:val="auto"/>
              </w:rPr>
            </w:pPr>
            <w:r>
              <w:rPr>
                <w:rFonts w:ascii="Arial" w:cs="Arial" w:eastAsia="Arial" w:hAnsi="Arial"/>
                <w:sz w:val="13"/>
                <w:szCs w:val="13"/>
                <w:color w:val="333740"/>
              </w:rPr>
              <w:t>i. John O’Leary</w:t>
            </w:r>
          </w:p>
        </w:tc>
        <w:tc>
          <w:tcPr>
            <w:tcW w:w="3580" w:type="dxa"/>
            <w:vAlign w:val="bottom"/>
          </w:tcPr>
          <w:p>
            <w:pPr>
              <w:ind w:left="700"/>
              <w:spacing w:after="0"/>
              <w:rPr>
                <w:sz w:val="20"/>
                <w:szCs w:val="20"/>
                <w:color w:val="auto"/>
              </w:rPr>
            </w:pPr>
            <w:r>
              <w:rPr>
                <w:rFonts w:ascii="Arial" w:cs="Arial" w:eastAsia="Arial" w:hAnsi="Arial"/>
                <w:sz w:val="13"/>
                <w:szCs w:val="13"/>
                <w:color w:val="333740"/>
              </w:rPr>
              <w:t>m. James M. Ringler</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Arial" w:cs="Arial" w:eastAsia="Arial" w:hAnsi="Arial"/>
                <w:sz w:val="13"/>
                <w:szCs w:val="13"/>
                <w:color w:val="333740"/>
              </w:rPr>
              <w:t>b. Eleazar de Carvalho Filho</w:t>
            </w:r>
          </w:p>
        </w:tc>
        <w:tc>
          <w:tcPr>
            <w:tcW w:w="2140" w:type="dxa"/>
            <w:vAlign w:val="bottom"/>
          </w:tcPr>
          <w:p>
            <w:pPr>
              <w:ind w:left="80"/>
              <w:spacing w:after="0"/>
              <w:rPr>
                <w:sz w:val="20"/>
                <w:szCs w:val="20"/>
                <w:color w:val="auto"/>
              </w:rPr>
            </w:pPr>
            <w:r>
              <w:rPr>
                <w:rFonts w:ascii="Arial" w:cs="Arial" w:eastAsia="Arial" w:hAnsi="Arial"/>
                <w:sz w:val="13"/>
                <w:szCs w:val="13"/>
                <w:color w:val="333740"/>
              </w:rPr>
              <w:t>f.  Claire S. Farley</w:t>
            </w:r>
          </w:p>
        </w:tc>
        <w:tc>
          <w:tcPr>
            <w:tcW w:w="1920" w:type="dxa"/>
            <w:vAlign w:val="bottom"/>
          </w:tcPr>
          <w:p>
            <w:pPr>
              <w:ind w:left="220"/>
              <w:spacing w:after="0"/>
              <w:rPr>
                <w:sz w:val="20"/>
                <w:szCs w:val="20"/>
                <w:color w:val="auto"/>
              </w:rPr>
            </w:pPr>
            <w:r>
              <w:rPr>
                <w:rFonts w:ascii="Arial" w:cs="Arial" w:eastAsia="Arial" w:hAnsi="Arial"/>
                <w:sz w:val="13"/>
                <w:szCs w:val="13"/>
                <w:color w:val="333740"/>
              </w:rPr>
              <w:t>j. Olivier Piou</w:t>
            </w:r>
          </w:p>
        </w:tc>
        <w:tc>
          <w:tcPr>
            <w:tcW w:w="3580" w:type="dxa"/>
            <w:vAlign w:val="bottom"/>
          </w:tcPr>
          <w:p>
            <w:pPr>
              <w:ind w:left="700"/>
              <w:spacing w:after="0"/>
              <w:rPr>
                <w:sz w:val="20"/>
                <w:szCs w:val="20"/>
                <w:color w:val="auto"/>
              </w:rPr>
            </w:pPr>
            <w:r>
              <w:rPr>
                <w:rFonts w:ascii="Arial" w:cs="Arial" w:eastAsia="Arial" w:hAnsi="Arial"/>
                <w:sz w:val="13"/>
                <w:szCs w:val="13"/>
                <w:color w:val="333740"/>
              </w:rPr>
              <w:t>n.  John Yearwood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Arial" w:cs="Arial" w:eastAsia="Arial" w:hAnsi="Arial"/>
                <w:sz w:val="13"/>
                <w:szCs w:val="13"/>
                <w:color w:val="333740"/>
              </w:rPr>
              <w:t>c. Arnaud Caudoux</w:t>
            </w:r>
          </w:p>
        </w:tc>
        <w:tc>
          <w:tcPr>
            <w:tcW w:w="2140" w:type="dxa"/>
            <w:vAlign w:val="bottom"/>
          </w:tcPr>
          <w:p>
            <w:pPr>
              <w:ind w:left="80"/>
              <w:spacing w:after="0"/>
              <w:rPr>
                <w:sz w:val="20"/>
                <w:szCs w:val="20"/>
                <w:color w:val="auto"/>
              </w:rPr>
            </w:pPr>
            <w:r>
              <w:rPr>
                <w:rFonts w:ascii="Arial" w:cs="Arial" w:eastAsia="Arial" w:hAnsi="Arial"/>
                <w:sz w:val="13"/>
                <w:szCs w:val="13"/>
                <w:color w:val="333740"/>
              </w:rPr>
              <w:t>g. Didier Houssin</w:t>
            </w:r>
          </w:p>
        </w:tc>
        <w:tc>
          <w:tcPr>
            <w:tcW w:w="1920" w:type="dxa"/>
            <w:vAlign w:val="bottom"/>
            <w:vMerge w:val="restart"/>
          </w:tcPr>
          <w:p>
            <w:pPr>
              <w:ind w:left="220"/>
              <w:spacing w:after="0"/>
              <w:rPr>
                <w:sz w:val="20"/>
                <w:szCs w:val="20"/>
                <w:color w:val="auto"/>
              </w:rPr>
            </w:pPr>
            <w:r>
              <w:rPr>
                <w:rFonts w:ascii="Arial" w:cs="Arial" w:eastAsia="Arial" w:hAnsi="Arial"/>
                <w:sz w:val="13"/>
                <w:szCs w:val="13"/>
                <w:color w:val="333740"/>
              </w:rPr>
              <w:t>k. Kay G. Priestly</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60" w:type="dxa"/>
            <w:vAlign w:val="bottom"/>
            <w:vMerge w:val="restart"/>
          </w:tcPr>
          <w:p>
            <w:pPr>
              <w:ind w:left="180"/>
              <w:spacing w:after="0"/>
              <w:rPr>
                <w:sz w:val="20"/>
                <w:szCs w:val="20"/>
                <w:color w:val="auto"/>
              </w:rPr>
            </w:pPr>
            <w:r>
              <w:rPr>
                <w:rFonts w:ascii="Arial" w:cs="Arial" w:eastAsia="Arial" w:hAnsi="Arial"/>
                <w:sz w:val="13"/>
                <w:szCs w:val="13"/>
                <w:color w:val="333740"/>
              </w:rPr>
              <w:t>d. Pascal Colombani</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333740"/>
              </w:rPr>
              <w:t>h. Peter Mellbye</w:t>
            </w:r>
          </w:p>
        </w:tc>
        <w:tc>
          <w:tcPr>
            <w:tcW w:w="19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1920" w:type="dxa"/>
            <w:vAlign w:val="bottom"/>
            <w:vMerge w:val="restart"/>
          </w:tcPr>
          <w:p>
            <w:pPr>
              <w:ind w:left="220"/>
              <w:spacing w:after="0"/>
              <w:rPr>
                <w:sz w:val="20"/>
                <w:szCs w:val="20"/>
                <w:color w:val="auto"/>
              </w:rPr>
            </w:pPr>
            <w:r>
              <w:rPr>
                <w:rFonts w:ascii="Arial" w:cs="Arial" w:eastAsia="Arial" w:hAnsi="Arial"/>
                <w:sz w:val="13"/>
                <w:szCs w:val="13"/>
                <w:color w:val="333740"/>
              </w:rPr>
              <w:t>l. Joseph Rinaldi</w:t>
            </w: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0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333740"/>
                <w:w w:val="99"/>
              </w:rPr>
              <w:t>2019 U.S. Say-on-Pay for Named Executive Officers</w:t>
            </w:r>
            <w:r>
              <w:rPr>
                <w:rFonts w:ascii="Arial" w:cs="Arial" w:eastAsia="Arial" w:hAnsi="Arial"/>
                <w:sz w:val="13"/>
                <w:szCs w:val="13"/>
                <w:color w:val="333740"/>
                <w:w w:val="99"/>
              </w:rPr>
              <w:t>: To approve, as a non-binding advisory resolution, the Company’s named executive officer compensation for the year</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960" w:type="dxa"/>
            <w:vAlign w:val="bottom"/>
            <w:shd w:val="clear" w:color="auto" w:fill="D7D8D6"/>
          </w:tcPr>
          <w:p>
            <w:pPr>
              <w:spacing w:after="0" w:line="129" w:lineRule="exact"/>
              <w:rPr>
                <w:sz w:val="20"/>
                <w:szCs w:val="20"/>
                <w:color w:val="auto"/>
              </w:rPr>
            </w:pPr>
            <w:r>
              <w:rPr>
                <w:rFonts w:ascii="Arial" w:cs="Arial" w:eastAsia="Arial" w:hAnsi="Arial"/>
                <w:sz w:val="13"/>
                <w:szCs w:val="13"/>
                <w:b w:val="1"/>
                <w:bCs w:val="1"/>
                <w:color w:val="333740"/>
              </w:rPr>
              <w:t>2</w:t>
            </w:r>
          </w:p>
        </w:tc>
        <w:tc>
          <w:tcPr>
            <w:tcW w:w="10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0" w:type="dxa"/>
            <w:vAlign w:val="bottom"/>
            <w:gridSpan w:val="2"/>
          </w:tcPr>
          <w:p>
            <w:pPr>
              <w:ind w:left="180"/>
              <w:spacing w:after="0" w:line="146" w:lineRule="exact"/>
              <w:rPr>
                <w:sz w:val="20"/>
                <w:szCs w:val="20"/>
                <w:color w:val="auto"/>
              </w:rPr>
            </w:pPr>
            <w:r>
              <w:rPr>
                <w:rFonts w:ascii="Arial" w:cs="Arial" w:eastAsia="Arial" w:hAnsi="Arial"/>
                <w:sz w:val="13"/>
                <w:szCs w:val="13"/>
                <w:color w:val="333740"/>
              </w:rPr>
              <w:t>ended December 31, 2019, as reported in the Company’s Proxy Statement</w:t>
            </w:r>
          </w:p>
        </w:tc>
        <w:tc>
          <w:tcPr>
            <w:tcW w:w="1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0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333740"/>
                <w:w w:val="98"/>
              </w:rPr>
              <w:t>2019 U.K. Directors’ Remuneration Report</w:t>
            </w:r>
            <w:r>
              <w:rPr>
                <w:rFonts w:ascii="Arial" w:cs="Arial" w:eastAsia="Arial" w:hAnsi="Arial"/>
                <w:sz w:val="13"/>
                <w:szCs w:val="13"/>
                <w:color w:val="333740"/>
                <w:w w:val="98"/>
              </w:rPr>
              <w:t>: To approve, as a non-binding advisory resolution, the Company’s directors’ remuneration report for the year ended December 31,</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960" w:type="dxa"/>
            <w:vAlign w:val="bottom"/>
            <w:shd w:val="clear" w:color="auto" w:fill="D7D8D6"/>
          </w:tcPr>
          <w:p>
            <w:pPr>
              <w:spacing w:after="0" w:line="129" w:lineRule="exact"/>
              <w:rPr>
                <w:sz w:val="20"/>
                <w:szCs w:val="20"/>
                <w:color w:val="auto"/>
              </w:rPr>
            </w:pPr>
            <w:r>
              <w:rPr>
                <w:rFonts w:ascii="Arial" w:cs="Arial" w:eastAsia="Arial" w:hAnsi="Arial"/>
                <w:sz w:val="13"/>
                <w:szCs w:val="13"/>
                <w:b w:val="1"/>
                <w:bCs w:val="1"/>
                <w:color w:val="333740"/>
              </w:rPr>
              <w:t>3</w:t>
            </w:r>
          </w:p>
        </w:tc>
        <w:tc>
          <w:tcPr>
            <w:tcW w:w="10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0" w:type="dxa"/>
            <w:vAlign w:val="bottom"/>
            <w:gridSpan w:val="2"/>
          </w:tcPr>
          <w:p>
            <w:pPr>
              <w:ind w:left="180"/>
              <w:spacing w:after="0" w:line="146" w:lineRule="exact"/>
              <w:rPr>
                <w:sz w:val="20"/>
                <w:szCs w:val="20"/>
                <w:color w:val="auto"/>
              </w:rPr>
            </w:pPr>
            <w:r>
              <w:rPr>
                <w:rFonts w:ascii="Arial" w:cs="Arial" w:eastAsia="Arial" w:hAnsi="Arial"/>
                <w:sz w:val="13"/>
                <w:szCs w:val="13"/>
                <w:color w:val="333740"/>
              </w:rPr>
              <w:t>2019, as reported in the Company’s U.K. Annual Report and Accounts</w:t>
            </w:r>
          </w:p>
        </w:tc>
        <w:tc>
          <w:tcPr>
            <w:tcW w:w="1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0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333740"/>
                <w:w w:val="98"/>
              </w:rPr>
              <w:t>Receipt of U.K. Annual Report and Accounts</w:t>
            </w:r>
            <w:r>
              <w:rPr>
                <w:rFonts w:ascii="Arial" w:cs="Arial" w:eastAsia="Arial" w:hAnsi="Arial"/>
                <w:sz w:val="13"/>
                <w:szCs w:val="13"/>
                <w:color w:val="333740"/>
                <w:w w:val="98"/>
              </w:rPr>
              <w:t>: To receive the Company’s audited U.K. accounts for the year ended December 31, 2019, including the reports of the directors</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960" w:type="dxa"/>
            <w:vAlign w:val="bottom"/>
            <w:shd w:val="clear" w:color="auto" w:fill="D7D8D6"/>
          </w:tcPr>
          <w:p>
            <w:pPr>
              <w:spacing w:after="0" w:line="129" w:lineRule="exact"/>
              <w:rPr>
                <w:sz w:val="20"/>
                <w:szCs w:val="20"/>
                <w:color w:val="auto"/>
              </w:rPr>
            </w:pPr>
            <w:r>
              <w:rPr>
                <w:rFonts w:ascii="Arial" w:cs="Arial" w:eastAsia="Arial" w:hAnsi="Arial"/>
                <w:sz w:val="13"/>
                <w:szCs w:val="13"/>
                <w:b w:val="1"/>
                <w:bCs w:val="1"/>
                <w:color w:val="333740"/>
              </w:rPr>
              <w:t>4</w:t>
            </w:r>
          </w:p>
        </w:tc>
        <w:tc>
          <w:tcPr>
            <w:tcW w:w="10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tcPr>
          <w:p>
            <w:pPr>
              <w:ind w:left="180"/>
              <w:spacing w:after="0" w:line="146" w:lineRule="exact"/>
              <w:rPr>
                <w:sz w:val="20"/>
                <w:szCs w:val="20"/>
                <w:color w:val="auto"/>
              </w:rPr>
            </w:pPr>
            <w:r>
              <w:rPr>
                <w:rFonts w:ascii="Arial" w:cs="Arial" w:eastAsia="Arial" w:hAnsi="Arial"/>
                <w:sz w:val="13"/>
                <w:szCs w:val="13"/>
                <w:color w:val="333740"/>
              </w:rPr>
              <w:t>and the auditor thereon</w:t>
            </w:r>
          </w:p>
        </w:tc>
        <w:tc>
          <w:tcPr>
            <w:tcW w:w="2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0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333740"/>
                <w:w w:val="98"/>
              </w:rPr>
              <w:t>Ratification of PwC as U.S. Audito</w:t>
            </w:r>
            <w:r>
              <w:rPr>
                <w:rFonts w:ascii="Arial" w:cs="Arial" w:eastAsia="Arial" w:hAnsi="Arial"/>
                <w:sz w:val="13"/>
                <w:szCs w:val="13"/>
                <w:color w:val="333740"/>
                <w:w w:val="98"/>
              </w:rPr>
              <w:t>r: To ratify the appointment of PricewaterhouseCoopers LLP (“</w:t>
            </w:r>
            <w:r>
              <w:rPr>
                <w:rFonts w:ascii="Arial" w:cs="Arial" w:eastAsia="Arial" w:hAnsi="Arial"/>
                <w:sz w:val="13"/>
                <w:szCs w:val="13"/>
                <w:b w:val="1"/>
                <w:bCs w:val="1"/>
                <w:color w:val="333740"/>
                <w:w w:val="98"/>
              </w:rPr>
              <w:t>PwC</w:t>
            </w:r>
            <w:r>
              <w:rPr>
                <w:rFonts w:ascii="Arial" w:cs="Arial" w:eastAsia="Arial" w:hAnsi="Arial"/>
                <w:sz w:val="13"/>
                <w:szCs w:val="13"/>
                <w:color w:val="333740"/>
                <w:w w:val="98"/>
              </w:rPr>
              <w:t>”) as the Company’s U.S. independent registered public accounting firm</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960" w:type="dxa"/>
            <w:vAlign w:val="bottom"/>
            <w:shd w:val="clear" w:color="auto" w:fill="D7D8D6"/>
          </w:tcPr>
          <w:p>
            <w:pPr>
              <w:spacing w:after="0" w:line="129" w:lineRule="exact"/>
              <w:rPr>
                <w:sz w:val="20"/>
                <w:szCs w:val="20"/>
                <w:color w:val="auto"/>
              </w:rPr>
            </w:pPr>
            <w:r>
              <w:rPr>
                <w:rFonts w:ascii="Arial" w:cs="Arial" w:eastAsia="Arial" w:hAnsi="Arial"/>
                <w:sz w:val="13"/>
                <w:szCs w:val="13"/>
                <w:b w:val="1"/>
                <w:bCs w:val="1"/>
                <w:color w:val="333740"/>
              </w:rPr>
              <w:t>5</w:t>
            </w:r>
          </w:p>
        </w:tc>
        <w:tc>
          <w:tcPr>
            <w:tcW w:w="10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tcPr>
          <w:p>
            <w:pPr>
              <w:ind w:left="180"/>
              <w:spacing w:after="0" w:line="146" w:lineRule="exact"/>
              <w:rPr>
                <w:sz w:val="20"/>
                <w:szCs w:val="20"/>
                <w:color w:val="auto"/>
              </w:rPr>
            </w:pPr>
            <w:r>
              <w:rPr>
                <w:rFonts w:ascii="Arial" w:cs="Arial" w:eastAsia="Arial" w:hAnsi="Arial"/>
                <w:sz w:val="13"/>
                <w:szCs w:val="13"/>
                <w:color w:val="333740"/>
                <w:w w:val="99"/>
              </w:rPr>
              <w:t>for the year ending December 31, 2020</w:t>
            </w:r>
          </w:p>
        </w:tc>
        <w:tc>
          <w:tcPr>
            <w:tcW w:w="2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0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333740"/>
              </w:rPr>
              <w:t>Reappointment of PwC as U.K. Statutory Auditor</w:t>
            </w:r>
            <w:r>
              <w:rPr>
                <w:rFonts w:ascii="Arial" w:cs="Arial" w:eastAsia="Arial" w:hAnsi="Arial"/>
                <w:sz w:val="13"/>
                <w:szCs w:val="13"/>
                <w:color w:val="333740"/>
              </w:rPr>
              <w:t>: To reappoint PwC as the Company’s U.K. statutory auditor under the U.K. Companies Act 2006, to hold office from the</w:t>
            </w:r>
          </w:p>
        </w:tc>
        <w:tc>
          <w:tcPr>
            <w:tcW w:w="0" w:type="dxa"/>
            <w:vAlign w:val="bottom"/>
          </w:tcPr>
          <w:p>
            <w:pPr>
              <w:spacing w:after="0"/>
              <w:rPr>
                <w:sz w:val="1"/>
                <w:szCs w:val="1"/>
                <w:color w:val="auto"/>
              </w:rPr>
            </w:pPr>
          </w:p>
        </w:tc>
      </w:tr>
      <w:tr>
        <w:trPr>
          <w:trHeight w:val="135"/>
        </w:trPr>
        <w:tc>
          <w:tcPr>
            <w:tcW w:w="160" w:type="dxa"/>
            <w:vAlign w:val="bottom"/>
            <w:vMerge w:val="continue"/>
          </w:tcPr>
          <w:p>
            <w:pPr>
              <w:spacing w:after="0"/>
              <w:rPr>
                <w:sz w:val="11"/>
                <w:szCs w:val="11"/>
                <w:color w:val="auto"/>
              </w:rPr>
            </w:pPr>
          </w:p>
        </w:tc>
        <w:tc>
          <w:tcPr>
            <w:tcW w:w="960" w:type="dxa"/>
            <w:vAlign w:val="bottom"/>
            <w:shd w:val="clear" w:color="auto" w:fill="D7D8D6"/>
          </w:tcPr>
          <w:p>
            <w:pPr>
              <w:spacing w:after="0" w:line="129" w:lineRule="exact"/>
              <w:rPr>
                <w:sz w:val="20"/>
                <w:szCs w:val="20"/>
                <w:color w:val="auto"/>
              </w:rPr>
            </w:pPr>
            <w:r>
              <w:rPr>
                <w:rFonts w:ascii="Arial" w:cs="Arial" w:eastAsia="Arial" w:hAnsi="Arial"/>
                <w:sz w:val="13"/>
                <w:szCs w:val="13"/>
                <w:b w:val="1"/>
                <w:bCs w:val="1"/>
                <w:color w:val="333740"/>
              </w:rPr>
              <w:t>6</w:t>
            </w:r>
          </w:p>
        </w:tc>
        <w:tc>
          <w:tcPr>
            <w:tcW w:w="10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100" w:type="dxa"/>
            <w:vAlign w:val="bottom"/>
            <w:gridSpan w:val="4"/>
          </w:tcPr>
          <w:p>
            <w:pPr>
              <w:ind w:left="180"/>
              <w:spacing w:after="0" w:line="146" w:lineRule="exact"/>
              <w:rPr>
                <w:sz w:val="20"/>
                <w:szCs w:val="20"/>
                <w:color w:val="auto"/>
              </w:rPr>
            </w:pPr>
            <w:r>
              <w:rPr>
                <w:rFonts w:ascii="Arial" w:cs="Arial" w:eastAsia="Arial" w:hAnsi="Arial"/>
                <w:sz w:val="13"/>
                <w:szCs w:val="13"/>
                <w:color w:val="333740"/>
              </w:rPr>
              <w:t>conclusion of the 2020 Annual General Meeting of Shareholders until the next annual general meeting of shareholders at which accounts are laid</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300" w:right="340" w:hanging="1144"/>
        <w:spacing w:after="0" w:line="246" w:lineRule="auto"/>
        <w:tabs>
          <w:tab w:leader="none" w:pos="1300" w:val="left"/>
        </w:tabs>
        <w:numPr>
          <w:ilvl w:val="0"/>
          <w:numId w:val="6"/>
        </w:numPr>
        <w:rPr>
          <w:rFonts w:ascii="Arial" w:cs="Arial" w:eastAsia="Arial" w:hAnsi="Arial"/>
          <w:sz w:val="13"/>
          <w:szCs w:val="13"/>
          <w:b w:val="1"/>
          <w:bCs w:val="1"/>
          <w:color w:val="333740"/>
        </w:rPr>
      </w:pPr>
      <w:r>
        <w:rPr>
          <w:rFonts w:ascii="Arial" w:cs="Arial" w:eastAsia="Arial" w:hAnsi="Arial"/>
          <w:sz w:val="13"/>
          <w:szCs w:val="13"/>
          <w:b w:val="1"/>
          <w:bCs w:val="1"/>
          <w:color w:val="333740"/>
        </w:rPr>
        <w:t>Approval of U.K. Statutory Auditor Fees</w:t>
      </w:r>
      <w:r>
        <w:rPr>
          <w:rFonts w:ascii="Arial" w:cs="Arial" w:eastAsia="Arial" w:hAnsi="Arial"/>
          <w:sz w:val="13"/>
          <w:szCs w:val="13"/>
          <w:color w:val="333740"/>
        </w:rPr>
        <w:t>: To authorize the Board and/or the Audit Committee to determine the remuneration of PwC, in its capacity as the Company’s U.K.</w:t>
      </w:r>
      <w:r>
        <w:rPr>
          <w:rFonts w:ascii="Arial" w:cs="Arial" w:eastAsia="Arial" w:hAnsi="Arial"/>
          <w:sz w:val="13"/>
          <w:szCs w:val="13"/>
          <w:b w:val="1"/>
          <w:bCs w:val="1"/>
          <w:color w:val="333740"/>
        </w:rPr>
        <w:t xml:space="preserve"> </w:t>
      </w:r>
      <w:r>
        <w:rPr>
          <w:rFonts w:ascii="Arial" w:cs="Arial" w:eastAsia="Arial" w:hAnsi="Arial"/>
          <w:sz w:val="13"/>
          <w:szCs w:val="13"/>
          <w:color w:val="333740"/>
        </w:rPr>
        <w:t>statutory auditor for the year ending December 31, 2020</w:t>
      </w:r>
    </w:p>
    <w:p>
      <w:pPr>
        <w:spacing w:after="0" w:line="277" w:lineRule="exact"/>
        <w:rPr>
          <w:sz w:val="20"/>
          <w:szCs w:val="20"/>
          <w:color w:val="auto"/>
        </w:rPr>
      </w:pPr>
    </w:p>
    <w:p>
      <w:pPr>
        <w:ind w:right="240"/>
        <w:spacing w:after="0" w:line="230" w:lineRule="auto"/>
        <w:rPr>
          <w:sz w:val="20"/>
          <w:szCs w:val="20"/>
          <w:color w:val="auto"/>
        </w:rPr>
      </w:pPr>
      <w:r>
        <w:rPr>
          <w:rFonts w:ascii="Arial" w:cs="Arial" w:eastAsia="Arial" w:hAnsi="Arial"/>
          <w:sz w:val="13"/>
          <w:szCs w:val="13"/>
          <w:color w:val="333740"/>
        </w:rPr>
        <w:t>These items are more fully described in the Proxy Statement mailed to you on March 13, 2020. As of the date of this Notice, TechnipFMC does not know of any other matters to be raised at the 2020 Annual General Meeting of Shareholders.</w:t>
      </w:r>
    </w:p>
    <w:p>
      <w:pPr>
        <w:spacing w:after="0" w:line="75" w:lineRule="exact"/>
        <w:rPr>
          <w:sz w:val="20"/>
          <w:szCs w:val="20"/>
          <w:color w:val="auto"/>
        </w:rPr>
      </w:pPr>
    </w:p>
    <w:p>
      <w:pPr>
        <w:spacing w:after="0" w:line="229" w:lineRule="auto"/>
        <w:rPr>
          <w:sz w:val="20"/>
          <w:szCs w:val="20"/>
          <w:color w:val="auto"/>
        </w:rPr>
      </w:pPr>
      <w:r>
        <w:rPr>
          <w:rFonts w:ascii="Arial" w:cs="Arial" w:eastAsia="Arial" w:hAnsi="Arial"/>
          <w:sz w:val="13"/>
          <w:szCs w:val="13"/>
          <w:b w:val="1"/>
          <w:bCs w:val="1"/>
          <w:color w:val="333740"/>
        </w:rPr>
        <w:t>Your vote is very important. You may continue to use the proxy card mailed to you on March 13, 2020 to vote in connection with the Annual Meeting. To ensure appropriate social distancing protocols, the Company requests that shareholders not attend the Annual Meeting in person. The Board encourages you to (i) promptly return your proxy card or (ii) grant a proxy and give voting instructions by telephone or internet, so that you may be represented at the meeting. Voting instructions are provided on your proxy card or on the voting instruction form provided by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148590</wp:posOffset>
            </wp:positionV>
            <wp:extent cx="1877060" cy="1654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7060" cy="165417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333740"/>
        </w:rPr>
        <w:t>April 1, 2020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333740"/>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25158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b w:val="1"/>
          <w:bCs w:val="1"/>
          <w:color w:val="333740"/>
        </w:rPr>
        <w:t>Dianne B. Ralston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333740"/>
        </w:rPr>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878840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2020-04-01T15:25:02Z</dcterms:created>
  <dcterms:modified xsi:type="dcterms:W3CDTF">2020-04-01T15:25:02Z</dcterms:modified>
</cp:coreProperties>
</file>