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33" w:lineRule="exact"/>
        <w:rPr>
          <w:sz w:val="24"/>
          <w:szCs w:val="24"/>
          <w:color w:val="auto"/>
        </w:rPr>
      </w:pPr>
    </w:p>
    <w:p>
      <w:pPr>
        <w:jc w:val="center"/>
        <w:ind w:left="4000" w:right="1340" w:hanging="2647"/>
        <w:spacing w:after="0" w:line="282" w:lineRule="auto"/>
        <w:tabs>
          <w:tab w:leader="none" w:pos="1589"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June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0" w:lineRule="exact"/>
        <w:rPr>
          <w:sz w:val="24"/>
          <w:szCs w:val="24"/>
          <w:color w:val="auto"/>
        </w:rPr>
      </w:pPr>
    </w:p>
    <w:p>
      <w:pPr>
        <w:jc w:val="center"/>
        <w:ind w:left="3960" w:right="1340" w:hanging="2606"/>
        <w:spacing w:after="0" w:line="253" w:lineRule="auto"/>
        <w:tabs>
          <w:tab w:leader="none" w:pos="1595"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3" w:lineRule="exact"/>
        <w:rPr>
          <w:rFonts w:ascii="MS PGothic" w:cs="MS PGothic" w:eastAsia="MS PGothic" w:hAnsi="MS PGothic"/>
          <w:sz w:val="22"/>
          <w:szCs w:val="22"/>
          <w:color w:val="auto"/>
        </w:rPr>
      </w:pPr>
    </w:p>
    <w:p>
      <w:pPr>
        <w:ind w:left="4280"/>
        <w:spacing w:after="0"/>
        <w:rPr>
          <w:rFonts w:ascii="MS PGothic" w:cs="MS PGothic" w:eastAsia="MS PGothic" w:hAnsi="MS PGothic"/>
          <w:sz w:val="22"/>
          <w:szCs w:val="22"/>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378" w:lineRule="exact"/>
        <w:rPr>
          <w:sz w:val="24"/>
          <w:szCs w:val="24"/>
          <w:color w:val="auto"/>
        </w:rPr>
      </w:pPr>
    </w:p>
    <w:tbl>
      <w:tblPr>
        <w:tblLayout w:type="fixed"/>
        <w:tblInd w:w="1220" w:type="dxa"/>
        <w:tblCellMar>
          <w:top w:w="0" w:type="dxa"/>
          <w:left w:w="0" w:type="dxa"/>
          <w:bottom w:w="0" w:type="dxa"/>
          <w:right w:w="0" w:type="dxa"/>
        </w:tblCellMar>
      </w:tblPr>
      <w:tr>
        <w:trPr>
          <w:trHeight w:val="215"/>
        </w:trPr>
        <w:tc>
          <w:tcPr>
            <w:tcW w:w="6060" w:type="dxa"/>
            <w:vAlign w:val="bottom"/>
          </w:tcPr>
          <w:p>
            <w:pPr>
              <w:jc w:val="center"/>
              <w:ind w:right="2746"/>
              <w:spacing w:after="0"/>
              <w:rPr>
                <w:sz w:val="20"/>
                <w:szCs w:val="20"/>
                <w:color w:val="auto"/>
              </w:rPr>
            </w:pPr>
            <w:r>
              <w:rPr>
                <w:rFonts w:ascii="Arial" w:cs="Arial" w:eastAsia="Arial" w:hAnsi="Arial"/>
                <w:sz w:val="16"/>
                <w:szCs w:val="16"/>
                <w:b w:val="1"/>
                <w:bCs w:val="1"/>
                <w:color w:val="auto"/>
              </w:rPr>
              <w:t>United Kingdom</w:t>
            </w:r>
          </w:p>
        </w:tc>
        <w:tc>
          <w:tcPr>
            <w:tcW w:w="2120" w:type="dxa"/>
            <w:vAlign w:val="bottom"/>
          </w:tcPr>
          <w:p>
            <w:pPr>
              <w:jc w:val="right"/>
              <w:ind w:right="468"/>
              <w:spacing w:after="0"/>
              <w:rPr>
                <w:sz w:val="20"/>
                <w:szCs w:val="20"/>
                <w:color w:val="auto"/>
              </w:rPr>
            </w:pPr>
            <w:r>
              <w:rPr>
                <w:rFonts w:ascii="Arial" w:cs="Arial" w:eastAsia="Arial" w:hAnsi="Arial"/>
                <w:sz w:val="16"/>
                <w:szCs w:val="16"/>
                <w:b w:val="1"/>
                <w:bCs w:val="1"/>
                <w:color w:val="auto"/>
              </w:rPr>
              <w:t>98-1283037</w:t>
            </w:r>
          </w:p>
        </w:tc>
      </w:tr>
      <w:tr>
        <w:trPr>
          <w:trHeight w:val="193"/>
        </w:trPr>
        <w:tc>
          <w:tcPr>
            <w:tcW w:w="6060" w:type="dxa"/>
            <w:vAlign w:val="bottom"/>
          </w:tcPr>
          <w:p>
            <w:pPr>
              <w:jc w:val="center"/>
              <w:ind w:right="2746"/>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120" w:type="dxa"/>
            <w:vAlign w:val="bottom"/>
          </w:tcPr>
          <w:p>
            <w:pPr>
              <w:jc w:val="center"/>
              <w:ind w:left="108"/>
              <w:spacing w:after="0"/>
              <w:rPr>
                <w:sz w:val="20"/>
                <w:szCs w:val="20"/>
                <w:color w:val="auto"/>
              </w:rPr>
            </w:pPr>
            <w:r>
              <w:rPr>
                <w:rFonts w:ascii="Arial" w:cs="Arial" w:eastAsia="Arial" w:hAnsi="Arial"/>
                <w:sz w:val="13"/>
                <w:szCs w:val="13"/>
                <w:color w:val="auto"/>
                <w:w w:val="96"/>
              </w:rPr>
              <w:t>(I.R.S. Employer Identification No.)</w:t>
            </w:r>
          </w:p>
        </w:tc>
      </w:tr>
      <w:tr>
        <w:trPr>
          <w:trHeight w:val="401"/>
        </w:trPr>
        <w:tc>
          <w:tcPr>
            <w:tcW w:w="6060" w:type="dxa"/>
            <w:vAlign w:val="bottom"/>
          </w:tcPr>
          <w:p>
            <w:pPr>
              <w:jc w:val="center"/>
              <w:ind w:right="2746"/>
              <w:spacing w:after="0"/>
              <w:rPr>
                <w:sz w:val="20"/>
                <w:szCs w:val="20"/>
                <w:color w:val="auto"/>
              </w:rPr>
            </w:pPr>
            <w:r>
              <w:rPr>
                <w:rFonts w:ascii="Arial" w:cs="Arial" w:eastAsia="Arial" w:hAnsi="Arial"/>
                <w:sz w:val="16"/>
                <w:szCs w:val="16"/>
                <w:b w:val="1"/>
                <w:bCs w:val="1"/>
                <w:color w:val="auto"/>
              </w:rPr>
              <w:t>One St. Paul’s Churchyard</w:t>
            </w:r>
          </w:p>
        </w:tc>
        <w:tc>
          <w:tcPr>
            <w:tcW w:w="2120" w:type="dxa"/>
            <w:vAlign w:val="bottom"/>
          </w:tcPr>
          <w:p>
            <w:pPr>
              <w:spacing w:after="0"/>
              <w:rPr>
                <w:sz w:val="24"/>
                <w:szCs w:val="24"/>
                <w:color w:val="auto"/>
              </w:rPr>
            </w:pPr>
          </w:p>
        </w:tc>
      </w:tr>
      <w:tr>
        <w:trPr>
          <w:trHeight w:val="243"/>
        </w:trPr>
        <w:tc>
          <w:tcPr>
            <w:tcW w:w="6060" w:type="dxa"/>
            <w:vAlign w:val="bottom"/>
          </w:tcPr>
          <w:p>
            <w:pPr>
              <w:jc w:val="center"/>
              <w:ind w:right="2746"/>
              <w:spacing w:after="0"/>
              <w:rPr>
                <w:sz w:val="20"/>
                <w:szCs w:val="20"/>
                <w:color w:val="auto"/>
              </w:rPr>
            </w:pPr>
            <w:r>
              <w:rPr>
                <w:rFonts w:ascii="Arial" w:cs="Arial" w:eastAsia="Arial" w:hAnsi="Arial"/>
                <w:sz w:val="16"/>
                <w:szCs w:val="16"/>
                <w:b w:val="1"/>
                <w:bCs w:val="1"/>
                <w:color w:val="auto"/>
              </w:rPr>
              <w:t>London</w:t>
            </w:r>
          </w:p>
        </w:tc>
        <w:tc>
          <w:tcPr>
            <w:tcW w:w="2120" w:type="dxa"/>
            <w:vAlign w:val="bottom"/>
          </w:tcPr>
          <w:p>
            <w:pPr>
              <w:spacing w:after="0"/>
              <w:rPr>
                <w:sz w:val="21"/>
                <w:szCs w:val="21"/>
                <w:color w:val="auto"/>
              </w:rPr>
            </w:pPr>
          </w:p>
        </w:tc>
      </w:tr>
      <w:tr>
        <w:trPr>
          <w:trHeight w:val="243"/>
        </w:trPr>
        <w:tc>
          <w:tcPr>
            <w:tcW w:w="6060" w:type="dxa"/>
            <w:vAlign w:val="bottom"/>
          </w:tcPr>
          <w:p>
            <w:pPr>
              <w:jc w:val="center"/>
              <w:ind w:right="2746"/>
              <w:spacing w:after="0"/>
              <w:rPr>
                <w:sz w:val="20"/>
                <w:szCs w:val="20"/>
                <w:color w:val="auto"/>
              </w:rPr>
            </w:pPr>
            <w:r>
              <w:rPr>
                <w:rFonts w:ascii="Arial" w:cs="Arial" w:eastAsia="Arial" w:hAnsi="Arial"/>
                <w:sz w:val="16"/>
                <w:szCs w:val="16"/>
                <w:b w:val="1"/>
                <w:bCs w:val="1"/>
                <w:color w:val="auto"/>
              </w:rPr>
              <w:t>United Kingdom</w:t>
            </w:r>
          </w:p>
        </w:tc>
        <w:tc>
          <w:tcPr>
            <w:tcW w:w="2120" w:type="dxa"/>
            <w:vAlign w:val="bottom"/>
          </w:tcPr>
          <w:p>
            <w:pPr>
              <w:jc w:val="center"/>
              <w:ind w:left="108"/>
              <w:spacing w:after="0"/>
              <w:rPr>
                <w:sz w:val="20"/>
                <w:szCs w:val="20"/>
                <w:color w:val="auto"/>
              </w:rPr>
            </w:pPr>
            <w:r>
              <w:rPr>
                <w:rFonts w:ascii="Arial" w:cs="Arial" w:eastAsia="Arial" w:hAnsi="Arial"/>
                <w:sz w:val="16"/>
                <w:szCs w:val="16"/>
                <w:b w:val="1"/>
                <w:bCs w:val="1"/>
                <w:color w:val="auto"/>
              </w:rPr>
              <w:t>EC4M 8AP</w:t>
            </w:r>
          </w:p>
        </w:tc>
      </w:tr>
      <w:tr>
        <w:trPr>
          <w:trHeight w:val="193"/>
        </w:trPr>
        <w:tc>
          <w:tcPr>
            <w:tcW w:w="6060" w:type="dxa"/>
            <w:vAlign w:val="bottom"/>
          </w:tcPr>
          <w:p>
            <w:pPr>
              <w:jc w:val="center"/>
              <w:ind w:right="2746"/>
              <w:spacing w:after="0"/>
              <w:rPr>
                <w:sz w:val="20"/>
                <w:szCs w:val="20"/>
                <w:color w:val="auto"/>
              </w:rPr>
            </w:pPr>
            <w:r>
              <w:rPr>
                <w:rFonts w:ascii="Arial" w:cs="Arial" w:eastAsia="Arial" w:hAnsi="Arial"/>
                <w:sz w:val="13"/>
                <w:szCs w:val="13"/>
                <w:color w:val="auto"/>
                <w:w w:val="97"/>
              </w:rPr>
              <w:t>(Address of principal executive offices)</w:t>
            </w:r>
          </w:p>
        </w:tc>
        <w:tc>
          <w:tcPr>
            <w:tcW w:w="2120" w:type="dxa"/>
            <w:vAlign w:val="bottom"/>
          </w:tcPr>
          <w:p>
            <w:pPr>
              <w:jc w:val="center"/>
              <w:ind w:left="108"/>
              <w:spacing w:after="0"/>
              <w:rPr>
                <w:sz w:val="20"/>
                <w:szCs w:val="20"/>
                <w:color w:val="auto"/>
              </w:rPr>
            </w:pPr>
            <w:r>
              <w:rPr>
                <w:rFonts w:ascii="Arial" w:cs="Arial" w:eastAsia="Arial" w:hAnsi="Arial"/>
                <w:sz w:val="13"/>
                <w:szCs w:val="13"/>
                <w:color w:val="auto"/>
                <w:w w:val="94"/>
              </w:rPr>
              <w:t>(Zip Code)</w:t>
            </w:r>
          </w:p>
        </w:tc>
      </w:tr>
      <w:tr>
        <w:trPr>
          <w:trHeight w:val="307"/>
        </w:trPr>
        <w:tc>
          <w:tcPr>
            <w:tcW w:w="6060" w:type="dxa"/>
            <w:vAlign w:val="bottom"/>
          </w:tcPr>
          <w:p>
            <w:pPr>
              <w:jc w:val="right"/>
              <w:ind w:right="926"/>
              <w:spacing w:after="0"/>
              <w:rPr>
                <w:sz w:val="20"/>
                <w:szCs w:val="20"/>
                <w:color w:val="auto"/>
              </w:rPr>
            </w:pPr>
            <w:r>
              <w:rPr>
                <w:rFonts w:ascii="Arial" w:cs="Arial" w:eastAsia="Arial" w:hAnsi="Arial"/>
                <w:sz w:val="16"/>
                <w:szCs w:val="16"/>
                <w:b w:val="1"/>
                <w:bCs w:val="1"/>
                <w:color w:val="auto"/>
              </w:rPr>
              <w:t>+44 203-429-3950</w:t>
            </w:r>
          </w:p>
        </w:tc>
        <w:tc>
          <w:tcPr>
            <w:tcW w:w="2120" w:type="dxa"/>
            <w:vAlign w:val="bottom"/>
          </w:tcPr>
          <w:p>
            <w:pPr>
              <w:spacing w:after="0"/>
              <w:rPr>
                <w:sz w:val="24"/>
                <w:szCs w:val="24"/>
                <w:color w:val="auto"/>
              </w:rPr>
            </w:pPr>
          </w:p>
        </w:tc>
      </w:tr>
      <w:tr>
        <w:trPr>
          <w:trHeight w:val="146"/>
        </w:trPr>
        <w:tc>
          <w:tcPr>
            <w:tcW w:w="6060" w:type="dxa"/>
            <w:vAlign w:val="bottom"/>
          </w:tcPr>
          <w:p>
            <w:pPr>
              <w:jc w:val="center"/>
              <w:ind w:left="2666"/>
              <w:spacing w:after="0" w:line="146" w:lineRule="exact"/>
              <w:rPr>
                <w:sz w:val="20"/>
                <w:szCs w:val="20"/>
                <w:color w:val="auto"/>
              </w:rPr>
            </w:pPr>
            <w:r>
              <w:rPr>
                <w:rFonts w:ascii="Arial" w:cs="Arial" w:eastAsia="Arial" w:hAnsi="Arial"/>
                <w:sz w:val="13"/>
                <w:szCs w:val="13"/>
                <w:color w:val="auto"/>
                <w:w w:val="96"/>
              </w:rPr>
              <w:t>(Registrant’s telephone number, including area code)</w:t>
            </w:r>
          </w:p>
        </w:tc>
        <w:tc>
          <w:tcPr>
            <w:tcW w:w="2120" w:type="dxa"/>
            <w:vAlign w:val="bottom"/>
          </w:tcPr>
          <w:p>
            <w:pPr>
              <w:spacing w:after="0"/>
              <w:rPr>
                <w:sz w:val="12"/>
                <w:szCs w:val="12"/>
                <w:color w:val="auto"/>
              </w:rPr>
            </w:pPr>
          </w:p>
        </w:tc>
      </w:tr>
    </w:tbl>
    <w:p>
      <w:pPr>
        <w:ind w:left="34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068" w:right="339" w:bottom="1440" w:gutter="0" w:footer="0" w:header="0"/>
        </w:sectPr>
      </w:pPr>
    </w:p>
    <w:p>
      <w:pPr>
        <w:spacing w:after="0" w:line="55"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400" w:space="720"/>
            <w:col w:w="1560" w:space="720"/>
            <w:col w:w="3840"/>
          </w:cols>
          <w:pgMar w:left="320" w:top="1068"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4" w:lineRule="exact"/>
        <w:rPr>
          <w:sz w:val="24"/>
          <w:szCs w:val="24"/>
          <w:color w:val="auto"/>
        </w:rPr>
      </w:pPr>
    </w:p>
    <w:p>
      <w:pPr>
        <w:sectPr>
          <w:pgSz w:w="11900" w:h="16838" w:orient="portrait"/>
          <w:cols w:equalWidth="0" w:num="3">
            <w:col w:w="4820" w:space="720"/>
            <w:col w:w="1860" w:space="720"/>
            <w:col w:w="3120"/>
          </w:cols>
          <w:pgMar w:left="320" w:top="1068"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70"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76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9"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760" w:type="dxa"/>
            <w:vAlign w:val="bottom"/>
            <w:gridSpan w:val="2"/>
          </w:tcPr>
          <w:p>
            <w:pPr>
              <w:jc w:val="center"/>
              <w:ind w:right="3380"/>
              <w:spacing w:after="0"/>
              <w:rPr>
                <w:sz w:val="20"/>
                <w:szCs w:val="20"/>
                <w:color w:val="auto"/>
              </w:rPr>
            </w:pPr>
            <w:r>
              <w:rPr>
                <w:rFonts w:ascii="Arial" w:cs="Arial" w:eastAsia="Arial" w:hAnsi="Arial"/>
                <w:sz w:val="14"/>
                <w:szCs w:val="14"/>
                <w:b w:val="1"/>
                <w:bCs w:val="1"/>
                <w:color w:val="auto"/>
              </w:rPr>
              <w:t>Class</w:t>
            </w:r>
          </w:p>
        </w:tc>
        <w:tc>
          <w:tcPr>
            <w:tcW w:w="538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Outstanding at July 29, 2020</w:t>
            </w:r>
          </w:p>
        </w:tc>
      </w:tr>
      <w:tr>
        <w:trPr>
          <w:trHeight w:val="20"/>
        </w:trPr>
        <w:tc>
          <w:tcPr>
            <w:tcW w:w="2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5"/>
        </w:trPr>
        <w:tc>
          <w:tcPr>
            <w:tcW w:w="58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Ordinary shares, $1.00 par value per share</w:t>
            </w:r>
          </w:p>
        </w:tc>
        <w:tc>
          <w:tcPr>
            <w:tcW w:w="4060" w:type="dxa"/>
            <w:vAlign w:val="bottom"/>
            <w:gridSpan w:val="2"/>
          </w:tcPr>
          <w:p>
            <w:pPr>
              <w:jc w:val="right"/>
              <w:ind w:right="580"/>
              <w:spacing w:after="0"/>
              <w:rPr>
                <w:sz w:val="20"/>
                <w:szCs w:val="20"/>
                <w:color w:val="auto"/>
              </w:rPr>
            </w:pPr>
            <w:r>
              <w:rPr>
                <w:rFonts w:ascii="Arial" w:cs="Arial" w:eastAsia="Arial" w:hAnsi="Arial"/>
                <w:sz w:val="14"/>
                <w:szCs w:val="14"/>
                <w:color w:val="auto"/>
              </w:rPr>
              <w:t>449,332,133</w:t>
            </w:r>
          </w:p>
        </w:tc>
        <w:tc>
          <w:tcPr>
            <w:tcW w:w="1320" w:type="dxa"/>
            <w:vAlign w:val="bottom"/>
          </w:tcPr>
          <w:p>
            <w:pPr>
              <w:spacing w:after="0"/>
              <w:rPr>
                <w:sz w:val="19"/>
                <w:szCs w:val="19"/>
                <w:color w:val="auto"/>
              </w:rPr>
            </w:pPr>
          </w:p>
        </w:tc>
      </w:tr>
      <w:tr>
        <w:trPr>
          <w:trHeight w:val="201"/>
        </w:trPr>
        <w:tc>
          <w:tcPr>
            <w:tcW w:w="2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34"/>
        </w:trPr>
        <w:tc>
          <w:tcPr>
            <w:tcW w:w="2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783"/>
        </w:trPr>
        <w:tc>
          <w:tcPr>
            <w:tcW w:w="2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0"/>
                <w:szCs w:val="20"/>
                <w:color w:val="auto"/>
              </w:rPr>
            </w:pPr>
          </w:p>
        </w:tc>
      </w:tr>
      <w:tr>
        <w:trPr>
          <w:trHeight w:val="399"/>
        </w:trPr>
        <w:tc>
          <w:tcPr>
            <w:tcW w:w="87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5"/>
        </w:trPr>
        <w:tc>
          <w:tcPr>
            <w:tcW w:w="8740" w:type="dxa"/>
            <w:vAlign w:val="bottom"/>
            <w:shd w:val="clear" w:color="auto" w:fill="CCEEFF"/>
          </w:tcPr>
          <w:p>
            <w:pPr>
              <w:ind w:left="2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PART I — Financial Information</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Item 1. Financial Statements (Unaudited)</w:t>
              </w:r>
            </w:hyperlink>
          </w:p>
        </w:tc>
        <w:tc>
          <w:tcPr>
            <w:tcW w:w="250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Statements of Income</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Statements of Comprehensive Income</w:t>
              </w:r>
            </w:hyperlink>
          </w:p>
        </w:tc>
        <w:tc>
          <w:tcPr>
            <w:tcW w:w="250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Condensed Consolidated Balance Sheets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7</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Condensed Consolidated Statements of Cash Flows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8</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Condensed Consolidated Statements of Changes in Stockholders’ Equity</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9</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Notes to Condensed Consolidated Financial Statements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11</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Item 2. Management’s Discussion and Analysis of Financial Condition and Results of Operations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37</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Business Outlook</w:t>
              </w:r>
            </w:hyperlink>
          </w:p>
        </w:tc>
        <w:tc>
          <w:tcPr>
            <w:tcW w:w="2500" w:type="dxa"/>
            <w:vAlign w:val="bottom"/>
          </w:tcPr>
          <w:p>
            <w:pPr>
              <w:jc w:val="right"/>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37</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41">
              <w:r>
                <w:rPr>
                  <w:rFonts w:ascii="Arial" w:cs="Arial" w:eastAsia="Arial" w:hAnsi="Arial"/>
                  <w:sz w:val="14"/>
                  <w:szCs w:val="14"/>
                  <w:u w:val="single" w:color="auto"/>
                  <w:color w:val="0000FF"/>
                </w:rPr>
                <w:t>Consolidated Results of Operations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41">
              <w:r>
                <w:rPr>
                  <w:rFonts w:ascii="Arial" w:cs="Arial" w:eastAsia="Arial" w:hAnsi="Arial"/>
                  <w:sz w:val="14"/>
                  <w:szCs w:val="14"/>
                  <w:u w:val="single" w:color="auto"/>
                  <w:color w:val="0000FF"/>
                </w:rPr>
                <w:t>42</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Segment Results of Operations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46</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Non-GAAP Measures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48</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Inbound Orders and Order Backlog</w:t>
              </w:r>
            </w:hyperlink>
          </w:p>
        </w:tc>
        <w:tc>
          <w:tcPr>
            <w:tcW w:w="2500" w:type="dxa"/>
            <w:vAlign w:val="bottom"/>
          </w:tcPr>
          <w:p>
            <w:pPr>
              <w:jc w:val="right"/>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55</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Liquidity and Capital Resources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56</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58">
              <w:r>
                <w:rPr>
                  <w:rFonts w:ascii="Arial" w:cs="Arial" w:eastAsia="Arial" w:hAnsi="Arial"/>
                  <w:sz w:val="14"/>
                  <w:szCs w:val="14"/>
                  <w:u w:val="single" w:color="auto"/>
                  <w:color w:val="0000FF"/>
                </w:rPr>
                <w:t>Critical Accounting Estimates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58">
              <w:r>
                <w:rPr>
                  <w:rFonts w:ascii="Arial" w:cs="Arial" w:eastAsia="Arial" w:hAnsi="Arial"/>
                  <w:sz w:val="14"/>
                  <w:szCs w:val="14"/>
                  <w:u w:val="single" w:color="auto"/>
                  <w:color w:val="0000FF"/>
                </w:rPr>
                <w:t>59</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Other Matters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59</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Item 3. Quantitative and Qualitative Disclosures About Market Risk</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60</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Item 4. Controls and Procedures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60</w:t>
              </w:r>
            </w:hyperlink>
          </w:p>
        </w:tc>
      </w:tr>
      <w:tr>
        <w:trPr>
          <w:trHeight w:val="189"/>
        </w:trPr>
        <w:tc>
          <w:tcPr>
            <w:tcW w:w="8740" w:type="dxa"/>
            <w:vAlign w:val="bottom"/>
          </w:tcPr>
          <w:p>
            <w:pPr>
              <w:ind w:left="2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PART II — Other Information</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61</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Item 1. Legal Proceedings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61</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Item 1A. Risk Factors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61</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Item 2. Unregistered Sales of Equity Securities and Use of Proceeds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62</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3. Defaults Upon Senior Securities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62</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4. Mine Safety Disclosures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62</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5. Other Information</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62</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6. Exhibits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63</w:t>
              </w:r>
            </w:hyperlink>
          </w:p>
        </w:tc>
      </w:tr>
      <w:tr>
        <w:trPr>
          <w:trHeight w:val="190"/>
        </w:trPr>
        <w:tc>
          <w:tcPr>
            <w:tcW w:w="8740" w:type="dxa"/>
            <w:vAlign w:val="bottom"/>
          </w:tcPr>
          <w:p>
            <w:pPr>
              <w:ind w:left="22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Signature</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64</w:t>
              </w:r>
            </w:hyperlink>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of this Quarterly Report on Form 10-Q, as well as the following:</w:t>
      </w:r>
    </w:p>
    <w:p>
      <w:pPr>
        <w:spacing w:after="0" w:line="190" w:lineRule="exact"/>
        <w:rPr>
          <w:sz w:val="20"/>
          <w:szCs w:val="20"/>
          <w:color w:val="auto"/>
        </w:rPr>
      </w:pPr>
    </w:p>
    <w:p>
      <w:pPr>
        <w:ind w:left="660" w:right="20" w:hanging="328"/>
        <w:spacing w:after="0" w:line="23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our ability to consummate our proposed separation and spin-off;</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unanticipated changes relating to competitive factors in our industry;</w:t>
      </w:r>
    </w:p>
    <w:p>
      <w:pPr>
        <w:spacing w:after="0" w:line="201" w:lineRule="exact"/>
        <w:rPr>
          <w:rFonts w:ascii="Arial" w:cs="Arial" w:eastAsia="Arial" w:hAnsi="Arial"/>
          <w:sz w:val="22"/>
          <w:szCs w:val="22"/>
          <w:color w:val="auto"/>
        </w:rPr>
      </w:pPr>
    </w:p>
    <w:p>
      <w:pPr>
        <w:ind w:left="660" w:right="42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203" w:lineRule="exact"/>
        <w:rPr>
          <w:rFonts w:ascii="Arial" w:cs="Arial" w:eastAsia="Arial" w:hAnsi="Arial"/>
          <w:sz w:val="22"/>
          <w:szCs w:val="22"/>
          <w:color w:val="auto"/>
        </w:rPr>
      </w:pPr>
    </w:p>
    <w:p>
      <w:pPr>
        <w:ind w:left="660" w:right="14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potential liabilities arising out of the installation or use of our products;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hire and retain key personnel;</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piracy risks for our maritime employees and assets;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impacts of seasonal and weather conditions;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cumulative loss of major contracts or alliances;</w:t>
      </w:r>
    </w:p>
    <w:p>
      <w:pPr>
        <w:spacing w:after="0" w:line="201" w:lineRule="exact"/>
        <w:rPr>
          <w:rFonts w:ascii="Arial" w:cs="Arial" w:eastAsia="Arial" w:hAnsi="Arial"/>
          <w:sz w:val="22"/>
          <w:szCs w:val="22"/>
          <w:color w:val="auto"/>
        </w:rPr>
      </w:pPr>
    </w:p>
    <w:p>
      <w:pPr>
        <w:ind w:left="660" w:right="12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U.S. and international laws and regulations, including existing or future environmental regulations, that may increase our costs, limit the demand for our products and services or restrict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201" w:lineRule="exact"/>
        <w:rPr>
          <w:rFonts w:ascii="Arial" w:cs="Arial" w:eastAsia="Arial" w:hAnsi="Arial"/>
          <w:sz w:val="22"/>
          <w:szCs w:val="22"/>
          <w:color w:val="auto"/>
        </w:rPr>
      </w:pPr>
    </w:p>
    <w:p>
      <w:pPr>
        <w:ind w:left="660" w:right="5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United Kingdom’s withdrawal from the European Union;</w:t>
      </w:r>
    </w:p>
    <w:p>
      <w:pPr>
        <w:spacing w:after="0" w:line="201" w:lineRule="exact"/>
        <w:rPr>
          <w:rFonts w:ascii="Arial" w:cs="Arial" w:eastAsia="Arial" w:hAnsi="Arial"/>
          <w:sz w:val="22"/>
          <w:szCs w:val="22"/>
          <w:color w:val="auto"/>
        </w:rPr>
      </w:pPr>
    </w:p>
    <w:p>
      <w:pPr>
        <w:ind w:left="660" w:right="200" w:hanging="328"/>
        <w:spacing w:after="0" w:line="23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compliance with covenants under our debt instruments and conditions in the credit markets;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downgrade in the ratings of our debt could restrict our ability to access the debt capital markets;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outcome of uninsured claims and litigation against us;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risks of currency exchange rate fluctuations associated with our international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related to our acquisition and divestiture activities;</w:t>
      </w:r>
    </w:p>
    <w:p>
      <w:pPr>
        <w:spacing w:after="0" w:line="201"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failure of our information technology infrastructure or any significant breach of security, including related to cyber attacks, and actual or perceived failure to comply with data security and privacy obligations;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such other risk factors as set forth in our filings with the U.S. Securities and Exchange Commission and in our filings with the Autorité des marchés financiers or the U.K. Financial Conduct Authority.</w:t>
      </w:r>
    </w:p>
    <w:p>
      <w:pPr>
        <w:spacing w:after="0" w:line="16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7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Service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2,315.2</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2,548.8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4,622.9</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4,599.9</w:t>
            </w: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1,632.1</w:t>
            </w:r>
          </w:p>
        </w:tc>
      </w:tr>
      <w:tr>
        <w:trPr>
          <w:trHeight w:val="210"/>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Lease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115.2</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6,288.8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6,347.2</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Cost of service revenue</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1,971.5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1,949.9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3,962.9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3,594.1</w:t>
            </w: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product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1,493.3</w:t>
            </w: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Cost of lease revenue</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69.7</w:t>
            </w: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621.6</w:t>
            </w: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69.4</w:t>
            </w: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w:t>
            </w: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Separation costs (Note 2)</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r>
      <w:tr>
        <w:trPr>
          <w:trHeight w:val="204"/>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3,054.4</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3,120.6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9,320.7</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5,898.8</w:t>
            </w:r>
          </w:p>
        </w:tc>
      </w:tr>
      <w:tr>
        <w:trPr>
          <w:trHeight w:val="222"/>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(98.8)</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28.1</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Income (loss) before net interest expense and income taxes</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(3,028.3)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377.7</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(228.8)</w:t>
            </w:r>
          </w:p>
        </w:tc>
      </w:tr>
      <w:tr>
        <w:trPr>
          <w:trHeight w:val="209"/>
        </w:trPr>
        <w:tc>
          <w:tcPr>
            <w:tcW w:w="52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(3,175.0)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148.9</w:t>
            </w: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 (Note 19)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r>
      <w:tr>
        <w:trPr>
          <w:trHeight w:val="204"/>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(3,230.4)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133.5</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r>
      <w:tr>
        <w:trPr>
          <w:trHeight w:val="215"/>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(3,244.4)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Earnings (loss) per share attributable to TechnipFMC plc (Note 7)</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r>
      <w:tr>
        <w:trPr>
          <w:trHeight w:val="210"/>
        </w:trPr>
        <w:tc>
          <w:tcPr>
            <w:tcW w:w="5200" w:type="dxa"/>
            <w:vAlign w:val="bottom"/>
          </w:tcPr>
          <w:p>
            <w:pPr>
              <w:ind w:left="22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0.26</w:t>
            </w:r>
          </w:p>
        </w:tc>
      </w:tr>
      <w:tr>
        <w:trPr>
          <w:trHeight w:val="222"/>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Weighted average shares outstanding (Note 7)</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w:t>
            </w:r>
          </w:p>
        </w:tc>
      </w:tr>
      <w:tr>
        <w:trPr>
          <w:trHeight w:val="204"/>
        </w:trPr>
        <w:tc>
          <w:tcPr>
            <w:tcW w:w="5200" w:type="dxa"/>
            <w:vAlign w:val="bottom"/>
          </w:tcPr>
          <w:p>
            <w:pPr>
              <w:ind w:left="2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451.9</w:t>
            </w: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14"/>
          <w:szCs w:val="14"/>
          <w:b w:val="1"/>
          <w:bCs w:val="1"/>
          <w:color w:val="auto"/>
        </w:rPr>
        <w:t>Net income (loss)</w:t>
      </w:r>
      <w:r>
        <w:rPr>
          <w:sz w:val="20"/>
          <w:szCs w:val="20"/>
          <w:color w:val="auto"/>
        </w:rPr>
        <w:tab/>
      </w:r>
      <w:r>
        <w:rPr>
          <w:rFonts w:ascii="Arial" w:cs="Arial" w:eastAsia="Arial" w:hAnsi="Arial"/>
          <w:sz w:val="14"/>
          <w:szCs w:val="14"/>
          <w:color w:val="auto"/>
        </w:rPr>
        <w:t>$</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8"/>
          <w:szCs w:val="18"/>
          <w:color w:val="auto"/>
          <w:vertAlign w:val="superscript"/>
        </w:rPr>
        <w:t>(a)</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Net gains (losses) on hedging instruments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gains (losses) arising during the period</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Reclassification adjustment for net losses included in net income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gains (losses) on hedging instruments</w:t>
      </w:r>
      <w:r>
        <w:rPr>
          <w:rFonts w:ascii="Arial" w:cs="Arial" w:eastAsia="Arial" w:hAnsi="Arial"/>
          <w:sz w:val="18"/>
          <w:szCs w:val="18"/>
          <w:b w:val="1"/>
          <w:bCs w:val="1"/>
          <w:color w:val="auto"/>
          <w:vertAlign w:val="superscript"/>
        </w:rPr>
        <w:t>(b)</w:t>
      </w:r>
    </w:p>
    <w:p>
      <w:pPr>
        <w:spacing w:after="0" w:line="14" w:lineRule="exact"/>
        <w:rPr>
          <w:sz w:val="20"/>
          <w:szCs w:val="20"/>
          <w:color w:val="auto"/>
        </w:rPr>
      </w:pPr>
    </w:p>
    <w:p>
      <w:pPr>
        <w:ind w:left="220" w:right="2380" w:hanging="183"/>
        <w:spacing w:after="0" w:line="322" w:lineRule="auto"/>
        <w:rPr>
          <w:sz w:val="20"/>
          <w:szCs w:val="20"/>
          <w:color w:val="auto"/>
        </w:rPr>
      </w:pPr>
      <w:r>
        <w:rPr>
          <w:rFonts w:ascii="Arial" w:cs="Arial" w:eastAsia="Arial" w:hAnsi="Arial"/>
          <w:sz w:val="14"/>
          <w:szCs w:val="14"/>
          <w:i w:val="1"/>
          <w:iCs w:val="1"/>
          <w:color w:val="auto"/>
        </w:rPr>
        <w:t xml:space="preserve">Net pension and other post-retirement benefits </w:t>
      </w:r>
      <w:r>
        <w:rPr>
          <w:rFonts w:ascii="Arial" w:cs="Arial" w:eastAsia="Arial" w:hAnsi="Arial"/>
          <w:sz w:val="14"/>
          <w:szCs w:val="14"/>
          <w:color w:val="auto"/>
        </w:rPr>
        <w:t>Net gains arising during the period</w:t>
      </w:r>
    </w:p>
    <w:p>
      <w:pPr>
        <w:ind w:left="220" w:right="140"/>
        <w:spacing w:after="0" w:line="258" w:lineRule="auto"/>
        <w:rPr>
          <w:sz w:val="20"/>
          <w:szCs w:val="20"/>
          <w:color w:val="auto"/>
        </w:rPr>
      </w:pPr>
      <w:r>
        <w:rPr>
          <w:rFonts w:ascii="Arial" w:cs="Arial" w:eastAsia="Arial" w:hAnsi="Arial"/>
          <w:sz w:val="14"/>
          <w:szCs w:val="14"/>
          <w:color w:val="auto"/>
        </w:rPr>
        <w:t>Reclassification adjustment for amortization of prior service cost included in net income</w:t>
      </w:r>
    </w:p>
    <w:p>
      <w:pPr>
        <w:spacing w:after="0" w:line="32" w:lineRule="exact"/>
        <w:rPr>
          <w:sz w:val="20"/>
          <w:szCs w:val="20"/>
          <w:color w:val="auto"/>
        </w:rPr>
      </w:pPr>
    </w:p>
    <w:p>
      <w:pPr>
        <w:ind w:left="220" w:right="140"/>
        <w:spacing w:after="0" w:line="258" w:lineRule="auto"/>
        <w:rPr>
          <w:sz w:val="20"/>
          <w:szCs w:val="20"/>
          <w:color w:val="auto"/>
        </w:rPr>
      </w:pPr>
      <w:r>
        <w:rPr>
          <w:rFonts w:ascii="Arial" w:cs="Arial" w:eastAsia="Arial" w:hAnsi="Arial"/>
          <w:sz w:val="14"/>
          <w:szCs w:val="14"/>
          <w:color w:val="auto"/>
        </w:rPr>
        <w:t>Reclassification adjustment for amortization of net actuarial loss included in net income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64"/>
        </w:trPr>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03"/>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15.3</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(3,230.4)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133.5</w:t>
            </w:r>
          </w:p>
        </w:tc>
      </w:tr>
      <w:tr>
        <w:trPr>
          <w:trHeight w:val="216"/>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15.1</w:t>
            </w:r>
          </w:p>
        </w:tc>
        <w:tc>
          <w:tcPr>
            <w:tcW w:w="9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432"/>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35.0</w:t>
            </w:r>
          </w:p>
        </w:tc>
        <w:tc>
          <w:tcPr>
            <w:tcW w:w="9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5.2</w:t>
            </w:r>
          </w:p>
        </w:tc>
      </w:tr>
      <w:tr>
        <w:trPr>
          <w:trHeight w:val="222"/>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3.7</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w:t>
            </w:r>
          </w:p>
        </w:tc>
      </w:tr>
      <w:tr>
        <w:trPr>
          <w:trHeight w:val="203"/>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38.7</w:t>
            </w:r>
          </w:p>
        </w:tc>
        <w:tc>
          <w:tcPr>
            <w:tcW w:w="9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11.6</w:t>
            </w:r>
          </w:p>
        </w:tc>
      </w:tr>
      <w:tr>
        <w:trPr>
          <w:trHeight w:val="432"/>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90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378"/>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0.2</w:t>
            </w:r>
          </w:p>
        </w:tc>
        <w:tc>
          <w:tcPr>
            <w:tcW w:w="90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378"/>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90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-1303020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-1028700</wp:posOffset>
            </wp:positionV>
            <wp:extent cx="7132320"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975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-1586230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-1765935</wp:posOffset>
            </wp:positionV>
            <wp:extent cx="1859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5380" w:space="440"/>
            <w:col w:w="54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8"/>
                <w:szCs w:val="18"/>
                <w:b w:val="1"/>
                <w:bCs w:val="1"/>
                <w:color w:val="auto"/>
                <w:vertAlign w:val="superscript"/>
              </w:rPr>
              <w:t>(c)</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r>
      <w:tr>
        <w:trPr>
          <w:trHeight w:val="203"/>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comprehensive income (losses), net of tax</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w:t>
            </w: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146.2</w:t>
            </w:r>
          </w:p>
        </w:tc>
      </w:tr>
      <w:tr>
        <w:trPr>
          <w:trHeight w:val="21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Comprehensive income attributable to non-controlling interest</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r>
      <w:tr>
        <w:trPr>
          <w:trHeight w:val="24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(3,482.7)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129.3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40" w:right="120" w:hanging="332"/>
        <w:spacing w:after="0" w:line="258"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nil and nil for the three months ended June 30, 2020 and 2019, respectively, and nil and nil for the six months ended June 30, 2020 and 2019, respectively.</w:t>
      </w:r>
    </w:p>
    <w:p>
      <w:pPr>
        <w:spacing w:after="0" w:line="31" w:lineRule="exact"/>
        <w:rPr>
          <w:rFonts w:ascii="Arial" w:cs="Arial" w:eastAsia="Arial" w:hAnsi="Arial"/>
          <w:sz w:val="14"/>
          <w:szCs w:val="14"/>
          <w:color w:val="auto"/>
        </w:rPr>
      </w:pPr>
    </w:p>
    <w:p>
      <w:pPr>
        <w:ind w:left="340" w:right="440" w:hanging="332"/>
        <w:spacing w:after="0" w:line="258"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$(6.7) million and $(0.4) million for the three months ended June 30, 2020 and 2019, respectively, and $15.8 million and $(0.3) million for the six months ended June 30, 2020 and 2019, respectively.</w:t>
      </w:r>
    </w:p>
    <w:p>
      <w:pPr>
        <w:spacing w:after="0" w:line="31" w:lineRule="exact"/>
        <w:rPr>
          <w:rFonts w:ascii="Arial" w:cs="Arial" w:eastAsia="Arial" w:hAnsi="Arial"/>
          <w:sz w:val="14"/>
          <w:szCs w:val="14"/>
          <w:color w:val="auto"/>
        </w:rPr>
      </w:pPr>
    </w:p>
    <w:p>
      <w:pPr>
        <w:ind w:left="340" w:right="160" w:hanging="332"/>
        <w:spacing w:after="0" w:line="258"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$(0.9) million and $0.7 million for the three months ended June 30, 2020 and 2019, respectively, and $(1.5) million and $0.6 million for the six months ended June 30, 2020 and 2019, respectively.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3"/>
                <w:szCs w:val="13"/>
                <w:color w:val="auto"/>
              </w:rPr>
            </w:pP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December 31,</w:t>
            </w:r>
          </w:p>
        </w:tc>
      </w:tr>
      <w:tr>
        <w:trPr>
          <w:trHeight w:val="186"/>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 except par value data)</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2019</w:t>
            </w:r>
          </w:p>
        </w:tc>
      </w:tr>
      <w:tr>
        <w:trPr>
          <w:trHeight w:val="189"/>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Assets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4,809.5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5,190.2</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 net of allowances of $129.1 in 2020 and $95.4 in 2019</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2,287.1</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Contract assets, net of allowances of $2.9 in 2020 and nil in 2019</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1,414.4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1,520.0</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 net (Note 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1,416.0</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101.9</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receivable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264.6</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Advances paid to suppliers</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280.0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242.9</w:t>
            </w: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assets (Note 9)</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938.0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863.7</w:t>
            </w:r>
          </w:p>
        </w:tc>
      </w:tr>
      <w:tr>
        <w:trPr>
          <w:trHeight w:val="195"/>
        </w:trPr>
        <w:tc>
          <w:tcPr>
            <w:tcW w:w="8520" w:type="dxa"/>
            <w:vAlign w:val="bottom"/>
          </w:tcPr>
          <w:p>
            <w:pPr>
              <w:ind w:left="460"/>
              <w:spacing w:after="0"/>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11,481.7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11,886.4</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Investments in equity affiliates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300.4</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Property, plant and equipment, net of accumulated depreciation of $2,438.5 in 2020 and $2,288.8 in 2019</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2,850.8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3,162.0</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right-of-use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854.7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892.6</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Goodwill (Note 13)</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2,470.7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5,598.3</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Intangible assets, net of accumulated amortization of $634.9 in 2020 and $763.4 in 2019</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1,086.6</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240.7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260.5</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39.5</w:t>
            </w:r>
          </w:p>
        </w:tc>
      </w:tr>
      <w:tr>
        <w:trPr>
          <w:trHeight w:val="196"/>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256.5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292.5</w:t>
            </w:r>
          </w:p>
        </w:tc>
      </w:tr>
      <w:tr>
        <w:trPr>
          <w:trHeight w:val="22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19,594.4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23,518.8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Liabilities and equity</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Short-term debt and current portion of long-term debt (Note 14)</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524.1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495.4</w:t>
            </w:r>
          </w:p>
        </w:tc>
      </w:tr>
      <w:tr>
        <w:trPr>
          <w:trHeight w:val="210"/>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275.1</w:t>
            </w:r>
          </w:p>
        </w:tc>
      </w:tr>
      <w:tr>
        <w:trPr>
          <w:trHeight w:val="195"/>
        </w:trPr>
        <w:tc>
          <w:tcPr>
            <w:tcW w:w="8520" w:type="dxa"/>
            <w:vAlign w:val="bottom"/>
          </w:tcPr>
          <w:p>
            <w:pPr>
              <w:ind w:left="220"/>
              <w:spacing w:after="0"/>
              <w:rPr>
                <w:sz w:val="20"/>
                <w:szCs w:val="20"/>
                <w:color w:val="auto"/>
              </w:rPr>
            </w:pPr>
            <w:r>
              <w:rPr>
                <w:rFonts w:ascii="Arial" w:cs="Arial" w:eastAsia="Arial" w:hAnsi="Arial"/>
                <w:sz w:val="13"/>
                <w:szCs w:val="13"/>
                <w:color w:val="auto"/>
              </w:rPr>
              <w:t>Accounts payable, trade</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2,476.1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2,659.8</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Contract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4,685.4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4,585.1</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Accrued payroll</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353.9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411.5</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141.3</w:t>
            </w:r>
          </w:p>
        </w:tc>
      </w:tr>
      <w:tr>
        <w:trPr>
          <w:trHeight w:val="196"/>
        </w:trPr>
        <w:tc>
          <w:tcPr>
            <w:tcW w:w="8520" w:type="dxa"/>
            <w:vAlign w:val="bottom"/>
          </w:tcPr>
          <w:p>
            <w:pPr>
              <w:ind w:left="220"/>
              <w:spacing w:after="0"/>
              <w:rPr>
                <w:sz w:val="20"/>
                <w:szCs w:val="20"/>
                <w:color w:val="auto"/>
              </w:rPr>
            </w:pPr>
            <w:r>
              <w:rPr>
                <w:rFonts w:ascii="Arial" w:cs="Arial" w:eastAsia="Arial" w:hAnsi="Arial"/>
                <w:sz w:val="13"/>
                <w:szCs w:val="13"/>
                <w:color w:val="auto"/>
              </w:rPr>
              <w:t>Income taxes payable</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76.6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75.7</w:t>
            </w: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liabilities (Note 9)</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1,236.7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1,494.5</w:t>
            </w:r>
          </w:p>
        </w:tc>
      </w:tr>
      <w:tr>
        <w:trPr>
          <w:trHeight w:val="195"/>
        </w:trPr>
        <w:tc>
          <w:tcPr>
            <w:tcW w:w="8520" w:type="dxa"/>
            <w:vAlign w:val="bottom"/>
          </w:tcPr>
          <w:p>
            <w:pPr>
              <w:ind w:left="460"/>
              <w:spacing w:after="0"/>
              <w:rPr>
                <w:sz w:val="20"/>
                <w:szCs w:val="20"/>
                <w:color w:val="auto"/>
              </w:rPr>
            </w:pPr>
            <w:r>
              <w:rPr>
                <w:rFonts w:ascii="Arial" w:cs="Arial" w:eastAsia="Arial" w:hAnsi="Arial"/>
                <w:sz w:val="13"/>
                <w:szCs w:val="13"/>
                <w:color w:val="auto"/>
              </w:rPr>
              <w:t>Total current liabilities</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9,897.6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10,138.4</w:t>
            </w:r>
          </w:p>
        </w:tc>
      </w:tr>
      <w:tr>
        <w:trPr>
          <w:trHeight w:val="210"/>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Long-term debt, less current portion (Note 14)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3,982.9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3,980.0</w:t>
            </w:r>
          </w:p>
        </w:tc>
      </w:tr>
      <w:tr>
        <w:trPr>
          <w:trHeight w:val="195"/>
        </w:trPr>
        <w:tc>
          <w:tcPr>
            <w:tcW w:w="8520" w:type="dxa"/>
            <w:vAlign w:val="bottom"/>
          </w:tcPr>
          <w:p>
            <w:pPr>
              <w:ind w:left="220"/>
              <w:spacing w:after="0"/>
              <w:rPr>
                <w:sz w:val="20"/>
                <w:szCs w:val="20"/>
                <w:color w:val="auto"/>
              </w:rPr>
            </w:pPr>
            <w:r>
              <w:rPr>
                <w:rFonts w:ascii="Arial" w:cs="Arial" w:eastAsia="Arial" w:hAnsi="Arial"/>
                <w:sz w:val="13"/>
                <w:szCs w:val="13"/>
                <w:color w:val="auto"/>
              </w:rPr>
              <w:t>Operating lease liabilities</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688.0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681.7</w:t>
            </w:r>
          </w:p>
        </w:tc>
      </w:tr>
      <w:tr>
        <w:trPr>
          <w:trHeight w:val="210"/>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138.2</w:t>
            </w:r>
          </w:p>
        </w:tc>
      </w:tr>
      <w:tr>
        <w:trPr>
          <w:trHeight w:val="195"/>
        </w:trPr>
        <w:tc>
          <w:tcPr>
            <w:tcW w:w="8520" w:type="dxa"/>
            <w:vAlign w:val="bottom"/>
          </w:tcPr>
          <w:p>
            <w:pPr>
              <w:ind w:left="220"/>
              <w:spacing w:after="0"/>
              <w:rPr>
                <w:sz w:val="20"/>
                <w:szCs w:val="20"/>
                <w:color w:val="auto"/>
              </w:rPr>
            </w:pPr>
            <w:r>
              <w:rPr>
                <w:rFonts w:ascii="Arial" w:cs="Arial" w:eastAsia="Arial" w:hAnsi="Arial"/>
                <w:sz w:val="13"/>
                <w:szCs w:val="13"/>
                <w:color w:val="auto"/>
              </w:rPr>
              <w:t>Accrued pension and other post-retirement benefits, less current portion</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327.3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368.6</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52.7</w:t>
            </w:r>
          </w:p>
        </w:tc>
      </w:tr>
      <w:tr>
        <w:trPr>
          <w:trHeight w:val="196"/>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336.9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430.0</w:t>
            </w:r>
          </w:p>
        </w:tc>
      </w:tr>
      <w:tr>
        <w:trPr>
          <w:trHeight w:val="203"/>
        </w:trPr>
        <w:tc>
          <w:tcPr>
            <w:tcW w:w="85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15,377.7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15,789.6</w:t>
            </w:r>
          </w:p>
        </w:tc>
      </w:tr>
      <w:tr>
        <w:trPr>
          <w:trHeight w:val="175"/>
        </w:trPr>
        <w:tc>
          <w:tcPr>
            <w:tcW w:w="8520" w:type="dxa"/>
            <w:vAlign w:val="bottom"/>
          </w:tcPr>
          <w:p>
            <w:pPr>
              <w:ind w:left="220"/>
              <w:spacing w:after="0"/>
              <w:rPr>
                <w:sz w:val="20"/>
                <w:szCs w:val="20"/>
                <w:color w:val="auto"/>
              </w:rPr>
            </w:pPr>
            <w:r>
              <w:rPr>
                <w:rFonts w:ascii="Arial" w:cs="Arial" w:eastAsia="Arial" w:hAnsi="Arial"/>
                <w:sz w:val="13"/>
                <w:szCs w:val="13"/>
                <w:color w:val="auto"/>
              </w:rPr>
              <w:t>Commitments and contingent liabilities (Note 18)</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Mezzanine equity</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196"/>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Redeemable non-controlling interest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41.1</w:t>
            </w:r>
          </w:p>
        </w:tc>
      </w:tr>
      <w:tr>
        <w:trPr>
          <w:trHeight w:val="189"/>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 (Note 15)</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48"/>
        </w:trPr>
        <w:tc>
          <w:tcPr>
            <w:tcW w:w="8520" w:type="dxa"/>
            <w:vAlign w:val="bottom"/>
          </w:tcPr>
          <w:p>
            <w:pPr>
              <w:ind w:left="220"/>
              <w:spacing w:after="0" w:line="148" w:lineRule="exact"/>
              <w:rPr>
                <w:sz w:val="20"/>
                <w:szCs w:val="20"/>
                <w:color w:val="auto"/>
              </w:rPr>
            </w:pPr>
            <w:r>
              <w:rPr>
                <w:rFonts w:ascii="Arial" w:cs="Arial" w:eastAsia="Arial" w:hAnsi="Arial"/>
                <w:sz w:val="13"/>
                <w:szCs w:val="13"/>
                <w:color w:val="auto"/>
              </w:rPr>
              <w:t>Ordinary shares, $1.00 par value; 618.3 shares and 618.3 shares authorized in 2020 and 2019, respectively; 449.3 shares and 447.1</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9"/>
        </w:trPr>
        <w:tc>
          <w:tcPr>
            <w:tcW w:w="8520" w:type="dxa"/>
            <w:vAlign w:val="bottom"/>
          </w:tcPr>
          <w:p>
            <w:pPr>
              <w:ind w:left="220"/>
              <w:spacing w:after="0"/>
              <w:rPr>
                <w:sz w:val="20"/>
                <w:szCs w:val="20"/>
                <w:color w:val="auto"/>
              </w:rPr>
            </w:pPr>
            <w:r>
              <w:rPr>
                <w:rFonts w:ascii="Arial" w:cs="Arial" w:eastAsia="Arial" w:hAnsi="Arial"/>
                <w:sz w:val="13"/>
                <w:szCs w:val="13"/>
                <w:color w:val="auto"/>
              </w:rPr>
              <w:t>shares issued and outstanding in 2020 and 2019, respectively; nil and 4 shares canceled in 2020 and 2019, respectively</w:t>
            </w:r>
          </w:p>
        </w:tc>
        <w:tc>
          <w:tcPr>
            <w:tcW w:w="240" w:type="dxa"/>
            <w:vAlign w:val="bottom"/>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449.3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447.1</w:t>
            </w:r>
          </w:p>
        </w:tc>
      </w:tr>
      <w:tr>
        <w:trPr>
          <w:trHeight w:val="210"/>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in excess of par value of ordinary shares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10,213.6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10,182.8</w:t>
            </w:r>
          </w:p>
        </w:tc>
      </w:tr>
      <w:tr>
        <w:trPr>
          <w:trHeight w:val="195"/>
        </w:trPr>
        <w:tc>
          <w:tcPr>
            <w:tcW w:w="8520" w:type="dxa"/>
            <w:vAlign w:val="bottom"/>
          </w:tcPr>
          <w:p>
            <w:pPr>
              <w:ind w:left="22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(4,876.0)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(1,563.1)</w:t>
            </w: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(1,645.8)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(1,407.5)</w:t>
            </w:r>
          </w:p>
        </w:tc>
      </w:tr>
      <w:tr>
        <w:trPr>
          <w:trHeight w:val="195"/>
        </w:trPr>
        <w:tc>
          <w:tcPr>
            <w:tcW w:w="8520" w:type="dxa"/>
            <w:vAlign w:val="bottom"/>
          </w:tcPr>
          <w:p>
            <w:pPr>
              <w:ind w:left="460"/>
              <w:spacing w:after="0"/>
              <w:rPr>
                <w:sz w:val="20"/>
                <w:szCs w:val="20"/>
                <w:color w:val="auto"/>
              </w:rPr>
            </w:pPr>
            <w:r>
              <w:rPr>
                <w:rFonts w:ascii="Arial" w:cs="Arial" w:eastAsia="Arial" w:hAnsi="Arial"/>
                <w:sz w:val="13"/>
                <w:szCs w:val="13"/>
                <w:color w:val="auto"/>
              </w:rPr>
              <w:t>Total TechnipFMC plc stockholders’ equity</w:t>
            </w:r>
          </w:p>
        </w:tc>
        <w:tc>
          <w:tcPr>
            <w:tcW w:w="2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4,141.1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7,659.3</w:t>
            </w: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28.8</w:t>
            </w:r>
          </w:p>
        </w:tc>
      </w:tr>
      <w:tr>
        <w:trPr>
          <w:trHeight w:val="196"/>
        </w:trPr>
        <w:tc>
          <w:tcPr>
            <w:tcW w:w="85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Total equity</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4,175.6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7,688.1</w:t>
            </w:r>
          </w:p>
        </w:tc>
      </w:tr>
      <w:tr>
        <w:trPr>
          <w:trHeight w:val="22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19,594.4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23,518.8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8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1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96"/>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(3,230.4)</w:t>
            </w:r>
          </w:p>
        </w:tc>
        <w:tc>
          <w:tcPr>
            <w:tcW w:w="1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133.5</w:t>
            </w:r>
          </w:p>
        </w:tc>
      </w:tr>
      <w:tr>
        <w:trPr>
          <w:trHeight w:val="22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176.2</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60.7</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Impairments</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3,221.7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benefit plan and share-based compensation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37.6</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Deferred income tax benefit, net</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(127.5)</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derivative instruments and foreign exchange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Income from equity affiliates, net of dividends received</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(24.1)</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233.3</w:t>
            </w:r>
          </w:p>
        </w:tc>
      </w:tr>
      <w:tr>
        <w:trPr>
          <w:trHeight w:val="210"/>
        </w:trPr>
        <w:tc>
          <w:tcPr>
            <w:tcW w:w="8520" w:type="dxa"/>
            <w:vAlign w:val="bottom"/>
          </w:tcPr>
          <w:p>
            <w:pPr>
              <w:ind w:left="2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 and contract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Inventories, net</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(134.9)</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trade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Contract liabilities</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274.2</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 (receivable),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Other current assets and liabilities, net</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(240.6)</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34.6</w:t>
            </w:r>
          </w:p>
        </w:tc>
      </w:tr>
      <w:tr>
        <w:trPr>
          <w:trHeight w:val="204"/>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195.5</w:t>
            </w:r>
          </w:p>
        </w:tc>
      </w:tr>
      <w:tr>
        <w:trPr>
          <w:trHeight w:val="202"/>
        </w:trPr>
        <w:tc>
          <w:tcPr>
            <w:tcW w:w="8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Payment to acquire debt securities</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(59.7)</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debt securities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Cash received from divestiture</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r>
      <w:tr>
        <w:trPr>
          <w:trHeight w:val="21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repayment of advances to joint venture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w:t>
            </w: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required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(287.5)</w:t>
            </w:r>
          </w:p>
        </w:tc>
      </w:tr>
      <w:tr>
        <w:trPr>
          <w:trHeight w:val="202"/>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required by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Net increase (decrease) in short-term debt</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(17.9)</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decrease in commercial paper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(479.5)</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96.2</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ordinary shares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w:t>
            </w:r>
          </w:p>
        </w:tc>
      </w:tr>
      <w:tr>
        <w:trPr>
          <w:trHeight w:val="210"/>
        </w:trPr>
        <w:tc>
          <w:tcPr>
            <w:tcW w:w="8520" w:type="dxa"/>
            <w:vAlign w:val="bottom"/>
          </w:tcPr>
          <w:p>
            <w:pPr>
              <w:ind w:left="220"/>
              <w:spacing w:after="0"/>
              <w:rPr>
                <w:sz w:val="20"/>
                <w:szCs w:val="20"/>
                <w:color w:val="auto"/>
              </w:rPr>
            </w:pPr>
            <w:r>
              <w:rPr>
                <w:rFonts w:ascii="Arial" w:cs="Arial" w:eastAsia="Arial" w:hAnsi="Arial"/>
                <w:sz w:val="14"/>
                <w:szCs w:val="14"/>
                <w:color w:val="auto"/>
              </w:rPr>
              <w:t>Dividends paid</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(116.6)</w:t>
            </w:r>
          </w:p>
        </w:tc>
      </w:tr>
      <w:tr>
        <w:trPr>
          <w:trHeight w:val="222"/>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related to taxes withheld on share-based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Settlements of mandatorily redeemable financial liability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(220.6)</w:t>
            </w: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required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(828.5)</w:t>
            </w:r>
          </w:p>
        </w:tc>
      </w:tr>
      <w:tr>
        <w:trPr>
          <w:trHeight w:val="209"/>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r>
      <w:tr>
        <w:trPr>
          <w:trHeight w:val="215"/>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(918.7)</w:t>
            </w:r>
          </w:p>
        </w:tc>
      </w:tr>
      <w:tr>
        <w:trPr>
          <w:trHeight w:val="21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5,190.2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5,540.0</w:t>
            </w:r>
          </w:p>
        </w:tc>
      </w:tr>
      <w:tr>
        <w:trPr>
          <w:trHeight w:val="24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4,809.5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4,621.3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jc w:val="center"/>
        <w:ind w:left="340" w:right="1160"/>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Capital in Excess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3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8"/>
              </w:rPr>
              <w:t>Accumulated Other</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3"/>
                <w:szCs w:val="13"/>
                <w:color w:val="auto"/>
              </w:rPr>
            </w:pPr>
          </w:p>
        </w:tc>
        <w:tc>
          <w:tcPr>
            <w:tcW w:w="102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Total</w:t>
            </w:r>
          </w:p>
        </w:tc>
      </w:tr>
      <w:tr>
        <w:trPr>
          <w:trHeight w:val="135"/>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Ordinary</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of Par Value of</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Deficit) Retained</w:t>
            </w: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20" w:type="dxa"/>
            <w:vAlign w:val="bottom"/>
          </w:tcPr>
          <w:p>
            <w:pPr>
              <w:spacing w:after="0"/>
              <w:rPr>
                <w:sz w:val="11"/>
                <w:szCs w:val="11"/>
                <w:color w:val="auto"/>
              </w:rPr>
            </w:pP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Stockholders’</w:t>
            </w:r>
          </w:p>
        </w:tc>
      </w:tr>
      <w:tr>
        <w:trPr>
          <w:trHeight w:val="177"/>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Ordinary 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5"/>
                <w:szCs w:val="15"/>
                <w:color w:val="auto"/>
              </w:rPr>
            </w:pPr>
          </w:p>
        </w:tc>
        <w:tc>
          <w:tcPr>
            <w:tcW w:w="102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r>
      <w:tr>
        <w:trPr>
          <w:trHeight w:val="18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448.3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10,169.5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1,047.9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(1,323.0)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10,373.6</w:t>
            </w:r>
          </w:p>
        </w:tc>
      </w:tr>
      <w:tr>
        <w:trPr>
          <w:trHeight w:val="181"/>
        </w:trPr>
        <w:tc>
          <w:tcPr>
            <w:tcW w:w="40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97.0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113.7</w:t>
            </w:r>
          </w:p>
        </w:tc>
      </w:tr>
      <w:tr>
        <w:trPr>
          <w:trHeight w:val="197"/>
        </w:trPr>
        <w:tc>
          <w:tcPr>
            <w:tcW w:w="4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 (loss)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w:t>
            </w:r>
          </w:p>
        </w:tc>
      </w:tr>
      <w:tr>
        <w:trPr>
          <w:trHeight w:val="181"/>
        </w:trPr>
        <w:tc>
          <w:tcPr>
            <w:tcW w:w="4080" w:type="dxa"/>
            <w:vAlign w:val="bottom"/>
          </w:tcPr>
          <w:p>
            <w:pPr>
              <w:ind w:left="120"/>
              <w:spacing w:after="0"/>
              <w:rPr>
                <w:sz w:val="20"/>
                <w:szCs w:val="20"/>
                <w:color w:val="auto"/>
              </w:rPr>
            </w:pPr>
            <w:r>
              <w:rPr>
                <w:rFonts w:ascii="Arial" w:cs="Arial" w:eastAsia="Arial" w:hAnsi="Arial"/>
                <w:sz w:val="13"/>
                <w:szCs w:val="13"/>
                <w:color w:val="auto"/>
              </w:rPr>
              <w:t>Cancellation treasury shares</w:t>
            </w:r>
          </w:p>
        </w:tc>
        <w:tc>
          <w:tcPr>
            <w:tcW w:w="16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(40.0)</w:t>
            </w:r>
          </w:p>
        </w:tc>
      </w:tr>
      <w:tr>
        <w:trPr>
          <w:trHeight w:val="19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($0.13 per share)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(58.1)</w:t>
            </w:r>
          </w:p>
        </w:tc>
      </w:tr>
      <w:tr>
        <w:trPr>
          <w:trHeight w:val="181"/>
        </w:trPr>
        <w:tc>
          <w:tcPr>
            <w:tcW w:w="4080" w:type="dxa"/>
            <w:vAlign w:val="bottom"/>
          </w:tcPr>
          <w:p>
            <w:pPr>
              <w:ind w:left="120"/>
              <w:spacing w:after="0"/>
              <w:rPr>
                <w:sz w:val="20"/>
                <w:szCs w:val="20"/>
                <w:color w:val="auto"/>
              </w:rPr>
            </w:pPr>
            <w:r>
              <w:rPr>
                <w:rFonts w:ascii="Arial" w:cs="Arial" w:eastAsia="Arial" w:hAnsi="Arial"/>
                <w:sz w:val="13"/>
                <w:szCs w:val="13"/>
                <w:color w:val="auto"/>
              </w:rPr>
              <w:t>Share-based compensation (Note 16)</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21.1</w:t>
            </w:r>
          </w:p>
        </w:tc>
      </w:tr>
      <w:tr>
        <w:trPr>
          <w:trHeight w:val="190"/>
        </w:trPr>
        <w:tc>
          <w:tcPr>
            <w:tcW w:w="4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r>
      <w:tr>
        <w:trPr>
          <w:trHeight w:val="189"/>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446.5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10,152.4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1,084.0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(1,348.3)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45.8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10,380.4</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1"/>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31,2020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448.3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10,196.8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(4,887.0)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(1,701.7)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4,084.8</w:t>
            </w:r>
          </w:p>
        </w:tc>
      </w:tr>
      <w:tr>
        <w:trPr>
          <w:trHeight w:val="197"/>
        </w:trPr>
        <w:tc>
          <w:tcPr>
            <w:tcW w:w="4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15.3</w:t>
            </w:r>
          </w:p>
        </w:tc>
      </w:tr>
      <w:tr>
        <w:trPr>
          <w:trHeight w:val="181"/>
        </w:trPr>
        <w:tc>
          <w:tcPr>
            <w:tcW w:w="4080" w:type="dxa"/>
            <w:vAlign w:val="bottom"/>
          </w:tcPr>
          <w:p>
            <w:pPr>
              <w:ind w:left="120"/>
              <w:spacing w:after="0"/>
              <w:rPr>
                <w:sz w:val="20"/>
                <w:szCs w:val="20"/>
                <w:color w:val="auto"/>
              </w:rPr>
            </w:pPr>
            <w:r>
              <w:rPr>
                <w:rFonts w:ascii="Arial" w:cs="Arial" w:eastAsia="Arial" w:hAnsi="Arial"/>
                <w:sz w:val="13"/>
                <w:szCs w:val="13"/>
                <w:color w:val="auto"/>
              </w:rPr>
              <w:t>Other comprehensive income</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55.9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59.1</w:t>
            </w:r>
          </w:p>
        </w:tc>
      </w:tr>
      <w:tr>
        <w:trPr>
          <w:trHeight w:val="197"/>
        </w:trPr>
        <w:tc>
          <w:tcPr>
            <w:tcW w:w="4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ordinary shares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w:t>
            </w:r>
          </w:p>
        </w:tc>
      </w:tr>
      <w:tr>
        <w:trPr>
          <w:trHeight w:val="181"/>
        </w:trPr>
        <w:tc>
          <w:tcPr>
            <w:tcW w:w="4080" w:type="dxa"/>
            <w:vAlign w:val="bottom"/>
          </w:tcPr>
          <w:p>
            <w:pPr>
              <w:ind w:left="120"/>
              <w:spacing w:after="0"/>
              <w:rPr>
                <w:sz w:val="20"/>
                <w:szCs w:val="20"/>
                <w:color w:val="auto"/>
              </w:rPr>
            </w:pPr>
            <w:r>
              <w:rPr>
                <w:rFonts w:ascii="Arial" w:cs="Arial" w:eastAsia="Arial" w:hAnsi="Arial"/>
                <w:sz w:val="13"/>
                <w:szCs w:val="13"/>
                <w:color w:val="auto"/>
              </w:rPr>
              <w:t>Share-based compensation (Note 16)</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16.8</w:t>
            </w:r>
          </w:p>
        </w:tc>
      </w:tr>
      <w:tr>
        <w:trPr>
          <w:trHeight w:val="190"/>
        </w:trPr>
        <w:tc>
          <w:tcPr>
            <w:tcW w:w="4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r>
      <w:tr>
        <w:trPr>
          <w:trHeight w:val="189"/>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449.3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10,213.6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(4,876.0)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(1,645.8)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4,175.6</w:t>
            </w: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9" w:name="page10"/>
    <w:bookmarkEnd w:id="9"/>
    <w:p>
      <w:pPr>
        <w:jc w:val="center"/>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SIX MONTHS ENDED JUNE 30, 2020 and 2019</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Ordinary</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Capital in</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Employee</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10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9"/>
              </w:rPr>
              <w:t>Ordinary</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Benefit</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Value of</w:t>
            </w: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Deficit) Retained</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20" w:type="dxa"/>
            <w:vAlign w:val="bottom"/>
          </w:tcPr>
          <w:p>
            <w:pPr>
              <w:spacing w:after="0"/>
              <w:rPr>
                <w:sz w:val="11"/>
                <w:szCs w:val="11"/>
                <w:color w:val="auto"/>
              </w:rPr>
            </w:pPr>
          </w:p>
        </w:tc>
        <w:tc>
          <w:tcPr>
            <w:tcW w:w="10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Stockholders’</w:t>
            </w:r>
          </w:p>
        </w:tc>
      </w:tr>
      <w:tr>
        <w:trPr>
          <w:trHeight w:val="177"/>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Trust</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Ordinary Shares</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r>
      <w:tr>
        <w:trPr>
          <w:trHeight w:val="18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10,197.0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1,072.2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(1,359.7)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10,388.9</w:t>
            </w:r>
          </w:p>
        </w:tc>
      </w:tr>
      <w:tr>
        <w:trPr>
          <w:trHeight w:val="181"/>
        </w:trPr>
        <w:tc>
          <w:tcPr>
            <w:tcW w:w="2760" w:type="dxa"/>
            <w:vAlign w:val="bottom"/>
          </w:tcPr>
          <w:p>
            <w:pPr>
              <w:ind w:left="120"/>
              <w:spacing w:after="0"/>
              <w:rPr>
                <w:sz w:val="20"/>
                <w:szCs w:val="20"/>
                <w:color w:val="auto"/>
              </w:rPr>
            </w:pPr>
            <w:r>
              <w:rPr>
                <w:rFonts w:ascii="Arial" w:cs="Arial" w:eastAsia="Arial" w:hAnsi="Arial"/>
                <w:sz w:val="13"/>
                <w:szCs w:val="13"/>
                <w:color w:val="auto"/>
              </w:rPr>
              <w:t>Adoption of accounting standards (Note 4)</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1.8</w:t>
            </w:r>
          </w:p>
        </w:tc>
      </w:tr>
      <w:tr>
        <w:trPr>
          <w:trHeight w:val="197"/>
        </w:trPr>
        <w:tc>
          <w:tcPr>
            <w:tcW w:w="2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133.5</w:t>
            </w:r>
          </w:p>
        </w:tc>
      </w:tr>
      <w:tr>
        <w:trPr>
          <w:trHeight w:val="181"/>
        </w:trPr>
        <w:tc>
          <w:tcPr>
            <w:tcW w:w="2760" w:type="dxa"/>
            <w:vAlign w:val="bottom"/>
          </w:tcPr>
          <w:p>
            <w:pPr>
              <w:ind w:left="120"/>
              <w:spacing w:after="0"/>
              <w:rPr>
                <w:sz w:val="20"/>
                <w:szCs w:val="20"/>
                <w:color w:val="auto"/>
              </w:rPr>
            </w:pPr>
            <w:r>
              <w:rPr>
                <w:rFonts w:ascii="Arial" w:cs="Arial" w:eastAsia="Arial" w:hAnsi="Arial"/>
                <w:sz w:val="13"/>
                <w:szCs w:val="13"/>
                <w:color w:val="auto"/>
              </w:rPr>
              <w:t>Other comprehensive income</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12.7</w:t>
            </w:r>
          </w:p>
        </w:tc>
      </w:tr>
      <w:tr>
        <w:trPr>
          <w:trHeight w:val="197"/>
        </w:trPr>
        <w:tc>
          <w:tcPr>
            <w:tcW w:w="2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Cancellation of ordinary shares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(90.1)</w:t>
            </w:r>
          </w:p>
        </w:tc>
      </w:tr>
      <w:tr>
        <w:trPr>
          <w:trHeight w:val="156"/>
        </w:trPr>
        <w:tc>
          <w:tcPr>
            <w:tcW w:w="2760" w:type="dxa"/>
            <w:vAlign w:val="bottom"/>
          </w:tcPr>
          <w:p>
            <w:pPr>
              <w:ind w:left="120"/>
              <w:spacing w:after="0"/>
              <w:rPr>
                <w:sz w:val="20"/>
                <w:szCs w:val="20"/>
                <w:color w:val="auto"/>
              </w:rPr>
            </w:pPr>
            <w:r>
              <w:rPr>
                <w:rFonts w:ascii="Arial" w:cs="Arial" w:eastAsia="Arial" w:hAnsi="Arial"/>
                <w:sz w:val="13"/>
                <w:szCs w:val="13"/>
                <w:color w:val="auto"/>
              </w:rPr>
              <w:t>Net sales of ordinary shares for employee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3"/>
                <w:szCs w:val="13"/>
                <w:color w:val="auto"/>
              </w:rPr>
              <w:t>benefit trust</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2.4</w:t>
            </w:r>
          </w:p>
        </w:tc>
      </w:tr>
      <w:tr>
        <w:trPr>
          <w:trHeight w:val="197"/>
        </w:trPr>
        <w:tc>
          <w:tcPr>
            <w:tcW w:w="2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declared ($0.26 per share)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(116.6)</w:t>
            </w:r>
          </w:p>
        </w:tc>
      </w:tr>
      <w:tr>
        <w:trPr>
          <w:trHeight w:val="181"/>
        </w:trPr>
        <w:tc>
          <w:tcPr>
            <w:tcW w:w="2760" w:type="dxa"/>
            <w:vAlign w:val="bottom"/>
          </w:tcPr>
          <w:p>
            <w:pPr>
              <w:ind w:left="120"/>
              <w:spacing w:after="0"/>
              <w:rPr>
                <w:sz w:val="20"/>
                <w:szCs w:val="20"/>
                <w:color w:val="auto"/>
              </w:rPr>
            </w:pPr>
            <w:r>
              <w:rPr>
                <w:rFonts w:ascii="Arial" w:cs="Arial" w:eastAsia="Arial" w:hAnsi="Arial"/>
                <w:sz w:val="13"/>
                <w:szCs w:val="13"/>
                <w:color w:val="auto"/>
              </w:rPr>
              <w:t>Share-based compensation (Note 16)</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41.5</w:t>
            </w:r>
          </w:p>
        </w:tc>
      </w:tr>
      <w:tr>
        <w:trPr>
          <w:trHeight w:val="191"/>
        </w:trPr>
        <w:tc>
          <w:tcPr>
            <w:tcW w:w="2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6.3</w:t>
            </w:r>
          </w:p>
        </w:tc>
      </w:tr>
      <w:tr>
        <w:trPr>
          <w:trHeight w:val="189"/>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2019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446.5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10,152.4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1,084.0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(1,348.3)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10,380.4</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447.1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10,182.8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(1,563.1)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(1,407.5)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7,688.1</w:t>
            </w:r>
          </w:p>
        </w:tc>
      </w:tr>
      <w:tr>
        <w:trPr>
          <w:trHeight w:val="197"/>
        </w:trPr>
        <w:tc>
          <w:tcPr>
            <w:tcW w:w="2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Adoption of accounting standards (Note 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w:t>
            </w:r>
          </w:p>
        </w:tc>
      </w:tr>
      <w:tr>
        <w:trPr>
          <w:trHeight w:val="181"/>
        </w:trPr>
        <w:tc>
          <w:tcPr>
            <w:tcW w:w="276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(3,244.4)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(3,230.4)</w:t>
            </w:r>
          </w:p>
        </w:tc>
      </w:tr>
      <w:tr>
        <w:trPr>
          <w:trHeight w:val="197"/>
        </w:trPr>
        <w:tc>
          <w:tcPr>
            <w:tcW w:w="2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(246.2)</w:t>
            </w:r>
          </w:p>
        </w:tc>
      </w:tr>
      <w:tr>
        <w:trPr>
          <w:trHeight w:val="181"/>
        </w:trPr>
        <w:tc>
          <w:tcPr>
            <w:tcW w:w="2760" w:type="dxa"/>
            <w:vAlign w:val="bottom"/>
          </w:tcPr>
          <w:p>
            <w:pPr>
              <w:ind w:left="120"/>
              <w:spacing w:after="0"/>
              <w:rPr>
                <w:sz w:val="20"/>
                <w:szCs w:val="20"/>
                <w:color w:val="auto"/>
              </w:rPr>
            </w:pPr>
            <w:r>
              <w:rPr>
                <w:rFonts w:ascii="Arial" w:cs="Arial" w:eastAsia="Arial" w:hAnsi="Arial"/>
                <w:sz w:val="13"/>
                <w:szCs w:val="13"/>
                <w:color w:val="auto"/>
              </w:rPr>
              <w:t>Issuance of ordinary shares</w:t>
            </w:r>
          </w:p>
        </w:tc>
        <w:tc>
          <w:tcPr>
            <w:tcW w:w="1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(5.4)</w:t>
            </w:r>
          </w:p>
        </w:tc>
      </w:tr>
      <w:tr>
        <w:trPr>
          <w:trHeight w:val="197"/>
        </w:trPr>
        <w:tc>
          <w:tcPr>
            <w:tcW w:w="2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declared ($0.13 per share)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(59.2)</w:t>
            </w:r>
          </w:p>
        </w:tc>
      </w:tr>
      <w:tr>
        <w:trPr>
          <w:trHeight w:val="181"/>
        </w:trPr>
        <w:tc>
          <w:tcPr>
            <w:tcW w:w="2760" w:type="dxa"/>
            <w:vAlign w:val="bottom"/>
          </w:tcPr>
          <w:p>
            <w:pPr>
              <w:ind w:left="120"/>
              <w:spacing w:after="0"/>
              <w:rPr>
                <w:sz w:val="20"/>
                <w:szCs w:val="20"/>
                <w:color w:val="auto"/>
              </w:rPr>
            </w:pPr>
            <w:r>
              <w:rPr>
                <w:rFonts w:ascii="Arial" w:cs="Arial" w:eastAsia="Arial" w:hAnsi="Arial"/>
                <w:sz w:val="13"/>
                <w:szCs w:val="13"/>
                <w:color w:val="auto"/>
              </w:rPr>
              <w:t>Share-based compensation (Note 16)</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38.4</w:t>
            </w:r>
          </w:p>
        </w:tc>
      </w:tr>
      <w:tr>
        <w:trPr>
          <w:trHeight w:val="190"/>
        </w:trPr>
        <w:tc>
          <w:tcPr>
            <w:tcW w:w="2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r>
      <w:tr>
        <w:trPr>
          <w:trHeight w:val="189"/>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449.3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10,213.6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(4,876.0)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(1,645.8)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4,175.6</w:t>
            </w:r>
          </w:p>
        </w:tc>
      </w:tr>
      <w:tr>
        <w:trPr>
          <w:trHeight w:val="21"/>
        </w:trPr>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48"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the “Company,” “we,” “us,” or “our”)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2019.</w:t>
      </w:r>
    </w:p>
    <w:p>
      <w:pPr>
        <w:spacing w:after="0" w:line="15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prior-year amounts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PLANNED SEPARATION TRANSACTION</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August 26, 2019, we announced that our Board of Directors had unanimously approved a plan to separate our Onshore/Offshore segment and Loading Systems and process automation businesses into an independent, publicly traded company (“Technip Energies”). In connection with the planned transaction, we renamed our Onshore/Offshore segment to Technip Energies in the first quarter of 2020. Due to the COVID-19 pandemic, the significant decline in commodity prices, and the heightened volatility in global equity markets, on March 15, 2020, we announced the postponement of the completion of the transaction until the markets sufficiently recover. The transaction will be subject to general market conditions, regulatory approvals, consultation of employee representatives, where applicable, and final approval from our Board of Directors. We incurred $27.1 million of separation costs associated with the planned transaction during the first quarter of 2020. We did not record any separation costs during the three months ended June 30, 2020.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 TRANSACTIONS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PLSV CV (“TOP CV”). TOP CV was formed as a joint venture between Technip SA and Ocyan SA to provide pipeline installation ships to Petroleo Brasileiro SA (“Petrobras”) for their work in oil and gas fields offshore Brazil with results reported in our Subsea segment using the equity method of accounting. Subsequent to this transaction the investment became a fully consolidated entity. In connection with the acquisition, we acquired $391.0 million in assets, including two vessels valued at $335.2 million. In addition, we assumed $239.9 million of liabilities, including a $203.1 million term loan.</w:t>
      </w:r>
    </w:p>
    <w:p>
      <w:pPr>
        <w:spacing w:after="0" w:line="15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There were no significant acquisitions or other type of business combinations during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Effective January 1, 2020, we adopted ASU No. 2018-13, </w:t>
      </w:r>
      <w:r>
        <w:rPr>
          <w:rFonts w:ascii="Arial" w:cs="Arial" w:eastAsia="Arial" w:hAnsi="Arial"/>
          <w:sz w:val="17"/>
          <w:szCs w:val="17"/>
          <w:i w:val="1"/>
          <w:iCs w:val="1"/>
          <w:color w:val="auto"/>
        </w:rPr>
        <w:t>“Fair Value Measurement (Topic 820): Disclosure Framework—Changes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This update modifies the disclosure requirement on fair value measurements in Topic</w:t>
      </w:r>
    </w:p>
    <w:p>
      <w:pPr>
        <w:jc w:val="both"/>
        <w:ind w:right="140" w:firstLine="8"/>
        <w:spacing w:after="0" w:line="254"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amendments on changes in unrealized gains and losses, the range and weighted average of significant unobservable inputs used to develop Level 3 fair value measurements, and the narrative description of measurement uncertainty should be applied prospectively. The adoption of this update concerns presentation and disclosure only as it relates to our consolidated financial statements. See Note 21 for our fair value measurements disclosure.</w:t>
      </w:r>
    </w:p>
    <w:p>
      <w:pPr>
        <w:spacing w:after="0" w:line="13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 xml:space="preserve">Effective January 1, 2020, we adopted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Implementation Costs Incurred in a Cloud Computing Arrangement That Is a Service Contract (a consensus of the FASB Emerging Issues Task Force).” </w:t>
      </w:r>
      <w:r>
        <w:rPr>
          <w:rFonts w:ascii="Arial" w:cs="Arial" w:eastAsia="Arial" w:hAnsi="Arial"/>
          <w:sz w:val="17"/>
          <w:szCs w:val="17"/>
          <w:color w:val="auto"/>
        </w:rPr>
        <w:t>This update requires that the implementation costs incurred in a cloud computing arrangement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a service contract are deferred if they would be capitalized based on the requirements for capitalizing implementation costs incurred to develop or obtain internal-use software. The adoption of this update did not have a material impact on our consolidated financial statements.</w:t>
      </w:r>
    </w:p>
    <w:p>
      <w:pPr>
        <w:spacing w:after="0" w:line="1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Effective January 1, 2020, we adopted ASU No. 2018-18, </w:t>
      </w:r>
      <w:r>
        <w:rPr>
          <w:rFonts w:ascii="Arial" w:cs="Arial" w:eastAsia="Arial" w:hAnsi="Arial"/>
          <w:sz w:val="18"/>
          <w:szCs w:val="18"/>
          <w:i w:val="1"/>
          <w:iCs w:val="1"/>
          <w:color w:val="auto"/>
        </w:rPr>
        <w:t>“Collaborative Arrangements (Topic 808)—Clarifying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clarifies the interaction between the guidance for certain collaborative arrangements and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financial accounting and reporting standard.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The adoption of this update concerns presentation and disclosure only with no material impact to our consolidated financial statements.</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Effective January 1, 2020, we adopted ASU No. 2019-04,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815, Derivatives and Hedging, and Topic 825, Financial Instruments</w:t>
      </w:r>
      <w:r>
        <w:rPr>
          <w:rFonts w:ascii="Arial" w:cs="Arial" w:eastAsia="Arial" w:hAnsi="Arial"/>
          <w:sz w:val="18"/>
          <w:szCs w:val="18"/>
          <w:color w:val="auto"/>
        </w:rPr>
        <w:t>.” The update clarifies and improves areas of guidance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recently issued standards including (1) ASU No. 2016-01, </w:t>
      </w:r>
      <w:r>
        <w:rPr>
          <w:rFonts w:ascii="Arial" w:cs="Arial" w:eastAsia="Arial" w:hAnsi="Arial"/>
          <w:sz w:val="18"/>
          <w:szCs w:val="18"/>
          <w:i w:val="1"/>
          <w:iCs w:val="1"/>
          <w:color w:val="auto"/>
        </w:rPr>
        <w:t>“Financial Instruments—Overall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 </w:t>
      </w:r>
      <w:r>
        <w:rPr>
          <w:rFonts w:ascii="Arial" w:cs="Arial" w:eastAsia="Arial" w:hAnsi="Arial"/>
          <w:sz w:val="18"/>
          <w:szCs w:val="18"/>
          <w:color w:val="auto"/>
        </w:rPr>
        <w:t>The adoption of this update concerns presentation and disclosure only with no material impact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Adoption of ASU No. 2016-13 “Financial Instruments—Credit Losses (Topic 326): Measurement of Credit Losses on Financial Instruments</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Effective January 1, 2020, we adopted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This ASU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guidance applies to (1) loans, accounts receivable, trade receivables, and other financial assets measured at amortized cost, (2) loan commitments and other off-balance sheet credit exposures, (3) debt securities and other financial assets measured at fair value through other comprehensive income, and (4) beneficial interests in securitized financial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June 2016, the FASB issued an update of the ASU to provide a practical expedient for transition and targeted improvements.</w:t>
      </w:r>
    </w:p>
    <w:p>
      <w:pPr>
        <w:spacing w:after="0" w:line="256" w:lineRule="auto"/>
        <w:rPr>
          <w:sz w:val="20"/>
          <w:szCs w:val="20"/>
          <w:color w:val="auto"/>
        </w:rPr>
      </w:pPr>
      <w:r>
        <w:rPr>
          <w:rFonts w:ascii="Arial" w:cs="Arial" w:eastAsia="Arial" w:hAnsi="Arial"/>
          <w:sz w:val="18"/>
          <w:szCs w:val="18"/>
          <w:color w:val="auto"/>
        </w:rPr>
        <w:t>We adopted Topic 326 using a modified retrospective transition method through a cumulative-effect adjustment to beginning retained earnings in the period of adoption. The effect of adopting Topic 326 was an increase in accumulated deficit of $7.8 million, which includes a $2.1 million increase in noncurrent deferred tax assets, with a corresponding decrease in trade receivables, loans, and debt notes receivable.</w:t>
      </w:r>
    </w:p>
    <w:p>
      <w:pPr>
        <w:spacing w:after="0" w:line="148"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Financial assets at amortized cost include trade receivables, loans issued to third or related parties, and held to maturity debt securities. These financial assets were presented under other current assets or other assets, as applicable. Contract assets are subject to the credit losses standard per revenue recognition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ind w:right="160"/>
        <w:spacing w:after="0" w:line="254" w:lineRule="auto"/>
        <w:rPr>
          <w:sz w:val="20"/>
          <w:szCs w:val="20"/>
          <w:color w:val="auto"/>
        </w:rPr>
      </w:pPr>
      <w:r>
        <w:rPr>
          <w:rFonts w:ascii="Arial" w:cs="Arial" w:eastAsia="Arial" w:hAnsi="Arial"/>
          <w:sz w:val="18"/>
          <w:szCs w:val="18"/>
          <w:color w:val="auto"/>
        </w:rPr>
        <w:t>Trade receivables and contract assets constitute a homogeneous portfolio, and therefore, to measure the expected credit losses, trade receivables and contract assets have been grouped together. The contract assets relate to unbilled work in progress and have substantially the same risk characteristics as the trade receivables for the same types of contracts. We have therefore concluded that the expected loss rates for trade receivables are a reasonable approximation of the loss rates for the contract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financial assets and non-financial assets at amortized cost as of January 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reported at December</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January 1,</w:t>
            </w:r>
          </w:p>
        </w:tc>
      </w:tr>
      <w:tr>
        <w:trPr>
          <w:trHeight w:val="196"/>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460" w:type="dxa"/>
            <w:vAlign w:val="bottom"/>
          </w:tcPr>
          <w:p>
            <w:pPr>
              <w:jc w:val="right"/>
              <w:ind w:right="568"/>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Impact of ASC 326</w:t>
            </w:r>
          </w:p>
        </w:tc>
        <w:tc>
          <w:tcPr>
            <w:tcW w:w="340" w:type="dxa"/>
            <w:vAlign w:val="bottom"/>
          </w:tcPr>
          <w:p>
            <w:pPr>
              <w:spacing w:after="0"/>
              <w:rPr>
                <w:sz w:val="17"/>
                <w:szCs w:val="17"/>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16"/>
        </w:trPr>
        <w:tc>
          <w:tcPr>
            <w:tcW w:w="5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Trade receivables, net</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2,287.1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2,283.3</w:t>
            </w:r>
          </w:p>
        </w:tc>
      </w:tr>
      <w:tr>
        <w:trPr>
          <w:trHeight w:val="210"/>
        </w:trPr>
        <w:tc>
          <w:tcPr>
            <w:tcW w:w="5860" w:type="dxa"/>
            <w:vAlign w:val="bottom"/>
          </w:tcPr>
          <w:p>
            <w:pPr>
              <w:ind w:left="120"/>
              <w:spacing w:after="0"/>
              <w:rPr>
                <w:sz w:val="20"/>
                <w:szCs w:val="20"/>
                <w:color w:val="auto"/>
              </w:rPr>
            </w:pPr>
            <w:r>
              <w:rPr>
                <w:rFonts w:ascii="Arial" w:cs="Arial" w:eastAsia="Arial" w:hAnsi="Arial"/>
                <w:sz w:val="14"/>
                <w:szCs w:val="14"/>
                <w:color w:val="auto"/>
              </w:rPr>
              <w:t>Loans receivable, net</w:t>
            </w:r>
          </w:p>
        </w:tc>
        <w:tc>
          <w:tcPr>
            <w:tcW w:w="3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137.0</w:t>
            </w:r>
          </w:p>
        </w:tc>
      </w:tr>
      <w:tr>
        <w:trPr>
          <w:trHeight w:val="22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Security deposits and other, net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i w:val="1"/>
                <w:iCs w:val="1"/>
                <w:color w:val="auto"/>
              </w:rPr>
              <w:t>Held-to-maturity</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securities at amortized cost</w:t>
            </w: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70.8</w:t>
            </w:r>
          </w:p>
        </w:tc>
      </w:tr>
      <w:tr>
        <w:trPr>
          <w:trHeight w:val="216"/>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2,534.1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2,526.7</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Non-financial assets</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41"/>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Contract assets, net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1,520.0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1,517.5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14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June 30,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 June 30,</w:t>
            </w:r>
          </w:p>
        </w:tc>
      </w:tr>
      <w:tr>
        <w:trPr>
          <w:trHeight w:val="196"/>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of origination</w:t>
            </w:r>
          </w:p>
        </w:tc>
        <w:tc>
          <w:tcPr>
            <w:tcW w:w="34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202"/>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0"/>
        </w:trPr>
        <w:tc>
          <w:tcPr>
            <w:tcW w:w="8280" w:type="dxa"/>
            <w:vAlign w:val="bottom"/>
          </w:tcPr>
          <w:p>
            <w:pPr>
              <w:ind w:left="120"/>
              <w:spacing w:after="0"/>
              <w:rPr>
                <w:sz w:val="20"/>
                <w:szCs w:val="20"/>
                <w:color w:val="auto"/>
              </w:rPr>
            </w:pPr>
            <w:r>
              <w:rPr>
                <w:rFonts w:ascii="Arial" w:cs="Arial" w:eastAsia="Arial" w:hAnsi="Arial"/>
                <w:sz w:val="14"/>
                <w:szCs w:val="14"/>
                <w:color w:val="auto"/>
              </w:rPr>
              <w:t>Moody’s rating Ba2</w:t>
            </w:r>
          </w:p>
        </w:tc>
        <w:tc>
          <w:tcPr>
            <w:tcW w:w="1420" w:type="dxa"/>
            <w:vAlign w:val="bottom"/>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151.8</w:t>
            </w:r>
          </w:p>
        </w:tc>
      </w:tr>
      <w:tr>
        <w:trPr>
          <w:trHeight w:val="222"/>
        </w:trPr>
        <w:tc>
          <w:tcPr>
            <w:tcW w:w="8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Moody’s rating B3</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70.9</w:t>
            </w:r>
          </w:p>
        </w:tc>
      </w:tr>
      <w:tr>
        <w:trPr>
          <w:trHeight w:val="215"/>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222.7</w:t>
            </w:r>
          </w:p>
        </w:tc>
      </w:tr>
      <w:tr>
        <w:trPr>
          <w:trHeight w:val="20"/>
        </w:trPr>
        <w:tc>
          <w:tcPr>
            <w:tcW w:w="8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Losses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contract assets, trade receivables, loans receivable, and security deposits and other, we have elected to calculate an expected credit loss based on loss rates from historical data. We develop loss-rate statistics on the basis of the amount written off over the life of the financial assets and contract assets and adjust these historical credit loss trends for forward-looking factors specific to the debtors and the economic environment to determine lifetime expected losses.</w:t>
      </w: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Balance at June 30, 2020</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Trade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Held-to-maturity</w:t>
            </w:r>
          </w:p>
        </w:tc>
      </w:tr>
      <w:tr>
        <w:trPr>
          <w:trHeight w:val="19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receivables</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Contract assets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receivable</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and other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debt securities</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r>
      <w:tr>
        <w:trPr>
          <w:trHeight w:val="210"/>
        </w:trPr>
        <w:tc>
          <w:tcPr>
            <w:tcW w:w="4700" w:type="dxa"/>
            <w:vAlign w:val="bottom"/>
          </w:tcPr>
          <w:p>
            <w:pPr>
              <w:ind w:left="120"/>
              <w:spacing w:after="0"/>
              <w:rPr>
                <w:sz w:val="20"/>
                <w:szCs w:val="20"/>
                <w:color w:val="auto"/>
              </w:rPr>
            </w:pPr>
            <w:r>
              <w:rPr>
                <w:rFonts w:ascii="Arial" w:cs="Arial" w:eastAsia="Arial" w:hAnsi="Arial"/>
                <w:sz w:val="14"/>
                <w:szCs w:val="14"/>
                <w:color w:val="auto"/>
              </w:rPr>
              <w:t>Current period provision for expected credit losses</w:t>
            </w:r>
          </w:p>
        </w:tc>
        <w:tc>
          <w:tcPr>
            <w:tcW w:w="1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Write-offs charged against the allowance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Other than certain trade receivables due in one year or less, we do not have any financial assets that are past due or are on non-accrual status.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and early adoption is permitted. The amendments in this update are required to be adopted retrospectively. We are currently evaluating the impact of this ASU on our consolidated financial statements.</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generally accepted accounting principles (GAAP) for which cost and complexity can be reduced while maintaining or improving the usefulness of the information provided to users of financial statements. This update is effective for us January 1, 2021, and early adoption is permitted. We are currently evaluating the impact of this ASU on our consolidated financial statements.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 (Topic 323)”</w:t>
      </w:r>
      <w:r>
        <w:rPr>
          <w:rFonts w:ascii="Arial" w:cs="Arial" w:eastAsia="Arial" w:hAnsi="Arial"/>
          <w:sz w:val="18"/>
          <w:szCs w:val="18"/>
          <w:color w:val="auto"/>
        </w:rPr>
        <w:t>, and</w:t>
      </w:r>
      <w:r>
        <w:rPr>
          <w:rFonts w:ascii="Arial" w:cs="Arial" w:eastAsia="Arial" w:hAnsi="Arial"/>
          <w:sz w:val="18"/>
          <w:szCs w:val="18"/>
          <w:i w:val="1"/>
          <w:iCs w:val="1"/>
          <w:color w:val="auto"/>
        </w:rPr>
        <w:t xml:space="preserve"> “Derivatives and Hedging (Topic 815)—Clarifying the Interactions between Topic 321, Topic 323, and Topic 815”</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forward contracts and purchased options a company should not consider whether underlying securities would be accounted for under the equity method or fair value option upon settlement or exercise. The amendment is effective from January 1, 2021, and early adoption is permitted. We are currently evaluating the impact of this ASU on our consolidated financial statements.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The amendments in this update apply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We are currently evaluating the impact of this ASU on our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are disaggregated by geographic location and contract types.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4"/>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75"/>
        </w:trPr>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Technologies</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r>
      <w:tr>
        <w:trPr>
          <w:trHeight w:val="215"/>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60.0</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199.9</w:t>
            </w:r>
          </w:p>
        </w:tc>
      </w:tr>
      <w:tr>
        <w:trPr>
          <w:trHeight w:val="222"/>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44.1</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Africa</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14.9</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69.2</w:t>
            </w:r>
          </w:p>
        </w:tc>
      </w:tr>
      <w:tr>
        <w:trPr>
          <w:trHeight w:val="21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227.1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1,488.5</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1,505.0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388.1</w:t>
            </w:r>
          </w:p>
        </w:tc>
      </w:tr>
      <w:tr>
        <w:trPr>
          <w:trHeight w:val="21"/>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8"/>
        </w:trPr>
        <w:tc>
          <w:tcPr>
            <w:tcW w:w="3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03"/>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75"/>
        </w:trPr>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Technologies</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r>
      <w:tr>
        <w:trPr>
          <w:trHeight w:val="215"/>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1,253.1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859.2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1,292.8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115.8</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393.1</w:t>
            </w:r>
          </w:p>
        </w:tc>
      </w:tr>
      <w:tr>
        <w:trPr>
          <w:trHeight w:val="222"/>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89.1</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Africa</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382.8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26.2</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441.1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121.8</w:t>
            </w:r>
          </w:p>
        </w:tc>
      </w:tr>
      <w:tr>
        <w:trPr>
          <w:trHeight w:val="215"/>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2,601.8</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3,086.0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2,645.9</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2,840.1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746.0</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5" w:name="page16"/>
    <w:bookmarkEnd w:id="15"/>
    <w:p>
      <w:pPr>
        <w:ind w:right="140"/>
        <w:spacing w:after="0" w:line="261" w:lineRule="auto"/>
        <w:rPr>
          <w:sz w:val="20"/>
          <w:szCs w:val="20"/>
          <w:color w:val="auto"/>
        </w:rPr>
      </w:pPr>
      <w:r>
        <w:rPr>
          <w:rFonts w:ascii="Arial" w:cs="Arial" w:eastAsia="Arial" w:hAnsi="Arial"/>
          <w:sz w:val="18"/>
          <w:szCs w:val="18"/>
          <w:color w:val="auto"/>
        </w:rPr>
        <w:t>The following tables represent revenue by contract type for each reportable segment for the three and six months ended June 30,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75"/>
        </w:trPr>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Technologies</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r>
      <w:tr>
        <w:trPr>
          <w:trHeight w:val="215"/>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970.2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73.6</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314.5</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products and services revenue</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1,538.3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1,488.5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388.1</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Lease</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32.4</w:t>
            </w:r>
          </w:p>
        </w:tc>
      </w:tr>
      <w:tr>
        <w:trPr>
          <w:trHeight w:val="241"/>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1,538.3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420.5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778"/>
        </w:trPr>
        <w:tc>
          <w:tcPr>
            <w:tcW w:w="3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03"/>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75"/>
        </w:trPr>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Technologies</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3,054.7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1,615.8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2,840.1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144.0</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438.6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602.0</w:t>
            </w:r>
          </w:p>
        </w:tc>
      </w:tr>
      <w:tr>
        <w:trPr>
          <w:trHeight w:val="215"/>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products and services revenue</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3,086.0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525.1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2,645.9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2,840.1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746.0</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Lease</w:t>
            </w:r>
          </w:p>
        </w:tc>
        <w:tc>
          <w:tcPr>
            <w:tcW w:w="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67.1</w:t>
            </w:r>
          </w:p>
        </w:tc>
      </w:tr>
      <w:tr>
        <w:trPr>
          <w:trHeight w:val="241"/>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813.1</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liabilities as of June 30, 2020 and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rPr>
              <w:t>1,414.4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(105.6)</w:t>
            </w:r>
          </w:p>
        </w:tc>
        <w:tc>
          <w:tcPr>
            <w:tcW w:w="15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9"/>
              </w:rPr>
              <w:t>(4,685.4)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9"/>
              </w:rPr>
              <w:t>(4,585.1)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(100.3)</w:t>
            </w:r>
          </w:p>
        </w:tc>
        <w:tc>
          <w:tcPr>
            <w:tcW w:w="15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(2.2)</w:t>
            </w: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w w:val="99"/>
              </w:rPr>
              <w:t>(3,271.0)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w w:val="99"/>
              </w:rPr>
              <w:t>(3,065.1)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(205.9)</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contract assets from December 31, 2019 to June 30, 2020 was primarily due to the timing of milestones.</w:t>
      </w:r>
    </w:p>
    <w:p>
      <w:pPr>
        <w:spacing w:after="0" w:line="17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6" w:name="page17"/>
    <w:bookmarkEnd w:id="16"/>
    <w:p>
      <w:pPr>
        <w:ind w:right="12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three months ended June 30, 2020 and 2019 that was included in the contract liabilities balance at December 31, 2019 and 2018 was $ 457.3 million and $1,147.1 million, respectively, and $874.4 million and $2,014.3 million for the six months ended June 30, 2020 and 2019, respectively.</w:t>
      </w:r>
    </w:p>
    <w:p>
      <w:pPr>
        <w:spacing w:after="0" w:line="15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net revenue recognized for the three months ended June 30, 2020 and 2019 from our performance obligations satisfied in previous periods had favorable impacts of $101.6 million and $325.7 million, respectively, and $158.9 million and $493.4 million for the six months ended June 30, 2020 and 2019, respectively. This primarily relates to the changes in the estimate of the stage of completion that impacted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The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June 30, 2020, the aggregate amount of the transaction price allocated to order backlog was $20,603.8 million. We expect to recognize revenue on approximately 27.8% of the order backlog through 2020 and 72.2%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June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Thereafter</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1,961.6</w:t>
            </w:r>
          </w:p>
        </w:tc>
      </w:tr>
      <w:tr>
        <w:trPr>
          <w:trHeight w:val="210"/>
        </w:trPr>
        <w:tc>
          <w:tcPr>
            <w:tcW w:w="70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5,541.9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4,298.9</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w:t>
            </w:r>
          </w:p>
        </w:tc>
      </w:tr>
      <w:tr>
        <w:trPr>
          <w:trHeight w:val="215"/>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8,614.9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6,265.2</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SEGMENTS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153" w:lineRule="exact"/>
        <w:rPr>
          <w:sz w:val="20"/>
          <w:szCs w:val="20"/>
          <w:color w:val="auto"/>
        </w:rPr>
      </w:pPr>
    </w:p>
    <w:p>
      <w:pPr>
        <w:ind w:left="340" w:right="140" w:hanging="332"/>
        <w:spacing w:after="0" w:line="282"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60" w:hanging="332"/>
        <w:spacing w:after="0" w:line="266"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offers extensive experience, knowledge and unique project management capabilities in Onshore and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hydrocarbon infrastructure businesses; it also combines its leading engineering and construction capabilities with its technological know-how, products and services to develop new solutions that will support the world’s energy transition.</w:t>
      </w:r>
    </w:p>
    <w:p>
      <w:pPr>
        <w:spacing w:after="0" w:line="121" w:lineRule="exact"/>
        <w:rPr>
          <w:rFonts w:ascii="Arial" w:cs="Arial" w:eastAsia="Arial" w:hAnsi="Arial"/>
          <w:sz w:val="18"/>
          <w:szCs w:val="18"/>
          <w:i w:val="1"/>
          <w:iCs w:val="1"/>
          <w:color w:val="auto"/>
        </w:rPr>
      </w:pPr>
    </w:p>
    <w:p>
      <w:pPr>
        <w:ind w:left="340" w:right="80" w:hanging="332"/>
        <w:spacing w:after="0" w:line="289" w:lineRule="auto"/>
        <w:tabs>
          <w:tab w:leader="none" w:pos="33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Beginning in the first quarter of 2020, in anticipation of our separation transaction, we renamed our Onshore/Offshore segment to Technip Energies, which includes our Loading Systems business that was previously reported in the Surface Technologies segment and our process automation business, Cybernetix, that was previously reported in the Subsea segment. Prior year information has not been restated due to these businesses not being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7" w:name="page18"/>
    <w:bookmarkEnd w:id="17"/>
    <w:p>
      <w:pPr>
        <w:ind w:right="20"/>
        <w:spacing w:after="0" w:line="254"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foreign exchange gains (losses), net interest income (expense) associated with corporate debt facilities, income taxes, and other revenue and other expense,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0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1,378.5</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1,508.7</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2,631.6</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2,694.0</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2,840.1</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813.1</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6,288.8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6,347.2</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(2,826.3)</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144.5</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429.7</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36.0</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segment operating profit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610.2</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5200" w:type="dxa"/>
            <w:vAlign w:val="bottom"/>
          </w:tcPr>
          <w:p>
            <w:pPr>
              <w:ind w:left="120"/>
              <w:spacing w:after="0"/>
              <w:rPr>
                <w:sz w:val="20"/>
                <w:szCs w:val="20"/>
                <w:color w:val="auto"/>
              </w:rPr>
            </w:pPr>
            <w:r>
              <w:rPr>
                <w:rFonts w:ascii="Arial" w:cs="Arial" w:eastAsia="Arial" w:hAnsi="Arial"/>
                <w:sz w:val="14"/>
                <w:szCs w:val="14"/>
                <w:color w:val="auto"/>
              </w:rPr>
              <w:t>Impairment, restructuring and other expenses</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2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Separation costs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5200" w:type="dxa"/>
            <w:vAlign w:val="bottom"/>
          </w:tcPr>
          <w:p>
            <w:pPr>
              <w:ind w:left="120"/>
              <w:spacing w:after="0"/>
              <w:rPr>
                <w:sz w:val="20"/>
                <w:szCs w:val="20"/>
                <w:color w:val="auto"/>
              </w:rPr>
            </w:pPr>
            <w:r>
              <w:rPr>
                <w:rFonts w:ascii="Arial" w:cs="Arial" w:eastAsia="Arial" w:hAnsi="Arial"/>
                <w:sz w:val="14"/>
                <w:szCs w:val="14"/>
                <w:color w:val="auto"/>
              </w:rPr>
              <w:t>Merger transaction costs</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2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Legal expenses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r>
      <w:tr>
        <w:trPr>
          <w:trHeight w:val="21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corporate expenses</w:t>
            </w:r>
            <w:r>
              <w:rPr>
                <w:rFonts w:ascii="Arial" w:cs="Arial" w:eastAsia="Arial" w:hAnsi="Arial"/>
                <w:sz w:val="18"/>
                <w:szCs w:val="18"/>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Net interest expense</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(228.8)</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r>
      <w:tr>
        <w:trPr>
          <w:trHeight w:val="20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(461.3)</w:t>
            </w:r>
          </w:p>
        </w:tc>
      </w:tr>
      <w:tr>
        <w:trPr>
          <w:trHeight w:val="241"/>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corporate expenses primarily include corporate staff expenses, stock-based compensation expenses, and other employee benefits.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0"/>
        </w:trPr>
        <w:tc>
          <w:tcPr>
            <w:tcW w:w="8260" w:type="dxa"/>
            <w:vAlign w:val="bottom"/>
          </w:tcPr>
          <w:p>
            <w:pPr>
              <w:ind w:left="120"/>
              <w:spacing w:after="0"/>
              <w:rPr>
                <w:sz w:val="20"/>
                <w:szCs w:val="20"/>
                <w:color w:val="auto"/>
              </w:rPr>
            </w:pPr>
            <w:r>
              <w:rPr>
                <w:rFonts w:ascii="Arial" w:cs="Arial" w:eastAsia="Arial" w:hAnsi="Arial"/>
                <w:sz w:val="14"/>
                <w:szCs w:val="14"/>
                <w:color w:val="auto"/>
              </w:rPr>
              <w:t>Subsea</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7,314.9</w:t>
            </w:r>
          </w:p>
        </w:tc>
        <w:tc>
          <w:tcPr>
            <w:tcW w:w="10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10,824.2</w:t>
            </w:r>
          </w:p>
        </w:tc>
      </w:tr>
      <w:tr>
        <w:trPr>
          <w:trHeight w:val="222"/>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Technip Energies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4,448.8</w:t>
            </w:r>
          </w:p>
        </w:tc>
      </w:tr>
      <w:tr>
        <w:trPr>
          <w:trHeight w:val="210"/>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Surface Technologies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2,246.4</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13,562.4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17,519.4</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6,032.0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5,999.4</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19,594.4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23,518.8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58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includes cash, deferred income tax balances, property, plant and equipment not associated with a specific segment, pension assets and the fair value of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0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TechnipFMC plc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(3,244.4)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117.9</w:t>
            </w:r>
          </w:p>
        </w:tc>
      </w:tr>
      <w:tr>
        <w:trPr>
          <w:trHeight w:val="243"/>
        </w:trPr>
        <w:tc>
          <w:tcPr>
            <w:tcW w:w="5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447.7</w:t>
            </w:r>
          </w:p>
        </w:tc>
      </w:tr>
      <w:tr>
        <w:trPr>
          <w:trHeight w:val="210"/>
        </w:trPr>
        <w:tc>
          <w:tcPr>
            <w:tcW w:w="5680" w:type="dxa"/>
            <w:vAlign w:val="bottom"/>
          </w:tcPr>
          <w:p>
            <w:pPr>
              <w:ind w:left="20"/>
              <w:spacing w:after="0"/>
              <w:rPr>
                <w:sz w:val="20"/>
                <w:szCs w:val="20"/>
                <w:color w:val="auto"/>
              </w:rPr>
            </w:pPr>
            <w:r>
              <w:rPr>
                <w:rFonts w:ascii="Arial" w:cs="Arial" w:eastAsia="Arial" w:hAnsi="Arial"/>
                <w:sz w:val="14"/>
                <w:szCs w:val="14"/>
                <w:color w:val="auto"/>
              </w:rPr>
              <w:t>Dilutive effect of restricted stock units</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performance shares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r>
      <w:tr>
        <w:trPr>
          <w:trHeight w:val="216"/>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Total shares and dilutive securities</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451.2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447.9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451.9</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Basic earnings (loss) per share attributable to TechnipFMC plc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0.26</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5"/>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attributable to TechnipFMC plc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the six months ended June 30, 2020, we incurred a net loss; therefore, the impact of any incremental shares from our share-based compensation awards would be anti-dilutive. For the six months ended June 30, 2020, 3.4 million shares were anti-dilutive due to net loss position.</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28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7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(millions of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09"/>
        </w:trPr>
        <w:tc>
          <w:tcPr>
            <w:tcW w:w="5720" w:type="dxa"/>
            <w:vAlign w:val="bottom"/>
          </w:tcPr>
          <w:p>
            <w:pPr>
              <w:ind w:left="20"/>
              <w:spacing w:after="0"/>
              <w:rPr>
                <w:sz w:val="20"/>
                <w:szCs w:val="20"/>
                <w:color w:val="auto"/>
              </w:rPr>
            </w:pPr>
            <w:r>
              <w:rPr>
                <w:rFonts w:ascii="Arial" w:cs="Arial" w:eastAsia="Arial" w:hAnsi="Arial"/>
                <w:sz w:val="14"/>
                <w:szCs w:val="14"/>
                <w:color w:val="auto"/>
              </w:rPr>
              <w:t>Share option awards</w:t>
            </w: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4.6</w:t>
            </w: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 units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 shares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0.1</w:t>
            </w:r>
          </w:p>
        </w:tc>
      </w:tr>
      <w:tr>
        <w:trPr>
          <w:trHeight w:val="24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347.5</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290.2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778.3</w:t>
            </w:r>
          </w:p>
        </w:tc>
      </w:tr>
      <w:tr>
        <w:trPr>
          <w:trHeight w:val="21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1,416.0</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5280"/>
        <w:spacing w:after="0" w:line="475"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Value-added tax receivables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395.2</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Sundry receivables</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69.6</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66.8</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Other taxes receivables</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100.7</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Held-to-maturity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42.0</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held for sale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113.9</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 (Note 10)</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310.1</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Value added tax and other taxes payable</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240.4</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provisions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183.6</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Social security liability</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116.5</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Redeemable financial liability</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129.1</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accrual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89.6</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14.9</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held for sale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314.4</w:t>
            </w:r>
          </w:p>
        </w:tc>
      </w:tr>
      <w:tr>
        <w:trPr>
          <w:trHeight w:val="24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1,494.5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WARRANTY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Warranty obligations are included within “Other current liabilities” in our consolidated balance sheets as of June 30, 2020 and December 31,</w:t>
      </w:r>
    </w:p>
    <w:p>
      <w:pPr>
        <w:spacing w:after="0"/>
        <w:rPr>
          <w:sz w:val="20"/>
          <w:szCs w:val="20"/>
          <w:color w:val="auto"/>
        </w:rPr>
      </w:pPr>
      <w:r>
        <w:rPr>
          <w:rFonts w:ascii="Arial" w:cs="Arial" w:eastAsia="Arial" w:hAnsi="Arial"/>
          <w:sz w:val="18"/>
          <w:szCs w:val="18"/>
          <w:color w:val="auto"/>
        </w:rPr>
        <w:t>2019. A reconciliation of warranty obligations for the three and six months ended June 30, 2020 and 2019 is as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1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234.4</w:t>
            </w:r>
          </w:p>
        </w:tc>
      </w:tr>
      <w:tr>
        <w:trPr>
          <w:trHeight w:val="210"/>
        </w:trPr>
        <w:tc>
          <w:tcPr>
            <w:tcW w:w="566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37.4</w:t>
            </w: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r>
      <w:tr>
        <w:trPr>
          <w:trHeight w:val="21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r>
      <w:tr>
        <w:trPr>
          <w:trHeight w:val="24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1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w:t>
            </w:r>
          </w:p>
        </w:tc>
      </w:tr>
      <w:tr>
        <w:trPr>
          <w:trHeight w:val="21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r>
      <w:tr>
        <w:trPr>
          <w:trHeight w:val="24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equity affiliates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the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TP JGC Coral France SNC</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40.1</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TTSJV W.L.L.</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22.4</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Novarctic SNC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w:t>
            </w:r>
          </w:p>
        </w:tc>
      </w:tr>
      <w:tr>
        <w:trPr>
          <w:trHeight w:val="24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trade receivables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TP JGC Coral France SNC, TTSJV W.L.L. and Novarctic SNC are equity method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the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Chiyoda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15.1</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IFP Energies nouvelles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r>
      <w:tr>
        <w:trPr>
          <w:trHeight w:val="21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trade payables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51.1</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Chiyoda and JGC Corporation are joint venture partners on our Yamal project. A member of our Board of Directors served as an executive officer of IFP Energies nouvelles until June 2020. Dofcon Navegacao is an equity method affiliate.</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we have a note receivables balance of $52.8 million and $65.2 million at June 30, 2020 and December 31, 2019, respectively. The note receivables balance includes $50.1 million and $62.5 million with Dofcon Brasil AS as of June 30, 2020 and December 31, 2019, respectively. Dofcon Brasil AS is a variable interest entity (“VIE”) and accounted for as an equity method affiliate. These are included in other assets in our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amounts from the following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TTSJV W.L.L.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75.5</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TP JGC Coral France SNC</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77.7</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Techdof Brasil AS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5.7</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Anadarko Petroleum Company</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TOP CV</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22.5</w:t>
            </w: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226.2</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Techdof Brasil AS is a wholly owned subsidiary of Dofcon Brasil AS, our equity method affiliate.</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TOP CV was previously an equity method affiliate that became a fully consolidated subsidiary on December 30, 2019. See Note 3 for further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 to the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Arkema S.A.</w:t>
            </w:r>
          </w:p>
        </w:tc>
        <w:tc>
          <w:tcPr>
            <w:tcW w:w="98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9.8</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Magma Global Limited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IFP Energies nouvelles</w:t>
            </w:r>
          </w:p>
        </w:tc>
        <w:tc>
          <w:tcPr>
            <w:tcW w:w="98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Serimax Holdings SAS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98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18.9</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Chiyoda</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w:t>
            </w: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Magma Global Limited and Serimax Holdings SAS are equity method affiliates. A member of our Board of Directors serves on the Board of Directors for Arkema S.A.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first quarter of 2020, triggering events were identified which led to performing interim goodwill impairment testing in our Subsea and Surface Technologies reporting units as of March 31, 2020. These events included the COVID-19 pandemic breakout, commodity price declines, and a significant decrease in our market capitalization as well as those of our peers and customers.</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fair value for our reporting units was valued using a market approach. An appropriate control premium was considered for each of the reporting units and applied to the output of the market approach.</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impairment assessment resulted in a conclusion that goodwill in the Subsea and Surface Technologies segments was impaired by $2,747.5 million and $335.9 million, respectively. The impairment assessment also concluded the fair value of the Technip Energies reporting unit was in excess of its carrying amount.</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The carrying amount of goodwill by business segment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Subsea</w:t>
            </w:r>
          </w:p>
        </w:tc>
        <w:tc>
          <w:tcPr>
            <w:tcW w:w="18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Technip Energies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Surface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2,814.1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2,423.6</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360.6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5,598.3</w:t>
            </w:r>
          </w:p>
        </w:tc>
      </w:tr>
      <w:tr>
        <w:trPr>
          <w:trHeight w:val="216"/>
        </w:trPr>
        <w:tc>
          <w:tcPr>
            <w:tcW w:w="3900" w:type="dxa"/>
            <w:vAlign w:val="bottom"/>
          </w:tcPr>
          <w:p>
            <w:pPr>
              <w:ind w:left="220"/>
              <w:spacing w:after="0"/>
              <w:rPr>
                <w:sz w:val="20"/>
                <w:szCs w:val="20"/>
                <w:color w:val="auto"/>
              </w:rPr>
            </w:pPr>
            <w:r>
              <w:rPr>
                <w:rFonts w:ascii="Arial" w:cs="Arial" w:eastAsia="Arial" w:hAnsi="Arial"/>
                <w:sz w:val="14"/>
                <w:szCs w:val="14"/>
                <w:color w:val="auto"/>
              </w:rPr>
              <w:t xml:space="preserve">Transfers </w:t>
            </w:r>
            <w:r>
              <w:rPr>
                <w:rFonts w:ascii="Arial" w:cs="Arial" w:eastAsia="Arial" w:hAnsi="Arial"/>
                <w:sz w:val="18"/>
                <w:szCs w:val="18"/>
                <w:color w:val="auto"/>
                <w:vertAlign w:val="superscript"/>
              </w:rPr>
              <w:t>(a)</w:t>
            </w:r>
          </w:p>
        </w:tc>
        <w:tc>
          <w:tcPr>
            <w:tcW w:w="360" w:type="dxa"/>
            <w:vAlign w:val="bottom"/>
          </w:tcPr>
          <w:p>
            <w:pPr>
              <w:spacing w:after="0"/>
              <w:rPr>
                <w:sz w:val="18"/>
                <w:szCs w:val="18"/>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(3,083.4)</w:t>
            </w:r>
          </w:p>
        </w:tc>
      </w:tr>
      <w:tr>
        <w:trPr>
          <w:trHeight w:val="210"/>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Translation</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2,470.7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80" w:hanging="332"/>
        <w:spacing w:after="0" w:line="258" w:lineRule="auto"/>
        <w:tabs>
          <w:tab w:leader="none" w:pos="2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Beginning in the first quarter of 2020, Technip Energies includes our Loading Systems business that was previously reported in the Surface Technologies segment and our process automation business, Cybernetix, that was previously reported in the Subsea segment. See Note 6 for further details.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Long-term debt consisted of the following:</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paper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Synthetic bonds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3.45% Senior Notes due 2022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5.00% 2010 Private placement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3.40% 2012 Private placement notes due 2022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3.15% 2013 Private placement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3.15% 2013 Private placement notes due 2023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4.50% 2020 Private placement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4.00% 2012 Private placement notes due 2027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4.00% 2012 Private placement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3.75% 2013 Private placement notes due 2033</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Unamortized issuing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debt</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Less: current borrowings </w:t>
      </w:r>
      <w:r>
        <w:rPr>
          <w:rFonts w:ascii="Arial" w:cs="Arial" w:eastAsia="Arial" w:hAnsi="Arial"/>
          <w:sz w:val="18"/>
          <w:szCs w:val="18"/>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June 30,</w:t>
      </w:r>
    </w:p>
    <w:p>
      <w:pPr>
        <w:spacing w:after="0" w:line="19"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2020</w:t>
      </w:r>
    </w:p>
    <w:p>
      <w:pPr>
        <w:spacing w:after="0" w:line="69"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1,851.1</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496.7</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500.0</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223.9</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167.9</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145.5</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139.9</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167.9</w:t>
      </w:r>
    </w:p>
    <w:p>
      <w:pPr>
        <w:spacing w:after="0" w:line="55"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84.0</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111.8</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111.8</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477.1</w:t>
      </w:r>
    </w:p>
    <w:p>
      <w:pPr>
        <w:spacing w:after="0" w:line="55"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41.2</w:t>
      </w:r>
    </w:p>
    <w:p>
      <w:pPr>
        <w:spacing w:after="0" w:line="55" w:lineRule="exact"/>
        <w:rPr>
          <w:rFonts w:ascii="Arial" w:cs="Arial" w:eastAsia="Arial" w:hAnsi="Arial"/>
          <w:sz w:val="14"/>
          <w:szCs w:val="14"/>
          <w:color w:val="auto"/>
        </w:rPr>
      </w:pPr>
    </w:p>
    <w:p>
      <w:pPr>
        <w:ind w:left="940"/>
        <w:spacing w:after="0"/>
        <w:rPr>
          <w:rFonts w:ascii="Arial" w:cs="Arial" w:eastAsia="Arial" w:hAnsi="Arial"/>
          <w:sz w:val="14"/>
          <w:szCs w:val="14"/>
          <w:color w:val="auto"/>
        </w:rPr>
      </w:pPr>
      <w:r>
        <w:rPr>
          <w:rFonts w:ascii="Arial" w:cs="Arial" w:eastAsia="Arial" w:hAnsi="Arial"/>
          <w:sz w:val="14"/>
          <w:szCs w:val="14"/>
          <w:color w:val="auto"/>
        </w:rPr>
        <w:t>(11.8)</w:t>
      </w:r>
    </w:p>
    <w:p>
      <w:pPr>
        <w:spacing w:after="0" w:line="6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4,507.0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524.1</w:t>
      </w:r>
    </w:p>
    <w:p>
      <w:pPr>
        <w:spacing w:after="0" w:line="69"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3,982.9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9086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w:t>
      </w:r>
    </w:p>
    <w:p>
      <w:pPr>
        <w:spacing w:after="0" w:line="69" w:lineRule="exact"/>
        <w:rPr>
          <w:sz w:val="20"/>
          <w:szCs w:val="20"/>
          <w:color w:val="auto"/>
        </w:rPr>
      </w:pPr>
    </w:p>
    <w:p>
      <w:pPr>
        <w:ind w:left="800" w:hanging="793"/>
        <w:spacing w:after="0"/>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1,967.0</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492.9</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500.0</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224.6</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168.5</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146.0</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140.4</w:t>
      </w:r>
    </w:p>
    <w:p>
      <w:pPr>
        <w:spacing w:after="0" w:line="55" w:lineRule="exact"/>
        <w:rPr>
          <w:rFonts w:ascii="Arial" w:cs="Arial" w:eastAsia="Arial" w:hAnsi="Arial"/>
          <w:sz w:val="14"/>
          <w:szCs w:val="14"/>
          <w:color w:val="auto"/>
        </w:rPr>
      </w:pPr>
    </w:p>
    <w:p>
      <w:pPr>
        <w:ind w:left="11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84.2</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112.3</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112.3</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513.3</w:t>
      </w:r>
    </w:p>
    <w:p>
      <w:pPr>
        <w:spacing w:after="0" w:line="55"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23.0</w:t>
      </w:r>
    </w:p>
    <w:p>
      <w:pPr>
        <w:spacing w:after="0" w:line="55"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(9.1)</w:t>
      </w:r>
    </w:p>
    <w:p>
      <w:pPr>
        <w:spacing w:after="0" w:line="69"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4,475.4</w:t>
      </w:r>
    </w:p>
    <w:p>
      <w:pPr>
        <w:spacing w:after="0" w:line="55"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495.4</w:t>
      </w:r>
    </w:p>
    <w:p>
      <w:pPr>
        <w:spacing w:after="0" w:line="69" w:lineRule="exact"/>
        <w:rPr>
          <w:sz w:val="20"/>
          <w:szCs w:val="20"/>
          <w:color w:val="auto"/>
        </w:rPr>
      </w:pPr>
    </w:p>
    <w:p>
      <w:pPr>
        <w:ind w:left="800" w:hanging="793"/>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908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7560" w:space="720"/>
            <w:col w:w="1320" w:space="220"/>
            <w:col w:w="1420"/>
          </w:cols>
          <w:pgMar w:left="320" w:top="1111"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 As of June 30, 2020 and December 31, 2019, current borrowings consisted primarily of bank borrowings and notes with current maturities of 12 months.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Significant Funding and Liquidity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we completed the following transactions in order to enhance our total liquidity position:</w:t>
      </w:r>
    </w:p>
    <w:p>
      <w:pPr>
        <w:spacing w:after="0" w:line="171" w:lineRule="exact"/>
        <w:rPr>
          <w:sz w:val="20"/>
          <w:szCs w:val="20"/>
          <w:color w:val="auto"/>
        </w:rPr>
      </w:pPr>
    </w:p>
    <w:p>
      <w:pPr>
        <w:ind w:left="660" w:right="60" w:hanging="652"/>
        <w:spacing w:after="0" w:line="23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€150 million aggregate principal amount of new 4.500% notes due June 30, 2025. On July 31, 2020, we entered into a subscription agreement with respect to the issuance and sale of an additional €50 million aggregate principal amount of the Euro Denominated Notes, which is expected to close on August 4, 2020 and is subject to the satisfaction of customary conditions precedent. In the event of the spin-off of our Technip Energies business segment followed, within three months of the effective date of the spin-off, by a downgrade by a nationally recognized rating agency of the corporate rating of TechnipFMC from an investment grade to a non-investment grade rating or a withdrawal of any such rating, the interest rate applicable to the Euro Denominated Notes will be increased to 5.75%;</w:t>
      </w:r>
    </w:p>
    <w:p>
      <w:pPr>
        <w:spacing w:after="0" w:line="202" w:lineRule="exact"/>
        <w:rPr>
          <w:rFonts w:ascii="Arial" w:cs="Arial" w:eastAsia="Arial" w:hAnsi="Arial"/>
          <w:sz w:val="18"/>
          <w:szCs w:val="18"/>
          <w:color w:val="auto"/>
        </w:rPr>
      </w:pPr>
    </w:p>
    <w:p>
      <w:pPr>
        <w:ind w:left="660" w:right="360" w:hanging="652"/>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(the “Euro Facility”); and</w:t>
      </w:r>
    </w:p>
    <w:p>
      <w:pPr>
        <w:spacing w:after="0" w:line="197" w:lineRule="exact"/>
        <w:rPr>
          <w:rFonts w:ascii="Arial" w:cs="Arial" w:eastAsia="Arial" w:hAnsi="Arial"/>
          <w:sz w:val="18"/>
          <w:szCs w:val="18"/>
          <w:color w:val="auto"/>
        </w:rPr>
      </w:pPr>
    </w:p>
    <w:p>
      <w:pPr>
        <w:ind w:left="660" w:hanging="652"/>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the Bank of England’s COVID Corporate Financing Facility program (the “CCFF Program”), which allows us to issue up to £600 million of unsecured commercial paper notes.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243"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On January 17, 2017, we acceded to a new $2.5 billion senior unsecured revolving credit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Agreement”) between FMC Technologies, Inc., Technip Eurocash SNC, and TechnipFMC plc (the “Borrowers”) with JPMorgan Chase Bank, National Association (“JPMorgan”), as agent and an arranger, SG Americas Securities LLC as an arranger, and the lenders party thereto.</w:t>
      </w:r>
    </w:p>
    <w:p>
      <w:pPr>
        <w:spacing w:after="0" w:line="226"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agreement which extends the expiration date to January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120" w:hanging="332"/>
        <w:spacing w:after="0" w:line="261"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Depending on our credit rating,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0.50% or (c) one-month Adjusted LIBOR plus 1.00%. As of June 30, 2020, there were no outstanding borrowings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24" w:name="page25"/>
    <w:bookmarkEnd w:id="24"/>
    <w:p>
      <w:pPr>
        <w:spacing w:after="0" w:line="258" w:lineRule="auto"/>
        <w:rPr>
          <w:sz w:val="20"/>
          <w:szCs w:val="20"/>
          <w:color w:val="auto"/>
        </w:rPr>
      </w:pPr>
      <w:r>
        <w:rPr>
          <w:rFonts w:ascii="Arial" w:cs="Arial" w:eastAsia="Arial" w:hAnsi="Arial"/>
          <w:sz w:val="18"/>
          <w:szCs w:val="18"/>
          <w:i w:val="1"/>
          <w:iCs w:val="1"/>
          <w:color w:val="auto"/>
        </w:rPr>
        <w:t xml:space="preserve">Euro Facility </w:t>
      </w:r>
      <w:r>
        <w:rPr>
          <w:rFonts w:ascii="Arial" w:cs="Arial" w:eastAsia="Arial" w:hAnsi="Arial"/>
          <w:sz w:val="18"/>
          <w:szCs w:val="18"/>
          <w:color w:val="auto"/>
        </w:rPr>
        <w:t>– On May 19, 2020, we entered into the Euro Facility with HSBC France, as agent, and the lenders party thereto,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the establishment of a six-month revolving credit facility denominated in Euros with total commitments of € 500 million, which may be extended by us for two additional three-month periods. Borrowings under the Euro Facility bear interest at the Euro interbank offered rate for a period equal in length to the interest period of a given loan (which may be three or six months), plus an applicable margin. As of June 30, 2020, there were no outstanding borrowings under Euro Facility.</w:t>
      </w:r>
    </w:p>
    <w:p>
      <w:pPr>
        <w:spacing w:after="0" w:line="14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Facility Agreement and Euro Facility contain usual and customary covenants, representations and warranties and events of default for credit facilities of this type, including financial covenants requiring that our total capitalization ratio not exceed 60% at the end of any financial quarter. The Facility Agreement and Euro Facility also contain covenants restricting our ability and our subsidiaries’ ability to incur additional liens and indebtedness, enter into asset sales, or make certain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were in compliance with all restrictive covenants under our credit facilities.</w:t>
      </w:r>
    </w:p>
    <w:p>
      <w:pPr>
        <w:spacing w:after="0" w:line="15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 xml:space="preserve">CCFF Program </w:t>
      </w:r>
      <w:r>
        <w:rPr>
          <w:rFonts w:ascii="Arial" w:cs="Arial" w:eastAsia="Arial" w:hAnsi="Arial"/>
          <w:sz w:val="18"/>
          <w:szCs w:val="18"/>
          <w:color w:val="auto"/>
        </w:rPr>
        <w:t>- On May 19, 2020, we entered into a dealer agreement (the “Dealer Agreement”) with Bank of America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DAC (the “Dealer”) and an Issuing and Paying Agency Agreement (the “Agency Agreement”, and together with the Dealer Agreement, the “Agreements”) with Bank of America, National Association, London Branch, relating to the European commercial paper program established under the CCFF Program as a source of additional liquidity.</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Agreements provide the terms under which we may issue, and the Dealer will arrange for, the sale of short-term, unsecured commercial paper notes (the “Notes”) to reduce existing debt or decrease overall borrowing costs. The Notes contain customary representations, warranties, covenants, defaults, and indemnification provisions, and will be sold at such discounts from their face amounts as shall be agreed between us and the Dealer. The Notes will be fully payable at maturity, and the maturities of the Notes will vary but may not exceed 364 days. The principal amount of outstanding Notes may not exceed £600 million. The Agency Agreement provides for the terms of issuance and payment of the Notes. As of June 30, 2020, our commercial paper borrowings under the CCFF Program had a weighted average interest rate of 0.43%. As of June 30, 2020, we had $392.7 million of Notes outstanding and recorded as long-term borrowings under the CCFF Program because we had the ability and intent to refinance the obligation due March 2021. Subsequent to June 30, 2020, we issued an additional $348.6 million of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Bilateral credit facility - </w:t>
      </w:r>
      <w:r>
        <w:rPr>
          <w:rFonts w:ascii="Arial" w:cs="Arial" w:eastAsia="Arial" w:hAnsi="Arial"/>
          <w:sz w:val="18"/>
          <w:szCs w:val="18"/>
          <w:color w:val="auto"/>
        </w:rPr>
        <w:t>We have access to a €100.0 million bilateral credit facility expiring in May 2021.</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there were no outstanding borrowings under our bilateral credit facility.</w:t>
      </w:r>
    </w:p>
    <w:p>
      <w:pPr>
        <w:spacing w:after="0" w:line="221"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 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revolving facility agreement. As we have both the ability and intent to refinance these obligations on a long-term basis, our commercial paper borrowings were classified as long-term debt in the consolidated balance sheets as of June 30, 2020 and December 31, 2019. Commercial paper borrowings are issued at market interest rates. As of June 30, 2020, our commercial paper borrowings had a weighted average interest rate of 2.05% on the U.S. dollar denominated borrowings and 0.06% on the Euro denominated borrowings. As of June 30, 2020, we had $1,459.5 million of outstanding commercial paper borrowings under this program.</w:t>
      </w:r>
    </w:p>
    <w:p>
      <w:pPr>
        <w:spacing w:after="0" w:line="212"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i w:val="1"/>
          <w:iCs w:val="1"/>
          <w:color w:val="auto"/>
        </w:rPr>
        <w:t xml:space="preserve">Synthetic bonds </w:t>
      </w:r>
      <w:r>
        <w:rPr>
          <w:rFonts w:ascii="Arial" w:cs="Arial" w:eastAsia="Arial" w:hAnsi="Arial"/>
          <w:sz w:val="18"/>
          <w:szCs w:val="18"/>
          <w:color w:val="auto"/>
        </w:rPr>
        <w:t>- As we have both the ability and intent to refinance this obligation on a long-term basis, our synthetic bonds due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2021 are classified as long-term debt in the consolidated balance sheets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160"/>
        <w:spacing w:after="0" w:line="266" w:lineRule="auto"/>
        <w:rPr>
          <w:sz w:val="20"/>
          <w:szCs w:val="20"/>
          <w:color w:val="auto"/>
        </w:rPr>
      </w:pPr>
      <w:r>
        <w:rPr>
          <w:rFonts w:ascii="Arial" w:cs="Arial" w:eastAsia="Arial" w:hAnsi="Arial"/>
          <w:sz w:val="18"/>
          <w:szCs w:val="18"/>
          <w:i w:val="1"/>
          <w:iCs w:val="1"/>
          <w:color w:val="auto"/>
        </w:rPr>
        <w:t xml:space="preserve">Bank borrowings - </w:t>
      </w:r>
      <w:r>
        <w:rPr>
          <w:rFonts w:ascii="Arial" w:cs="Arial" w:eastAsia="Arial" w:hAnsi="Arial"/>
          <w:sz w:val="18"/>
          <w:szCs w:val="18"/>
          <w:color w:val="auto"/>
        </w:rPr>
        <w:t>In December 2016, we entered into a £ 160.0 million term loan agreement to finance the Deep Explorer, a diving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(“DSV”), maturing December 2028. Under the loan agreement, interest accrues at an annual rate of 2.813%. This loan agreement contains usual and customary covenants and events of default for loans of this type.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December 30, 2019, we completed the acquisition of the remaining 50% interest in TOP CV. In connection with the acquisition, we assumed liabilities that included a $203.1 million term loan, of which $174.0 million is outstanding and due September 30, 2020. The debt is fully collateralized against our two vessels, Coral do Atlantico and Deep Star.</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January 2019, we executed a sale-leaseback transaction to finance the purchase of a deepwater DSV, Deep Discoverer (the “Vessel”) for the full transaction price of $116.8 million. The sale-leaseback agreement was entered into with a French joint-stock company owned by Credit Industrial et Commercial which was formed for the sole purpose to purchase and act as the lessor of the Vessel. It is a VIE, which is fully consolidated in our condensed consolidated financial statements. The transaction was funded through debt of $96.2 million which is primarily long-term, expiring on January 8, 2031.</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Foreign committed credit </w:t>
      </w:r>
      <w:r>
        <w:rPr>
          <w:rFonts w:ascii="Arial" w:cs="Arial" w:eastAsia="Arial" w:hAnsi="Arial"/>
          <w:sz w:val="18"/>
          <w:szCs w:val="18"/>
          <w:color w:val="auto"/>
        </w:rPr>
        <w:t>- 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w:t>
      </w:r>
    </w:p>
    <w:p>
      <w:pPr>
        <w:spacing w:after="0" w:line="193"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Cash dividends paid during the six months ended June 30, 2020 and 2019 were $59.2 million and $116.6 million, respectively. We made a dividend payment of $0.13 per share in April 2020, which fulfills our annual dividend under our revised dividend policy announced on April 21, 2020.</w:t>
      </w:r>
    </w:p>
    <w:p>
      <w:pPr>
        <w:spacing w:after="0" w:line="2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in our statutory balance sheet. Therefore, we are not permitted to pay dividends out of share capital, which includes share premium. On November 27, 2019, we redeemed 50,000 redeemable shares of £1 each and cancelled one deferred ordinary share of £1 in the capital of the Company.</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April 2017, the Board of Directors authorized the repurchase of $500.0 million in ordinary shares under our share repurchase program. We implemented our share repurchase plan in September 2017. The Board of Directors authorized an extension of this program, adding $300.0 million </w:t>
      </w:r>
      <w:r>
        <w:rPr>
          <w:rFonts w:ascii="Arial" w:cs="Arial" w:eastAsia="Arial" w:hAnsi="Arial"/>
          <w:sz w:val="19"/>
          <w:szCs w:val="19"/>
          <w:color w:val="auto"/>
        </w:rPr>
        <w:t>i</w:t>
      </w:r>
      <w:r>
        <w:rPr>
          <w:rFonts w:ascii="Arial" w:cs="Arial" w:eastAsia="Arial" w:hAnsi="Arial"/>
          <w:sz w:val="18"/>
          <w:szCs w:val="18"/>
          <w:color w:val="auto"/>
        </w:rPr>
        <w:t>n December 2018 for a total of $800.0 million in ordinary shares. There were no ordinary shares repurchased during the six months ended June 30, 2020 under our authorized share repurchase program. The $500.0 million part of the program was completed on December 20, 2018. We intend to cancel repurchased shares and not hold them in treasury. Canceled treasury shares are accounted for using the constructive retirement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Accumulated Other</w:t>
            </w: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6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1"/>
                <w:szCs w:val="11"/>
                <w:color w:val="auto"/>
              </w:rPr>
            </w:pPr>
          </w:p>
        </w:tc>
        <w:tc>
          <w:tcPr>
            <w:tcW w:w="14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and Other</w:t>
            </w:r>
          </w:p>
        </w:tc>
        <w:tc>
          <w:tcPr>
            <w:tcW w:w="160" w:type="dxa"/>
            <w:vAlign w:val="bottom"/>
          </w:tcPr>
          <w:p>
            <w:pPr>
              <w:spacing w:after="0"/>
              <w:rPr>
                <w:sz w:val="11"/>
                <w:szCs w:val="11"/>
                <w:color w:val="auto"/>
              </w:rPr>
            </w:pPr>
          </w:p>
        </w:tc>
        <w:tc>
          <w:tcPr>
            <w:tcW w:w="16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14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Post-Retirement</w:t>
            </w:r>
          </w:p>
        </w:tc>
        <w:tc>
          <w:tcPr>
            <w:tcW w:w="16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Loss attributable to</w:t>
            </w:r>
          </w:p>
        </w:tc>
        <w:tc>
          <w:tcPr>
            <w:tcW w:w="140" w:type="dxa"/>
            <w:vAlign w:val="bottom"/>
          </w:tcPr>
          <w:p>
            <w:pPr>
              <w:spacing w:after="0"/>
              <w:rPr>
                <w:sz w:val="11"/>
                <w:szCs w:val="11"/>
                <w:color w:val="auto"/>
              </w:rPr>
            </w:pPr>
          </w:p>
        </w:tc>
        <w:tc>
          <w:tcPr>
            <w:tcW w:w="14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7"/>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Hedging</w:t>
            </w:r>
          </w:p>
        </w:tc>
        <w:tc>
          <w:tcPr>
            <w:tcW w:w="16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Benefits</w:t>
            </w:r>
          </w:p>
        </w:tc>
        <w:tc>
          <w:tcPr>
            <w:tcW w:w="16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TechnipFMC plc</w:t>
            </w:r>
          </w:p>
        </w:tc>
        <w:tc>
          <w:tcPr>
            <w:tcW w:w="140" w:type="dxa"/>
            <w:vAlign w:val="bottom"/>
          </w:tcPr>
          <w:p>
            <w:pPr>
              <w:spacing w:after="0"/>
              <w:rPr>
                <w:sz w:val="15"/>
                <w:szCs w:val="15"/>
                <w:color w:val="auto"/>
              </w:rPr>
            </w:pPr>
          </w:p>
        </w:tc>
        <w:tc>
          <w:tcPr>
            <w:tcW w:w="14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interest</w:t>
            </w:r>
          </w:p>
        </w:tc>
      </w:tr>
      <w:tr>
        <w:trPr>
          <w:trHeight w:val="18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(1,230.1)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(1,407.5)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r>
      <w:tr>
        <w:trPr>
          <w:trHeight w:val="181"/>
        </w:trPr>
        <w:tc>
          <w:tcPr>
            <w:tcW w:w="4120" w:type="dxa"/>
            <w:vAlign w:val="bottom"/>
          </w:tcPr>
          <w:p>
            <w:pPr>
              <w:ind w:left="120"/>
              <w:spacing w:after="0"/>
              <w:rPr>
                <w:sz w:val="20"/>
                <w:szCs w:val="20"/>
                <w:color w:val="auto"/>
              </w:rPr>
            </w:pPr>
            <w:r>
              <w:rPr>
                <w:rFonts w:ascii="Arial" w:cs="Arial" w:eastAsia="Arial" w:hAnsi="Arial"/>
                <w:sz w:val="13"/>
                <w:szCs w:val="13"/>
                <w:color w:val="auto"/>
                <w:w w:val="99"/>
              </w:rPr>
              <w:t>Other comprehensive income (loss) before reclassifications, net of tax</w:t>
            </w:r>
          </w:p>
        </w:tc>
        <w:tc>
          <w:tcPr>
            <w:tcW w:w="12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(196.3)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9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(247.0)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(7.9)</w:t>
            </w:r>
          </w:p>
        </w:tc>
      </w:tr>
      <w:tr>
        <w:trPr>
          <w:trHeight w:val="164"/>
        </w:trPr>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Reclassification adjustment for net losses included in net income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1"/>
        </w:trPr>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net of tax</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3"/>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(196.3)</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(49.1)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(238.3)</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(7.9)</w:t>
            </w:r>
          </w:p>
        </w:tc>
      </w:tr>
      <w:tr>
        <w:trPr>
          <w:trHeight w:val="21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(1,426.4)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(1,645.8)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2"/>
        </w:trPr>
        <w:tc>
          <w:tcPr>
            <w:tcW w:w="2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Details about Accumulated Other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280" w:type="dxa"/>
            <w:vAlign w:val="bottom"/>
          </w:tcPr>
          <w:p>
            <w:pPr>
              <w:spacing w:after="0"/>
              <w:rPr>
                <w:sz w:val="14"/>
                <w:szCs w:val="14"/>
                <w:color w:val="auto"/>
              </w:rPr>
            </w:pPr>
          </w:p>
        </w:tc>
        <w:tc>
          <w:tcPr>
            <w:tcW w:w="392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Amount Reclassified out of Accumulated Other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Components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Comprehensive Loss</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10"/>
        </w:trPr>
        <w:tc>
          <w:tcPr>
            <w:tcW w:w="286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22"/>
        </w:trPr>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r>
      <w:tr>
        <w:trPr>
          <w:trHeight w:val="210"/>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r>
      <w:tr>
        <w:trPr>
          <w:trHeight w:val="216"/>
        </w:trPr>
        <w:tc>
          <w:tcPr>
            <w:tcW w:w="2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r>
      <w:tr>
        <w:trPr>
          <w:trHeight w:val="210"/>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Loss before income taxes</w:t>
            </w:r>
          </w:p>
        </w:tc>
      </w:tr>
      <w:tr>
        <w:trPr>
          <w:trHeight w:val="216"/>
        </w:trPr>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19)</w:t>
            </w:r>
          </w:p>
        </w:tc>
      </w:tr>
      <w:tr>
        <w:trPr>
          <w:trHeight w:val="216"/>
        </w:trPr>
        <w:tc>
          <w:tcPr>
            <w:tcW w:w="28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Net loss</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18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Pension and other post-retirement benefits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r>
      <w:tr>
        <w:trPr>
          <w:trHeight w:val="210"/>
        </w:trPr>
        <w:tc>
          <w:tcPr>
            <w:tcW w:w="2860" w:type="dxa"/>
            <w:vAlign w:val="bottom"/>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(a)</w:t>
            </w: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r>
      <w:tr>
        <w:trPr>
          <w:trHeight w:val="209"/>
        </w:trPr>
        <w:tc>
          <w:tcPr>
            <w:tcW w:w="2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Loss before income taxes</w:t>
            </w:r>
          </w:p>
        </w:tc>
      </w:tr>
      <w:tr>
        <w:trPr>
          <w:trHeight w:val="216"/>
        </w:trPr>
        <w:tc>
          <w:tcPr>
            <w:tcW w:w="2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19)</w:t>
            </w:r>
          </w:p>
        </w:tc>
      </w:tr>
      <w:tr>
        <w:trPr>
          <w:trHeight w:val="215"/>
        </w:trPr>
        <w:tc>
          <w:tcPr>
            <w:tcW w:w="286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Net loss</w:t>
            </w:r>
          </w:p>
        </w:tc>
      </w:tr>
      <w:tr>
        <w:trPr>
          <w:trHeight w:val="21"/>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Amended and Restated TechnipFMC plc Incentive Award Plan (the “Plan”), we may grant certain incentives and awards to our officers, employees, non-employee directors, and consultants of the Company and its subsidiaries. Awards may include share options, share appreciation rights, performance stock units, restricted stock units, restricted shares or other awards authorized under the Plan. Under the Plan, 24.1 million ordinary shares were authorized for awards.</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$16.8 million and $21.1 million for the three months ended June 30, 2020 and 2019, respectively, and $38.4 million and $41.5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ind w:right="5480"/>
        <w:spacing w:after="0" w:line="503" w:lineRule="auto"/>
        <w:rPr>
          <w:sz w:val="20"/>
          <w:szCs w:val="20"/>
          <w:color w:val="auto"/>
        </w:rPr>
      </w:pPr>
      <w:r>
        <w:rPr>
          <w:rFonts w:ascii="Arial" w:cs="Arial" w:eastAsia="Arial" w:hAnsi="Arial"/>
          <w:sz w:val="17"/>
          <w:szCs w:val="17"/>
          <w:b w:val="1"/>
          <w:bCs w:val="1"/>
          <w:color w:val="auto"/>
        </w:rPr>
        <w:t xml:space="preserve">NOTE 17. IMPAIRMENT, RESTRUCTURING AND OTHER EXPENSES </w:t>
      </w:r>
      <w:r>
        <w:rPr>
          <w:rFonts w:ascii="Arial" w:cs="Arial" w:eastAsia="Arial" w:hAnsi="Arial"/>
          <w:sz w:val="17"/>
          <w:szCs w:val="17"/>
          <w:color w:val="auto"/>
        </w:rPr>
        <w:t>Impairment, restructuring and other expenses were as follows:</w:t>
      </w: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5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5.9</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r>
      <w:tr>
        <w:trPr>
          <w:trHeight w:val="24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140.3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half of 2020, triggering events were identified which led to impairments of certain long-lived assets, including goodwill.</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and six months ended June 30, 2020, impairment charges of $33.7 million and $3,221.7 million were recorded, respectively. These charges included goodwill impairment charges of $2,747.5 million and $335.9 million in our Subsea and Surface Technologies segments, respectively, recorded during the six months ended June 30, 2020. See Note 13 for further details.</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other long-lived assets, a conclusion was made that the market uncertainty was a triggering event for certain asset groups that serve short-cycle businesses in our Subsea and Surface Technologies segments. Assessing these asset groups for recoverability required the use of unobservable inputs that involves significant judgment. Such judgments include expected future asset utilization while taking into account reduced future capital spending by certain customers in response to market conditions. As a result of this assessment, during the three and six months ended June 30, 2020, impairment charges for Subsea of $ 32.5 million and $61.5 million, respectively, consisting mostly of installation and service equipment, and $1.2 million and $76.8 million, respectively, for Surface Technologies, consisting mainly of North America-based fracturing and wellhead assets, were recorded.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during the three and six months ended June 30, 2020, we recorded restructuring and other charges of $106.6 million and $127.0 million, respectively. Restructuring and other charges primarily consisted of severance and other employee related costs and COVID-19 related expenses across all segments. Restructuring and other expenses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 June 30, 2020</w:t>
            </w:r>
          </w:p>
        </w:tc>
        <w:tc>
          <w:tcPr>
            <w:tcW w:w="140" w:type="dxa"/>
            <w:vAlign w:val="bottom"/>
          </w:tcPr>
          <w:p>
            <w:pPr>
              <w:spacing w:after="0"/>
              <w:rPr>
                <w:sz w:val="17"/>
                <w:szCs w:val="17"/>
                <w:color w:val="auto"/>
              </w:rPr>
            </w:pPr>
          </w:p>
        </w:tc>
        <w:tc>
          <w:tcPr>
            <w:tcW w:w="400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Six Months Ended June 30, 2020</w:t>
            </w:r>
          </w:p>
        </w:tc>
      </w:tr>
      <w:tr>
        <w:trPr>
          <w:trHeight w:val="175"/>
        </w:trPr>
        <w:tc>
          <w:tcPr>
            <w:tcW w:w="2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Restructuring and other</w:t>
            </w:r>
          </w:p>
        </w:tc>
        <w:tc>
          <w:tcPr>
            <w:tcW w:w="2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Restructuring and other</w:t>
            </w:r>
          </w:p>
        </w:tc>
        <w:tc>
          <w:tcPr>
            <w:tcW w:w="2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r>
      <w:tr>
        <w:trPr>
          <w:trHeight w:val="19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COVID-19 expenses</w:t>
            </w:r>
          </w:p>
        </w:tc>
        <w:tc>
          <w:tcPr>
            <w:tcW w:w="140" w:type="dxa"/>
            <w:vAlign w:val="bottom"/>
          </w:tcPr>
          <w:p>
            <w:pPr>
              <w:spacing w:after="0"/>
              <w:rPr>
                <w:sz w:val="17"/>
                <w:szCs w:val="17"/>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charges</w:t>
            </w:r>
          </w:p>
        </w:tc>
        <w:tc>
          <w:tcPr>
            <w:tcW w:w="220" w:type="dxa"/>
            <w:vAlign w:val="bottom"/>
          </w:tcPr>
          <w:p>
            <w:pPr>
              <w:spacing w:after="0"/>
              <w:rPr>
                <w:sz w:val="17"/>
                <w:szCs w:val="17"/>
                <w:color w:val="auto"/>
              </w:rPr>
            </w:pPr>
          </w:p>
        </w:tc>
        <w:tc>
          <w:tcPr>
            <w:tcW w:w="1800" w:type="dxa"/>
            <w:vAlign w:val="bottom"/>
          </w:tcPr>
          <w:p>
            <w:pPr>
              <w:jc w:val="right"/>
              <w:ind w:right="268"/>
              <w:spacing w:after="0"/>
              <w:rPr>
                <w:sz w:val="20"/>
                <w:szCs w:val="20"/>
                <w:color w:val="auto"/>
              </w:rPr>
            </w:pPr>
            <w:r>
              <w:rPr>
                <w:rFonts w:ascii="Arial" w:cs="Arial" w:eastAsia="Arial" w:hAnsi="Arial"/>
                <w:sz w:val="14"/>
                <w:szCs w:val="14"/>
                <w:b w:val="1"/>
                <w:bCs w:val="1"/>
                <w:color w:val="auto"/>
              </w:rPr>
              <w:t>COVID-19 expenses</w:t>
            </w:r>
          </w:p>
        </w:tc>
      </w:tr>
      <w:tr>
        <w:trPr>
          <w:trHeight w:val="215"/>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31.4</w:t>
            </w: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14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28.7</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COVID-19 related expenses represent unplanned, one-off, incremental and non-recoverable costs incurred solely as a result of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ind w:right="100"/>
        <w:spacing w:after="0" w:line="254" w:lineRule="auto"/>
        <w:rPr>
          <w:sz w:val="20"/>
          <w:szCs w:val="20"/>
          <w:color w:val="auto"/>
        </w:rPr>
      </w:pPr>
      <w:r>
        <w:rPr>
          <w:rFonts w:ascii="Arial" w:cs="Arial" w:eastAsia="Arial" w:hAnsi="Arial"/>
          <w:sz w:val="18"/>
          <w:szCs w:val="18"/>
          <w:color w:val="auto"/>
        </w:rPr>
        <w:t>Prolonged uncertainty in energy markets could lead to further future reductions in capital spending from our customer base. In turn, this may lead to changes in our strategy. We will continue to take actions designed to mitigate the adverse effects of the rapidly changing market environment and expect to continue to adjust our cost structure to market conditions. If market conditions continue to deteriorate, we may record additional restructuring charges and additional impairments of our long-lived assets and equity method investments.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in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945.5</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4,988.4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4,916.0</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5,932.8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5,861.5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126"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i w:val="1"/>
          <w:iCs w:val="1"/>
          <w:color w:val="auto"/>
        </w:rPr>
        <w:t xml:space="preserve">Contingent liabilities associated with legal and tax matters - </w:t>
      </w:r>
      <w:r>
        <w:rPr>
          <w:rFonts w:ascii="Arial" w:cs="Arial" w:eastAsia="Arial" w:hAnsi="Arial"/>
          <w:sz w:val="17"/>
          <w:szCs w:val="17"/>
          <w:color w:val="auto"/>
        </w:rPr>
        <w:t>We are involved in various pending or potential legal and tax actions or disputes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ordinary course of our business. These actions and disputes can involve our agents, suppliers, clients, and venture partners, and can include claims related to payment of fees, service quality, and ownership arrangements, including certain put or call options. We are unable to predict the ultimate outcome of these actions because of their inherent uncertainty. However, we believe that the most probable, ultimate resolution of these matters will not have a material adverse effect in our consolidated financial position, results of operations or cash flows.</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June 30, 2020 and December 31, 2019,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Our provision for income taxes for the three months ended June 30, 2020 and 2019 reflected effective tax rates of 53.6% and 0.8%, respectively. </w:t>
      </w:r>
      <w:r>
        <w:rPr>
          <w:rFonts w:ascii="Arial" w:cs="Arial" w:eastAsia="Arial" w:hAnsi="Arial"/>
          <w:sz w:val="18"/>
          <w:szCs w:val="18"/>
          <w:color w:val="222222"/>
        </w:rPr>
        <w:t>The year-over-year increase in the effective tax rate was primarily due to the impact of losses in jurisdictions with a full valuation</w:t>
      </w:r>
      <w:r>
        <w:rPr>
          <w:rFonts w:ascii="Arial" w:cs="Arial" w:eastAsia="Arial" w:hAnsi="Arial"/>
          <w:sz w:val="18"/>
          <w:szCs w:val="18"/>
          <w:color w:val="auto"/>
        </w:rPr>
        <w:t xml:space="preserve"> </w:t>
      </w:r>
      <w:r>
        <w:rPr>
          <w:rFonts w:ascii="Arial" w:cs="Arial" w:eastAsia="Arial" w:hAnsi="Arial"/>
          <w:sz w:val="18"/>
          <w:szCs w:val="18"/>
          <w:color w:val="222222"/>
        </w:rPr>
        <w:t>allowance, offset in part by a favorable change in forecasted earnings mix. The increase also relates to one-time benefits, which were recorded in 2019, for the finalization of previously estimated tax liabilities based on the filing of tax returns.</w:t>
      </w:r>
    </w:p>
    <w:p>
      <w:pPr>
        <w:spacing w:after="0" w:line="15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 xml:space="preserve">Our provision for income taxes for the six months ended June 30, 2020 and 2019 reflected effective tax rates of (1.7)% and 10.3%, respectively. </w:t>
      </w:r>
      <w:r>
        <w:rPr>
          <w:rFonts w:ascii="Arial" w:cs="Arial" w:eastAsia="Arial" w:hAnsi="Arial"/>
          <w:sz w:val="18"/>
          <w:szCs w:val="18"/>
          <w:color w:val="222222"/>
        </w:rPr>
        <w:t>The year-over-year increase in the effective tax rate was primarily due to the impact of nondeductible goodwill impairments,</w:t>
      </w:r>
      <w:r>
        <w:rPr>
          <w:rFonts w:ascii="Arial" w:cs="Arial" w:eastAsia="Arial" w:hAnsi="Arial"/>
          <w:sz w:val="18"/>
          <w:szCs w:val="18"/>
          <w:color w:val="auto"/>
        </w:rPr>
        <w:t xml:space="preserve"> </w:t>
      </w:r>
      <w:r>
        <w:rPr>
          <w:rFonts w:ascii="Arial" w:cs="Arial" w:eastAsia="Arial" w:hAnsi="Arial"/>
          <w:sz w:val="18"/>
          <w:szCs w:val="18"/>
          <w:color w:val="222222"/>
        </w:rPr>
        <w:t>offset in part by a favorable change in forecasted earnings mix.</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0" w:name="page31"/>
    <w:bookmarkEnd w:id="30"/>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DERIVATIVE FINANCIAL INSTRUMENTS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consolidated balance sheets. At June 30, 2020, we held the following material net positions: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38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Net Notional Amount</w:t>
            </w:r>
          </w:p>
        </w:tc>
        <w:tc>
          <w:tcPr>
            <w:tcW w:w="780" w:type="dxa"/>
            <w:vAlign w:val="bottom"/>
          </w:tcPr>
          <w:p>
            <w:pPr>
              <w:spacing w:after="0"/>
              <w:rPr>
                <w:sz w:val="14"/>
                <w:szCs w:val="14"/>
                <w:color w:val="auto"/>
              </w:rPr>
            </w:pPr>
          </w:p>
        </w:tc>
      </w:tr>
      <w:tr>
        <w:trPr>
          <w:trHeight w:val="196"/>
        </w:trPr>
        <w:tc>
          <w:tcPr>
            <w:tcW w:w="8060" w:type="dxa"/>
            <w:vAlign w:val="bottom"/>
          </w:tcPr>
          <w:p>
            <w:pPr>
              <w:spacing w:after="0"/>
              <w:rPr>
                <w:sz w:val="17"/>
                <w:szCs w:val="17"/>
                <w:color w:val="auto"/>
              </w:rPr>
            </w:pPr>
          </w:p>
        </w:tc>
        <w:tc>
          <w:tcPr>
            <w:tcW w:w="2380" w:type="dxa"/>
            <w:vAlign w:val="bottom"/>
            <w:tcBorders>
              <w:bottom w:val="single" w:sz="8" w:color="auto"/>
            </w:tcBorders>
            <w:gridSpan w:val="2"/>
          </w:tcPr>
          <w:p>
            <w:pPr>
              <w:jc w:val="center"/>
              <w:ind w:left="708"/>
              <w:spacing w:after="0"/>
              <w:rPr>
                <w:sz w:val="20"/>
                <w:szCs w:val="20"/>
                <w:color w:val="auto"/>
              </w:rPr>
            </w:pPr>
            <w:r>
              <w:rPr>
                <w:rFonts w:ascii="Arial" w:cs="Arial" w:eastAsia="Arial" w:hAnsi="Arial"/>
                <w:sz w:val="14"/>
                <w:szCs w:val="14"/>
                <w:b w:val="1"/>
                <w:bCs w:val="1"/>
                <w:color w:val="auto"/>
              </w:rPr>
              <w:t>Bought (Sold)</w:t>
            </w:r>
          </w:p>
        </w:tc>
        <w:tc>
          <w:tcPr>
            <w:tcW w:w="780" w:type="dxa"/>
            <w:vAlign w:val="bottom"/>
            <w:tcBorders>
              <w:bottom w:val="single" w:sz="8" w:color="auto"/>
            </w:tcBorders>
          </w:tcPr>
          <w:p>
            <w:pPr>
              <w:spacing w:after="0"/>
              <w:rPr>
                <w:sz w:val="17"/>
                <w:szCs w:val="17"/>
                <w:color w:val="auto"/>
              </w:rPr>
            </w:pPr>
          </w:p>
        </w:tc>
      </w:tr>
      <w:tr>
        <w:trPr>
          <w:trHeight w:val="21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21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1,915.9</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2,144.9</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7,480.0</w:t>
            </w:r>
          </w:p>
        </w:tc>
        <w:tc>
          <w:tcPr>
            <w:tcW w:w="76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1,365.9</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British pound</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644.3</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790.8</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1,796.3</w:t>
            </w:r>
          </w:p>
        </w:tc>
        <w:tc>
          <w:tcPr>
            <w:tcW w:w="76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184.3</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485.6</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113.3</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Singapore dollar</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106.7</w:t>
            </w:r>
          </w:p>
        </w:tc>
        <w:tc>
          <w:tcPr>
            <w:tcW w:w="76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76.3</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 rupee</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2,072.5</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27.4</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Japanese yen</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2,157.7</w:t>
            </w:r>
          </w:p>
        </w:tc>
        <w:tc>
          <w:tcPr>
            <w:tcW w:w="76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20.0</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Colombian peso</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51,238.2</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Hong Kong dollar</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(94.5)</w:t>
            </w:r>
          </w:p>
        </w:tc>
        <w:tc>
          <w:tcPr>
            <w:tcW w:w="7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Mexican peso</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(460.7)</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Australian dollar</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(29.7)</w:t>
            </w:r>
          </w:p>
        </w:tc>
        <w:tc>
          <w:tcPr>
            <w:tcW w:w="7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(20.3)</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dollar</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(89.8)</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r>
      <w:tr>
        <w:trPr>
          <w:trHeight w:val="204"/>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(2,337.4)</w:t>
            </w:r>
          </w:p>
        </w:tc>
        <w:tc>
          <w:tcPr>
            <w:tcW w:w="76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(2,337.4)</w:t>
            </w:r>
          </w:p>
        </w:tc>
      </w:tr>
    </w:tbl>
    <w:p>
      <w:pPr>
        <w:spacing w:after="0" w:line="15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June 30, 2020, our portfolio of these instruments included the following material net positions: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48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rPr>
              <w:t>Net Notional Amount</w:t>
            </w:r>
          </w:p>
        </w:tc>
        <w:tc>
          <w:tcPr>
            <w:tcW w:w="680" w:type="dxa"/>
            <w:vAlign w:val="bottom"/>
          </w:tcPr>
          <w:p>
            <w:pPr>
              <w:spacing w:after="0"/>
              <w:rPr>
                <w:sz w:val="14"/>
                <w:szCs w:val="14"/>
                <w:color w:val="auto"/>
              </w:rPr>
            </w:pPr>
          </w:p>
        </w:tc>
      </w:tr>
      <w:tr>
        <w:trPr>
          <w:trHeight w:val="196"/>
        </w:trPr>
        <w:tc>
          <w:tcPr>
            <w:tcW w:w="8060" w:type="dxa"/>
            <w:vAlign w:val="bottom"/>
          </w:tcPr>
          <w:p>
            <w:pPr>
              <w:spacing w:after="0"/>
              <w:rPr>
                <w:sz w:val="17"/>
                <w:szCs w:val="17"/>
                <w:color w:val="auto"/>
              </w:rPr>
            </w:pPr>
          </w:p>
        </w:tc>
        <w:tc>
          <w:tcPr>
            <w:tcW w:w="248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b w:val="1"/>
                <w:bCs w:val="1"/>
                <w:color w:val="auto"/>
              </w:rPr>
              <w:t>Bought (Sold)</w:t>
            </w:r>
          </w:p>
        </w:tc>
        <w:tc>
          <w:tcPr>
            <w:tcW w:w="680" w:type="dxa"/>
            <w:vAlign w:val="bottom"/>
            <w:tcBorders>
              <w:bottom w:val="single" w:sz="8" w:color="auto"/>
            </w:tcBorders>
          </w:tcPr>
          <w:p>
            <w:pPr>
              <w:spacing w:after="0"/>
              <w:rPr>
                <w:sz w:val="17"/>
                <w:szCs w:val="17"/>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21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76.5</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Euro</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86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(7.2)</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(103.0)</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r>
      <w:tr>
        <w:trPr>
          <w:trHeight w:val="204"/>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86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ind w:right="20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21 for further details. Accordingly, the estimates presented may not be indicative of the amounts that we would realize in a current market exchange and may not be indicative of the gains or losses we may ultimately incur when these contracts are settled.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8"/>
                <w:szCs w:val="18"/>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Liabilities</w:t>
            </w:r>
          </w:p>
        </w:tc>
      </w:tr>
      <w:tr>
        <w:trPr>
          <w:trHeight w:val="20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0"/>
        </w:trPr>
        <w:tc>
          <w:tcPr>
            <w:tcW w:w="566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125.0</w:t>
            </w:r>
          </w:p>
        </w:tc>
      </w:tr>
      <w:tr>
        <w:trPr>
          <w:trHeight w:val="210"/>
        </w:trPr>
        <w:tc>
          <w:tcPr>
            <w:tcW w:w="56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48.0</w:t>
            </w: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173.0</w:t>
            </w:r>
          </w:p>
        </w:tc>
      </w:tr>
      <w:tr>
        <w:trPr>
          <w:trHeight w:val="210"/>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5660" w:type="dxa"/>
            <w:vAlign w:val="bottom"/>
          </w:tcPr>
          <w:p>
            <w:pPr>
              <w:ind w:left="46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16.3</w:t>
            </w:r>
          </w:p>
        </w:tc>
      </w:tr>
      <w:tr>
        <w:trPr>
          <w:trHeight w:val="222"/>
        </w:trPr>
        <w:tc>
          <w:tcPr>
            <w:tcW w:w="5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r>
      <w:tr>
        <w:trPr>
          <w:trHeight w:val="20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16.7</w:t>
            </w:r>
          </w:p>
        </w:tc>
      </w:tr>
      <w:tr>
        <w:trPr>
          <w:trHeight w:val="200"/>
        </w:trPr>
        <w:tc>
          <w:tcPr>
            <w:tcW w:w="5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5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Premium</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4"/>
        </w:trPr>
        <w:tc>
          <w:tcPr>
            <w:tcW w:w="5660" w:type="dxa"/>
            <w:vAlign w:val="bottom"/>
          </w:tcPr>
          <w:p>
            <w:pPr>
              <w:ind w:left="46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5660" w:type="dxa"/>
            <w:vAlign w:val="bottom"/>
          </w:tcPr>
          <w:p>
            <w:pPr>
              <w:ind w:left="460"/>
              <w:spacing w:after="0"/>
              <w:rPr>
                <w:sz w:val="20"/>
                <w:szCs w:val="20"/>
                <w:color w:val="auto"/>
              </w:rPr>
            </w:pPr>
            <w:r>
              <w:rPr>
                <w:rFonts w:ascii="Arial" w:cs="Arial" w:eastAsia="Arial" w:hAnsi="Arial"/>
                <w:sz w:val="14"/>
                <w:szCs w:val="14"/>
                <w:color w:val="auto"/>
              </w:rPr>
              <w:t>Derivatives</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4.3</w:t>
            </w:r>
          </w:p>
        </w:tc>
      </w:tr>
      <w:tr>
        <w:trPr>
          <w:trHeight w:val="24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flow hedges of forecasted transactions qualifying for hedge accounting, net of tax, resulted in accumulated other comprehensive losses of $55.8 million and $5.8 million at June 30, 2020 and December 31, 2019, respectively. We expect to transfer an approximate $33.6 million loss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presents the gains (losses) recognized in other comprehensive income related to derivative instruments designated as cash flow hedges: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Gain (Loss) Recognized in OCI</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04"/>
        </w:trPr>
        <w:tc>
          <w:tcPr>
            <w:tcW w:w="5200" w:type="dxa"/>
            <w:vAlign w:val="bottom"/>
          </w:tcPr>
          <w:p>
            <w:pPr>
              <w:spacing w:after="0"/>
              <w:rPr>
                <w:sz w:val="17"/>
                <w:szCs w:val="17"/>
                <w:color w:val="auto"/>
              </w:rPr>
            </w:pPr>
          </w:p>
        </w:tc>
        <w:tc>
          <w:tcPr>
            <w:tcW w:w="24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2" w:name="page33"/>
    <w:bookmarkEnd w:id="32"/>
    <w:p>
      <w:pPr>
        <w:ind w:right="340"/>
        <w:spacing w:after="0" w:line="261" w:lineRule="auto"/>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three and six months ended June 30, 2020 and 2019:</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9"/>
              </w:rPr>
              <w:t>Three Months Ended June 30, 2020</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9"/>
              </w:rPr>
              <w:t>Three Months Ended June 30, 2019</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0"/>
        </w:trPr>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Selling,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Selling,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w w:val="98"/>
              </w:rPr>
              <w:t>Total amount of income (expense) presented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in the consolidated statements of income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Cost of</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Cost of</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Other income</w:t>
            </w:r>
          </w:p>
        </w:tc>
      </w:tr>
      <w:tr>
        <w:trPr>
          <w:trHeight w:val="177"/>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associated with hedges and derivatives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 net</w:t>
            </w:r>
          </w:p>
        </w:tc>
      </w:tr>
      <w:tr>
        <w:trPr>
          <w:trHeight w:val="131"/>
        </w:trPr>
        <w:tc>
          <w:tcPr>
            <w:tcW w:w="276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i w:val="1"/>
                <w:iCs w:val="1"/>
                <w:color w:val="auto"/>
              </w:rPr>
              <w:t>Cash Flow hedge gain (loss) recognized in</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income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1"/>
        </w:trPr>
        <w:tc>
          <w:tcPr>
            <w:tcW w:w="2760" w:type="dxa"/>
            <w:vAlign w:val="bottom"/>
          </w:tcPr>
          <w:p>
            <w:pPr>
              <w:ind w:left="80"/>
              <w:spacing w:after="0"/>
              <w:rPr>
                <w:sz w:val="20"/>
                <w:szCs w:val="20"/>
                <w:color w:val="auto"/>
              </w:rPr>
            </w:pPr>
            <w:r>
              <w:rPr>
                <w:rFonts w:ascii="Arial" w:cs="Arial" w:eastAsia="Arial" w:hAnsi="Arial"/>
                <w:sz w:val="13"/>
                <w:szCs w:val="13"/>
                <w:i w:val="1"/>
                <w:iCs w:val="1"/>
                <w:color w:val="auto"/>
              </w:rPr>
              <w:t>Foreign Exchange Contracts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4"/>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Amounts reclassified from accumulated OCI</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w:t>
            </w:r>
          </w:p>
        </w:tc>
      </w:tr>
      <w:tr>
        <w:trPr>
          <w:trHeight w:val="183"/>
        </w:trPr>
        <w:tc>
          <w:tcPr>
            <w:tcW w:w="2760" w:type="dxa"/>
            <w:vAlign w:val="bottom"/>
          </w:tcPr>
          <w:p>
            <w:pPr>
              <w:ind w:left="180"/>
              <w:spacing w:after="0"/>
              <w:rPr>
                <w:sz w:val="20"/>
                <w:szCs w:val="20"/>
                <w:color w:val="auto"/>
              </w:rPr>
            </w:pPr>
            <w:r>
              <w:rPr>
                <w:rFonts w:ascii="Arial" w:cs="Arial" w:eastAsia="Arial" w:hAnsi="Arial"/>
                <w:sz w:val="13"/>
                <w:szCs w:val="13"/>
                <w:color w:val="auto"/>
                <w:w w:val="99"/>
              </w:rPr>
              <w:t>Amounts excluded from effectiveness testing</w:t>
            </w:r>
          </w:p>
        </w:tc>
        <w:tc>
          <w:tcPr>
            <w:tcW w:w="14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(12.5)</w:t>
            </w:r>
          </w:p>
        </w:tc>
      </w:tr>
      <w:tr>
        <w:trPr>
          <w:trHeight w:val="127"/>
        </w:trPr>
        <w:tc>
          <w:tcPr>
            <w:tcW w:w="27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3"/>
                <w:szCs w:val="13"/>
                <w:b w:val="1"/>
                <w:bCs w:val="1"/>
                <w:color w:val="auto"/>
                <w:w w:val="98"/>
              </w:rPr>
              <w:t>Total cash flow hedge gain (loss) recognized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 income</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w:t>
            </w:r>
          </w:p>
        </w:tc>
      </w:tr>
      <w:tr>
        <w:trPr>
          <w:trHeight w:val="189"/>
        </w:trPr>
        <w:tc>
          <w:tcPr>
            <w:tcW w:w="2900" w:type="dxa"/>
            <w:vAlign w:val="bottom"/>
            <w:gridSpan w:val="2"/>
          </w:tcPr>
          <w:p>
            <w:pPr>
              <w:ind w:left="20"/>
              <w:spacing w:after="0" w:line="189" w:lineRule="exact"/>
              <w:rPr>
                <w:sz w:val="20"/>
                <w:szCs w:val="20"/>
                <w:color w:val="auto"/>
              </w:rPr>
            </w:pPr>
            <w:r>
              <w:rPr>
                <w:rFonts w:ascii="Arial" w:cs="Arial" w:eastAsia="Arial" w:hAnsi="Arial"/>
                <w:sz w:val="11"/>
                <w:szCs w:val="11"/>
                <w:b w:val="1"/>
                <w:bCs w:val="1"/>
                <w:color w:val="auto"/>
              </w:rPr>
              <w:t xml:space="preserve">Total hedge gain (loss) recognized in income </w:t>
            </w:r>
            <w:r>
              <w:rPr>
                <w:rFonts w:ascii="Arial" w:cs="Arial" w:eastAsia="Arial" w:hAnsi="Arial"/>
                <w:sz w:val="21"/>
                <w:szCs w:val="21"/>
                <w:color w:val="auto"/>
                <w:vertAlign w:val="superscript"/>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6"/>
                <w:szCs w:val="16"/>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56"/>
        </w:trPr>
        <w:tc>
          <w:tcPr>
            <w:tcW w:w="2760" w:type="dxa"/>
            <w:vAlign w:val="bottom"/>
          </w:tcPr>
          <w:p>
            <w:pPr>
              <w:ind w:left="20"/>
              <w:spacing w:after="0"/>
              <w:rPr>
                <w:sz w:val="20"/>
                <w:szCs w:val="20"/>
                <w:color w:val="auto"/>
              </w:rPr>
            </w:pPr>
            <w:r>
              <w:rPr>
                <w:rFonts w:ascii="Arial" w:cs="Arial" w:eastAsia="Arial" w:hAnsi="Arial"/>
                <w:sz w:val="13"/>
                <w:szCs w:val="13"/>
                <w:color w:val="auto"/>
                <w:w w:val="99"/>
              </w:rPr>
              <w:t>Gain (loss) recognized in income on derivatives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8.3</w:t>
            </w:r>
          </w:p>
        </w:tc>
      </w:tr>
      <w:tr>
        <w:trPr>
          <w:trHeight w:val="20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0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Six Months Ended June 30, 2020</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Six Months Ended June 30, 2019</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0"/>
        </w:trPr>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Selling,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Selling,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w w:val="98"/>
              </w:rPr>
              <w:t>Total amount of income (expense) presented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in the consolidated statements of income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Cost of</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Cost of</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Other income</w:t>
            </w:r>
          </w:p>
        </w:tc>
      </w:tr>
      <w:tr>
        <w:trPr>
          <w:trHeight w:val="177"/>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associated with hedges and derivatives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 net</w:t>
            </w:r>
          </w:p>
        </w:tc>
      </w:tr>
      <w:tr>
        <w:trPr>
          <w:trHeight w:val="131"/>
        </w:trPr>
        <w:tc>
          <w:tcPr>
            <w:tcW w:w="276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i w:val="1"/>
                <w:iCs w:val="1"/>
                <w:color w:val="auto"/>
              </w:rPr>
              <w:t>Cash Flow hedge gain (loss) recognized in</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income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1"/>
        </w:trPr>
        <w:tc>
          <w:tcPr>
            <w:tcW w:w="2760" w:type="dxa"/>
            <w:vAlign w:val="bottom"/>
          </w:tcPr>
          <w:p>
            <w:pPr>
              <w:ind w:left="80"/>
              <w:spacing w:after="0"/>
              <w:rPr>
                <w:sz w:val="20"/>
                <w:szCs w:val="20"/>
                <w:color w:val="auto"/>
              </w:rPr>
            </w:pPr>
            <w:r>
              <w:rPr>
                <w:rFonts w:ascii="Arial" w:cs="Arial" w:eastAsia="Arial" w:hAnsi="Arial"/>
                <w:sz w:val="13"/>
                <w:szCs w:val="13"/>
                <w:i w:val="1"/>
                <w:iCs w:val="1"/>
                <w:color w:val="auto"/>
              </w:rPr>
              <w:t>Foreign Exchange Contracts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4"/>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Amounts reclassified from accumulated OCI</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r>
      <w:tr>
        <w:trPr>
          <w:trHeight w:val="183"/>
        </w:trPr>
        <w:tc>
          <w:tcPr>
            <w:tcW w:w="2760" w:type="dxa"/>
            <w:vAlign w:val="bottom"/>
          </w:tcPr>
          <w:p>
            <w:pPr>
              <w:ind w:left="180"/>
              <w:spacing w:after="0"/>
              <w:rPr>
                <w:sz w:val="20"/>
                <w:szCs w:val="20"/>
                <w:color w:val="auto"/>
              </w:rPr>
            </w:pPr>
            <w:r>
              <w:rPr>
                <w:rFonts w:ascii="Arial" w:cs="Arial" w:eastAsia="Arial" w:hAnsi="Arial"/>
                <w:sz w:val="13"/>
                <w:szCs w:val="13"/>
                <w:color w:val="auto"/>
                <w:w w:val="99"/>
              </w:rPr>
              <w:t>Amounts excluded from effectiveness testing</w:t>
            </w:r>
          </w:p>
        </w:tc>
        <w:tc>
          <w:tcPr>
            <w:tcW w:w="14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(22.1)</w:t>
            </w:r>
          </w:p>
        </w:tc>
      </w:tr>
      <w:tr>
        <w:trPr>
          <w:trHeight w:val="127"/>
        </w:trPr>
        <w:tc>
          <w:tcPr>
            <w:tcW w:w="27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3"/>
                <w:szCs w:val="13"/>
                <w:b w:val="1"/>
                <w:bCs w:val="1"/>
                <w:color w:val="auto"/>
                <w:w w:val="98"/>
              </w:rPr>
              <w:t>Total cash flow hedge gain (loss) recognized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 income</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(23.5)</w:t>
            </w:r>
          </w:p>
        </w:tc>
      </w:tr>
      <w:tr>
        <w:trPr>
          <w:trHeight w:val="189"/>
        </w:trPr>
        <w:tc>
          <w:tcPr>
            <w:tcW w:w="2900" w:type="dxa"/>
            <w:vAlign w:val="bottom"/>
            <w:gridSpan w:val="2"/>
          </w:tcPr>
          <w:p>
            <w:pPr>
              <w:ind w:left="20"/>
              <w:spacing w:after="0" w:line="189" w:lineRule="exact"/>
              <w:rPr>
                <w:sz w:val="20"/>
                <w:szCs w:val="20"/>
                <w:color w:val="auto"/>
              </w:rPr>
            </w:pPr>
            <w:r>
              <w:rPr>
                <w:rFonts w:ascii="Arial" w:cs="Arial" w:eastAsia="Arial" w:hAnsi="Arial"/>
                <w:sz w:val="11"/>
                <w:szCs w:val="11"/>
                <w:b w:val="1"/>
                <w:bCs w:val="1"/>
                <w:color w:val="auto"/>
              </w:rPr>
              <w:t xml:space="preserve">Total hedge gain (loss) recognized in income </w:t>
            </w:r>
            <w:r>
              <w:rPr>
                <w:rFonts w:ascii="Arial" w:cs="Arial" w:eastAsia="Arial" w:hAnsi="Arial"/>
                <w:sz w:val="21"/>
                <w:szCs w:val="21"/>
                <w:color w:val="auto"/>
                <w:vertAlign w:val="superscript"/>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6"/>
                <w:szCs w:val="16"/>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(23.5)</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56"/>
        </w:trPr>
        <w:tc>
          <w:tcPr>
            <w:tcW w:w="2760" w:type="dxa"/>
            <w:vAlign w:val="bottom"/>
          </w:tcPr>
          <w:p>
            <w:pPr>
              <w:ind w:left="20"/>
              <w:spacing w:after="0"/>
              <w:rPr>
                <w:sz w:val="20"/>
                <w:szCs w:val="20"/>
                <w:color w:val="auto"/>
              </w:rPr>
            </w:pPr>
            <w:r>
              <w:rPr>
                <w:rFonts w:ascii="Arial" w:cs="Arial" w:eastAsia="Arial" w:hAnsi="Arial"/>
                <w:sz w:val="13"/>
                <w:szCs w:val="13"/>
                <w:color w:val="auto"/>
                <w:w w:val="99"/>
              </w:rPr>
              <w:t>Gain (loss) recognized in income on derivatives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5.0</w:t>
            </w:r>
          </w:p>
        </w:tc>
      </w:tr>
      <w:tr>
        <w:trPr>
          <w:trHeight w:val="214"/>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(18.5)</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June 30, 2020 and December 31, 2019, we had no collateralized derivative contracts. The following tables present both gross information and net information of recognized derivative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180" w:type="dxa"/>
            <w:vAlign w:val="bottom"/>
          </w:tcPr>
          <w:p>
            <w:pPr>
              <w:spacing w:after="0"/>
              <w:rPr>
                <w:sz w:val="17"/>
                <w:szCs w:val="17"/>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Net Amount</w:t>
            </w:r>
          </w:p>
        </w:tc>
      </w:tr>
      <w:tr>
        <w:trPr>
          <w:trHeight w:val="215"/>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28.9</w:t>
            </w:r>
          </w:p>
        </w:tc>
      </w:tr>
      <w:tr>
        <w:trPr>
          <w:trHeight w:val="204"/>
        </w:trPr>
        <w:tc>
          <w:tcPr>
            <w:tcW w:w="28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375.7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(187.9)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194.0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81.5</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2"/>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480" w:type="dxa"/>
            <w:vAlign w:val="bottom"/>
          </w:tcPr>
          <w:p>
            <w:pPr>
              <w:ind w:left="220"/>
              <w:spacing w:after="0"/>
              <w:rPr>
                <w:sz w:val="20"/>
                <w:szCs w:val="20"/>
                <w:color w:val="auto"/>
              </w:rPr>
            </w:pPr>
            <w:r>
              <w:rPr>
                <w:rFonts w:ascii="Arial" w:cs="Arial" w:eastAsia="Arial" w:hAnsi="Arial"/>
                <w:sz w:val="14"/>
                <w:szCs w:val="14"/>
                <w:color w:val="auto"/>
              </w:rPr>
              <w:t>Money market fund</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480" w:type="dxa"/>
            <w:vAlign w:val="bottom"/>
          </w:tcPr>
          <w:p>
            <w:pPr>
              <w:ind w:left="220"/>
              <w:spacing w:after="0"/>
              <w:rPr>
                <w:sz w:val="20"/>
                <w:szCs w:val="20"/>
                <w:color w:val="auto"/>
              </w:rPr>
            </w:pPr>
            <w:r>
              <w:rPr>
                <w:rFonts w:ascii="Arial" w:cs="Arial" w:eastAsia="Arial" w:hAnsi="Arial"/>
                <w:sz w:val="14"/>
                <w:szCs w:val="14"/>
                <w:color w:val="auto"/>
              </w:rPr>
              <w:t>Held-to-maturity debt securities</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20"/>
              <w:spacing w:after="0"/>
              <w:rPr>
                <w:sz w:val="20"/>
                <w:szCs w:val="20"/>
                <w:color w:val="auto"/>
              </w:rPr>
            </w:pPr>
            <w:r>
              <w:rPr>
                <w:rFonts w:ascii="Arial" w:cs="Arial" w:eastAsia="Arial" w:hAnsi="Arial"/>
                <w:sz w:val="14"/>
                <w:szCs w:val="14"/>
                <w:color w:val="auto"/>
              </w:rPr>
              <w:t>Synthetic bonds - call option premium</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41"/>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Redeemable financial liability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Synthetic bonds - embedded derivatives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48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375.6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595.5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375.7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472.1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 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10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1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Technip Energies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a 20.6% discount rate and the overall timing of completion of the project.</w:t>
      </w:r>
    </w:p>
    <w:p>
      <w:pPr>
        <w:spacing w:after="0" w:line="15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 mandatorily redeemable financial liability of $219.8 million was recognized as of June 30, 2020 to account for the fair value of the non-controlling interests. See Note 9 for further details.</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$ 2.2 million as of June 30, 2020. The fair value measurement is based upon significant unobservable inputs not observable in the market and is consequently classified as a Level 3 fair value measurement.</w:t>
      </w: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type w:val="continuous"/>
        </w:sectPr>
      </w:pPr>
    </w:p>
    <w:bookmarkStart w:id="34" w:name="page35"/>
    <w:bookmarkEnd w:id="34"/>
    <w:p>
      <w:pPr>
        <w:ind w:right="740"/>
        <w:spacing w:after="0" w:line="261"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6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0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rPr>
              <w:t>408.5</w:t>
            </w: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Less: Expenses recognized in net interest expense</w:t>
            </w: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rPr>
              <w:t>(224.9)</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Settlements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rPr>
              <w:t>220.6</w:t>
            </w:r>
          </w:p>
        </w:tc>
      </w:tr>
      <w:tr>
        <w:trPr>
          <w:trHeight w:val="216"/>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412.8</w:t>
            </w:r>
          </w:p>
        </w:tc>
      </w:tr>
      <w:tr>
        <w:trPr>
          <w:trHeight w:val="21"/>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Subsea AS that was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renamed to TIOS AS. The non-controlling interest is recorded as mezzanine equity at fair value. The fair value measurement is based upon significant unobservable inputs not observable in the market and is consequently classified as a Level 3 fair value measurement. As of June 30, 2020 and December 31, 2019, the fair value of our redeemable non-controlling interest was $41.1 million</w:t>
      </w:r>
      <w:r>
        <w:rPr>
          <w:rFonts w:ascii="Arial" w:cs="Arial" w:eastAsia="Arial" w:hAnsi="Arial"/>
          <w:sz w:val="18"/>
          <w:szCs w:val="18"/>
          <w:i w:val="1"/>
          <w:iCs w:val="1"/>
          <w:color w:val="auto"/>
        </w:rPr>
        <w:t>.</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 See Note 20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i w:val="1"/>
          <w:iCs w:val="1"/>
          <w:color w:val="auto"/>
        </w:rPr>
        <w:t xml:space="preserve">Fair value of long-lived, non-financial assets - </w:t>
      </w:r>
      <w:r>
        <w:rPr>
          <w:rFonts w:ascii="Arial" w:cs="Arial" w:eastAsia="Arial" w:hAnsi="Arial"/>
          <w:sz w:val="17"/>
          <w:szCs w:val="17"/>
          <w:color w:val="auto"/>
        </w:rPr>
        <w:t>Long-lived, non-financial assets are measured at fair value on a non-recurring basis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calculating impairment, when the recoverable amount of the assets has been determined to be less than the book value of the assets. During 2019, we recorded certain long-lived asset impairments primarily related to vessels and machinery and equipment in our Subsea segment. Due to the intent to sell our G1201 vessel and subsequently signed Memorandum of Agreement (MOA) with a third party, we reviewed the carrying value of its sister vessel, the G1200, as of September 30, 2019. As a result of this assessment, an impairment charge was recorded on the two vessels to bring their carrying value to a combined fair value of $104.0 million as of September 30,</w:t>
      </w:r>
    </w:p>
    <w:p>
      <w:pPr>
        <w:spacing w:after="0" w:line="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2019. The fair value measurements of these vessels were based on the transaction price in the MOA, which is a Level 2 observable input as per the fair value hierarchy. For the remaining long-lived assets which we impaired in 2019, we measured their fair value by estimating the amount and timing of net future cash flows, which are Level 3 unobservable inputs, and discounting them using a risk-adjusted rate of interest of 10.8%. As of December 31, 2019, these impaired assets were recorded at their fair value of $238.5 million.</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first half of 2020 we recorded impairments primarily to installation and service equipment assets in our Subsea segment and North America-based fracturing and wellhead assets in our Surface Technologies segment. As of June 30, 2020, these impaired assets were recorded at their fair value of $314.3 million. We measured their fair value by estimating the amount and timing of net future cash flows, which are Level 3 unobservable inputs, and discounting them using a risk-adjusted rate of interest of 10.8%.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basis as of June 30, 2020 was $2,149.4 million and $2,206.5 million, respectively. The respective carrying value and fair value of our Synthetic bonds and our Senior Notes and private placement notes on a combined basis as of December 31, 2019 were $1,981.2 million and $2,078.2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ind w:right="12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6" w:name="page37"/>
    <w:bookmarkEnd w:id="36"/>
    <w:p>
      <w:pPr>
        <w:ind w:right="1260"/>
        <w:spacing w:after="0" w:line="4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price of crude oil moved higher in the quarter despite the volatility experienced early in the period. However, oil prices</w:t>
      </w:r>
      <w:r>
        <w:rPr>
          <w:rFonts w:ascii="Arial" w:cs="Arial" w:eastAsia="Arial" w:hAnsi="Arial"/>
          <w:sz w:val="18"/>
          <w:szCs w:val="18"/>
          <w:i w:val="1"/>
          <w:iCs w:val="1"/>
          <w:color w:val="auto"/>
        </w:rPr>
        <w:t xml:space="preserve"> </w:t>
      </w:r>
      <w:r>
        <w:rPr>
          <w:rFonts w:ascii="Arial" w:cs="Arial" w:eastAsia="Arial" w:hAnsi="Arial"/>
          <w:sz w:val="18"/>
          <w:szCs w:val="18"/>
          <w:color w:val="auto"/>
        </w:rPr>
        <w:t>were still down more than 30% since the start of the year, primarily due to the excess market supply. The significant demand destruction related to the COVID-19 pandemic continued throughout the quarter. The short-term outlook improved as the OPEC+ countries adopted a more constructive approach toward managing the oversupplied market.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Long-term demand is still forecast to rise, and we believe this outlook will ultimately provide our customers with the confidence to increase investments in new sources of oil and natural gas production. We continue to believe that offshore and deepwater developments will remain a significant part of our customers’ portfolios in the long-term. TechnipFMC’s strong positioning in transition fuels, such as natural gas, will also allow us to play a key role in the energy transition markets.</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COVID-19 - </w:t>
      </w:r>
      <w:r>
        <w:rPr>
          <w:rFonts w:ascii="Arial" w:cs="Arial" w:eastAsia="Arial" w:hAnsi="Arial"/>
          <w:sz w:val="18"/>
          <w:szCs w:val="18"/>
          <w:color w:val="auto"/>
        </w:rPr>
        <w:t>Beginning in the first quarter, we experienced operational impacts as a result of COVID-19. These impacts included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productivity declines; and logistics constraints. There has been a resumption of activity from some suppliers, and we expect that other supply chain impacts will subside as regional restrictions are removed, subject to any future deterioration in the global COVID-19 situation. We believe, given the long-cycle nature of our projects, that we will be able to mitigate a majority of the impacts related to supply chain disruption.</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Even though many of our locations remained open, we experienced productivity declines as a result of the pandemic. The energy sector was deemed to be an essential business in most countries, which provided us the flexibility to keep offices and manufacturing centers open. We allowed all non-essential personnel to work from home but in some cases we experienced reduced productivity as employees transitioned to the new work environment. We also experienced periodic productivity declines in our manufacturing facilities as employee groups were isolated in the event of a COVID-19 exposure.</w:t>
      </w:r>
    </w:p>
    <w:p>
      <w:pPr>
        <w:spacing w:after="0" w:line="2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experienced logistics impacts related to the movement of personnel and equipment due to new COVID-19 regulations. Specifically, these impacts included delays in crew changes on vessels due to quarantine periods and limitations on travel to and from points of embarkation.</w:t>
      </w:r>
    </w:p>
    <w:p>
      <w:pPr>
        <w:spacing w:after="0" w:line="229"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In addition to these operational impacts, we incurred incremental, direct costs related to voluntary measures implemented to ensure the safety of employees, contractors, suppliers, and clients. We activated a COVID-19 Incident Management Team in order to administer a consistent response throughout our global operations and provide coordinated support to localized events. Specific actions taken by the team included the following:</w:t>
      </w:r>
    </w:p>
    <w:p>
      <w:pPr>
        <w:spacing w:after="0" w:line="239" w:lineRule="exact"/>
        <w:rPr>
          <w:sz w:val="20"/>
          <w:szCs w:val="20"/>
          <w:color w:val="auto"/>
        </w:rPr>
      </w:pPr>
    </w:p>
    <w:p>
      <w:pPr>
        <w:ind w:left="660" w:right="520" w:hanging="324"/>
        <w:spacing w:after="0" w:line="25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Established a thorough Business Continuity Planning process, which included the work from home initiative, when practical, to</w:t>
      </w:r>
      <w:r>
        <w:rPr>
          <w:rFonts w:ascii="Arial" w:cs="Arial" w:eastAsia="Arial" w:hAnsi="Arial"/>
          <w:sz w:val="22"/>
          <w:szCs w:val="22"/>
          <w:color w:val="auto"/>
        </w:rPr>
        <w:t xml:space="preserve"> </w:t>
      </w:r>
      <w:r>
        <w:rPr>
          <w:rFonts w:ascii="Arial" w:cs="Arial" w:eastAsia="Arial" w:hAnsi="Arial"/>
          <w:sz w:val="17"/>
          <w:szCs w:val="17"/>
          <w:color w:val="auto"/>
        </w:rPr>
        <w:t>support continuity of operations;</w:t>
      </w:r>
    </w:p>
    <w:p>
      <w:pPr>
        <w:spacing w:after="0" w:line="1" w:lineRule="exact"/>
        <w:rPr>
          <w:sz w:val="20"/>
          <w:szCs w:val="20"/>
          <w:color w:val="auto"/>
        </w:rPr>
      </w:pPr>
    </w:p>
    <w:p>
      <w:pPr>
        <w:ind w:left="660" w:right="300" w:hanging="324"/>
        <w:spacing w:after="0" w:line="25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Adopted enhanced sanitation practices across all offices and facilities, implemented personal hygiene protocols and measures to</w:t>
      </w:r>
      <w:r>
        <w:rPr>
          <w:rFonts w:ascii="Arial" w:cs="Arial" w:eastAsia="Arial" w:hAnsi="Arial"/>
          <w:sz w:val="22"/>
          <w:szCs w:val="22"/>
          <w:color w:val="auto"/>
        </w:rPr>
        <w:t xml:space="preserve"> </w:t>
      </w:r>
      <w:r>
        <w:rPr>
          <w:rFonts w:ascii="Arial" w:cs="Arial" w:eastAsia="Arial" w:hAnsi="Arial"/>
          <w:sz w:val="17"/>
          <w:szCs w:val="17"/>
          <w:color w:val="auto"/>
        </w:rPr>
        <w:t>restrict non-essential business travel, and restricted non-essential visitors from visiting our offices and facilities;</w:t>
      </w:r>
    </w:p>
    <w:p>
      <w:pPr>
        <w:spacing w:after="0" w:line="1" w:lineRule="exact"/>
        <w:rPr>
          <w:sz w:val="20"/>
          <w:szCs w:val="20"/>
          <w:color w:val="auto"/>
        </w:rPr>
      </w:pPr>
    </w:p>
    <w:p>
      <w:pPr>
        <w:ind w:left="660" w:right="280" w:hanging="324"/>
        <w:spacing w:after="0" w:line="22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Provided personal protective equipment and performed proactive health screening and testing of offshore personnel and required</w:t>
      </w:r>
      <w:r>
        <w:rPr>
          <w:rFonts w:ascii="Arial" w:cs="Arial" w:eastAsia="Arial" w:hAnsi="Arial"/>
          <w:sz w:val="22"/>
          <w:szCs w:val="22"/>
          <w:color w:val="auto"/>
        </w:rPr>
        <w:t xml:space="preserve"> </w:t>
      </w:r>
      <w:r>
        <w:rPr>
          <w:rFonts w:ascii="Arial" w:cs="Arial" w:eastAsia="Arial" w:hAnsi="Arial"/>
          <w:sz w:val="17"/>
          <w:szCs w:val="17"/>
          <w:color w:val="auto"/>
        </w:rPr>
        <w:t>employees to self-quarantine when they may have been exposed to, or shown any symptoms of COVID-19;</w:t>
      </w:r>
    </w:p>
    <w:p>
      <w:pPr>
        <w:spacing w:after="0" w:line="8" w:lineRule="exact"/>
        <w:rPr>
          <w:sz w:val="20"/>
          <w:szCs w:val="20"/>
          <w:color w:val="auto"/>
        </w:rPr>
      </w:pPr>
    </w:p>
    <w:p>
      <w:pPr>
        <w:ind w:left="660" w:right="100" w:hanging="324"/>
        <w:spacing w:after="0" w:line="25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Collaborated more closely with clients to mitigate COVID-19 impacts in order to advance projects and meet customer requirements,</w:t>
      </w:r>
      <w:r>
        <w:rPr>
          <w:rFonts w:ascii="Arial" w:cs="Arial" w:eastAsia="Arial" w:hAnsi="Arial"/>
          <w:sz w:val="22"/>
          <w:szCs w:val="22"/>
          <w:color w:val="auto"/>
        </w:rPr>
        <w:t xml:space="preserve"> </w:t>
      </w:r>
      <w:r>
        <w:rPr>
          <w:rFonts w:ascii="Arial" w:cs="Arial" w:eastAsia="Arial" w:hAnsi="Arial"/>
          <w:sz w:val="17"/>
          <w:szCs w:val="17"/>
          <w:color w:val="auto"/>
        </w:rPr>
        <w:t>albeit at reduced productivity in some instances;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Engaged with critical vendors regarding their own pandemic preparedness plans to minimize the impact to our business operations.</w:t>
      </w:r>
    </w:p>
    <w:p>
      <w:pPr>
        <w:spacing w:after="0" w:line="2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Senior management is continuously monitoring the situation and providing frequent communications to both employees and external clients and partners. Regulatory directives and COVID-19 case management continued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37" w:name="page38"/>
    <w:bookmarkEnd w:id="37"/>
    <w:p>
      <w:pPr>
        <w:ind w:right="500"/>
        <w:spacing w:after="0" w:line="261" w:lineRule="auto"/>
        <w:rPr>
          <w:sz w:val="20"/>
          <w:szCs w:val="20"/>
          <w:color w:val="auto"/>
        </w:rPr>
      </w:pPr>
      <w:r>
        <w:rPr>
          <w:rFonts w:ascii="Arial" w:cs="Arial" w:eastAsia="Arial" w:hAnsi="Arial"/>
          <w:sz w:val="18"/>
          <w:szCs w:val="18"/>
          <w:color w:val="auto"/>
        </w:rPr>
        <w:t>result in the periodic full or partial operational disruption of some of our facilities, vessels, and suppliers beyond the first quarter, and we expect some level of disruption to continue in the second half of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More specific impacts of COVID-19 and the commodity price decline as well as the outlook for the business segments are provided below.</w:t>
      </w:r>
    </w:p>
    <w:p>
      <w:pPr>
        <w:spacing w:after="0" w:line="234"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has led many of our customers to significantly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TechnipFMC continues to engage with its customers and alliance partners as they work to update their business plans. We did not receive any cancellations for projects in backlog during the period.</w:t>
      </w:r>
    </w:p>
    <w:p>
      <w:pPr>
        <w:spacing w:after="0" w:line="22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believe that deepwater will become an even more prevalent piece of the energy mix as project economics remain attractive, particularly for brownfield developments. Sanctioning on a number of greenfield projects has shifted from the current year, impacting our previous projection for 2020 orders. We continue to evaluate approximately $11 billion of large project opportunities that we believe are still likely to move forward over the next 24 months. Additional projects approaching $6 billion in value have been extended beyond this timeframe but remain active and subject to future award. Large project activity continues to demonstrate our strength in important basins such as Brazil, Guyana, and Norway.</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Beyond this large project activity, our orders have been supported by subsea services, direct iEPCI™ awards and small project activity, much of which is exclusive to TechnipFMC. These opportunities have generated over $3 billion of inbound orders in each of the last three years and are enabled by our installed base, growing list of alliance partners, and unique integrated FEED capabilities. We anticipate resiliency in services activity, where we expect to benefit from the industry’s largest installed base of subsea equipment in operation today, as well as a likely shift by some clients from greenfield developments to brownfield intervention.</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continue to work closely with our customers through early engagement in iFEED™ and the use of iEPCI™ to allow more project final investment decisions through the cycle. iEPCI™ can support our clients’ initiatives to improve subsea project economics by helping to reduce cost and accelerate time to first oil. TechnipFMC’s integrated commercial model now accounts for a significant portion of our orders and revenue and will serve as our standard approach to new business going forward.</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the subsea industry continues to evolve, we are accelerating actions to further streamline our organization, achieve standardization, and reduce cycle times. Continued rationalization of our global footprint will also further leverage the benefits of the integrated offering. We aim to continuously align our operations with activity levels, while preserving our core capacity in order to deliver current projects in backlog and future order activity.</w:t>
      </w:r>
    </w:p>
    <w:p>
      <w:pPr>
        <w:spacing w:after="0" w:line="21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Given the long cycle nature of the business, the resilience and maturity of the projects in backlog and our diversified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footprint, we have been able to mitigate a significant portion of COVID-19 operational impacts. The near-term effects relate more to operational efficiencies and timing issues and not the stoppage of projects.</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Onshore market activity continues to provide a tangible set of opportunities, albeit at lower levels than previously forecast. We expect natural gas and renewables to take a larger share of global energy demand as evidenced by the record level of new LNG capacity sanctioned in 2019.</w:t>
      </w:r>
    </w:p>
    <w:p>
      <w:pPr>
        <w:spacing w:after="0" w:line="22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Market dynamics for LNG have shifted in recent months, and this will alter the broader LNG landscape in the near-term. The number of economically viable LNG projects is likely to decline, and many of the remaining qualified EPC contractors will be challenged in this period of subdued project sanctioning. Technip Energies has demonstrated remarkable resilience through past cycles, and we do not believe this is the</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start of an extended downturn for our Company. We have already been awarded two additional projects, Rovuma in Mozambique and Energia Costa Azul in Mexico, although both remain subject to final investment decision, and neither of these projects are included in our backlog today. In addition, we are actively tendering a major project in the Middle East and performing front-end work on other LNG prospects, some of which are likely to move forward due in part to their strategic importance to their host country. We continue to believe that the long-term fundamentals for natural gas – LNG in particular - remain strong given its critical role as a transition fuel.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spacing w:after="0" w:line="252" w:lineRule="auto"/>
        <w:rPr>
          <w:sz w:val="20"/>
          <w:szCs w:val="20"/>
          <w:color w:val="auto"/>
        </w:rPr>
      </w:pPr>
      <w:r>
        <w:rPr>
          <w:rFonts w:ascii="Arial" w:cs="Arial" w:eastAsia="Arial" w:hAnsi="Arial"/>
          <w:sz w:val="18"/>
          <w:szCs w:val="18"/>
          <w:color w:val="auto"/>
        </w:rPr>
        <w:t>As an industry leader, TechnipFMC is well positioned for growth in new liquefaction and regasification capacity as well as opportunities in biofuels, green chemistry, and other energy alternatives. Active engagement in FEED studies provides a platform for early collaboration with clients and can significantly de-risk project execution while also supporting our pursuit of EPC contracts. Our direct engagement led to the signing of a major EPC contract in July for the construction of a new hydrocracking complex for the Assiut refinery in Egypt. Additionally, we continue to selectively pursue refining, petrochemical, fertilizer and renewables project opportunities in the Middle East, Africa, Asia and North America as these sectors typically prove to be more resilient through a downturn.</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Offshore market activity is expected to weaken in the near-term as sanctioning on a number of greenfield projects is likely to shift from the current year. Recent discoveries of offshore fields with reserves in regions such as Australia and East Africa are expected to benefit future activity; however, the timing of increased investment in these regions could be deferred. In the long-term, new upstream investment will also be required as gas becomes a bigger portion of the global energy mix.</w:t>
      </w:r>
    </w:p>
    <w:p>
      <w:pPr>
        <w:spacing w:after="0" w:line="21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North American activity declined significantly during the second quarter as evidenced by the more than 60%</w:t>
      </w:r>
      <w:r>
        <w:rPr>
          <w:rFonts w:ascii="Arial" w:cs="Arial" w:eastAsia="Arial" w:hAnsi="Arial"/>
          <w:sz w:val="18"/>
          <w:szCs w:val="18"/>
          <w:i w:val="1"/>
          <w:iCs w:val="1"/>
          <w:color w:val="auto"/>
        </w:rPr>
        <w:t xml:space="preserve"> </w:t>
      </w:r>
      <w:r>
        <w:rPr>
          <w:rFonts w:ascii="Arial" w:cs="Arial" w:eastAsia="Arial" w:hAnsi="Arial"/>
          <w:sz w:val="18"/>
          <w:szCs w:val="18"/>
          <w:color w:val="auto"/>
        </w:rPr>
        <w:t>sequential decline in rig count and fracturing crews over the period. We have taken rapid and aggressive actions to reduce our costs as we look to mitigate the steep sales decline anticipated in the current year. The number of U.S. fracturing crews has started to recover from the recent trough reached in May, and activity more broadly is expected to remain flat during the second half of 2020.</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Activity outside North America is expected to remain more resilient. We also continue to benefit from our exposure to the Middle East and Asia Pacific, both of which are being supported by strength in gas-related activity. The business mix outside of North America is expected to account for as much as 60% of total segment revenue for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54" w:right="4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5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0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r>
      <w:tr>
        <w:trPr>
          <w:trHeight w:val="216"/>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2,641.0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2,745.2</w:t>
            </w:r>
          </w:p>
        </w:tc>
        <w:tc>
          <w:tcPr>
            <w:tcW w:w="12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29.5</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1,425.0</w:t>
            </w: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(100.0)</w:t>
            </w:r>
          </w:p>
        </w:tc>
      </w:tr>
      <w:tr>
        <w:trPr>
          <w:trHeight w:val="215"/>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3,054.4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3,120.6</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r>
      <w:tr>
        <w:trPr>
          <w:trHeight w:val="216"/>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86.6</w:t>
            </w: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Income from equity affiliates (Note 12)</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w:t>
            </w: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(71.2)</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 (Note 19)</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1,866.7</w:t>
            </w: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(86.5)</w:t>
            </w: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78.4</w:t>
            </w:r>
          </w:p>
        </w:tc>
      </w:tr>
      <w:tr>
        <w:trPr>
          <w:trHeight w:val="215"/>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(87.9)</w:t>
            </w:r>
          </w:p>
        </w:tc>
      </w:tr>
      <w:tr>
        <w:trPr>
          <w:trHeight w:val="21"/>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decreased $275.7 million or 8.0% in the second quarter of 2020 compared to the second quarter of 2019. Subsea revenue decreased due to negative impacts from foreign exchange translation due to a stronger U.S. dollar. Excluding foreign exchange impacts, revenue was flat compared to the prior year quarter, despite operational challenges associated with COVID-19 related disruptions, driven by solid backlog execution. Increased revenue in Technip Energies was primarily driven by higher activity in Europe and North America. The continued ramp-up of Arctic LNG 2 was partially offset by the decline in revenue from Yamal LNG, which continues to progress through the warranty phase. Technip Energies revenue was negatively impacted by COVID-19 related disruptions, which were offset by the increase in revenue as a result of a litigation settlement. Surface Technologies revenue decreased versus the prior-year period, primarily as a result of the significant decline in North American activity and the impact of COVID-19 related disruptions.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(revenue less cost of sales) as a percentage of sales decreased to 16.4% in the second quarter of 2020, from 20.1% in the prior-year period. Subsea gross profit primarily decreased due to a more competitively priced backlog and the negative operational impacts related to COVID-19. Gross profit declined in Technip Energies due in large part to a reduced contribution from Yamal LNG as the project reached physical completion last year and is progressing through the warranty phase. Surface Technologies gross profit was negatively impacted primarily by the year-over-year decline in North American drilling and completions activity.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Selling, general and administrative expense decreased $88.9 million year-over-year, primarily as a result of decreased corporate expenses, driven by the accelerated pace of cost reduction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incurred $140.3 million of restructuring, impairment and other charges during the second quarter of 2020. These charges primarily included $56.4 million of COVID-19 related expenses and $50.2 million restructuring and severance expenses. COVID-19 related expenses represent unplanned, one-off, incremental and non-recoverable costs incurred solely as a result of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See Note 17 for further details.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We incurred integration costs of $12.9 million during the second quarter of 2019, before the announcement of the planned separation transaction due to the continuation of the integration activities pertaining to combining the two legacy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second quarter of 2020, we recognized $5.8 million of net foreign exchange losses, compared to $18.0 million of net foreign exchange losses in the second quarter of 2019. The decrease in foreign exchange losses during the second quarter resulted from decreased hedging costs and a reduction in foreign exchange losses from unhedged currencies, primarily Angola. Other income (expense), net for the second quarter of 2019 also included a legal provision, net of settlements, of $55.2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three months ended June 30, 2020, net interest expense decreased $66.2 million compared to the same period in 2019, primarily due to the change in the fair value of the redeemable financial liability. We revalued the mandatorily redeemable financial liability to reflect current expectations about the obligation and recognized a charge of $ 50.8 million during the three months ended June 30, 2020 as compared to $140.2 million recognized during the same period in 2019. See Note 21 for further details. Net interest expense, excluding the fair value measurement of the mandatorily redeemable financial liability, also includes the impact of interest income and expenses, which were lower on a net basis compared to three months ended June 30,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0"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222222"/>
        </w:rPr>
        <w:t xml:space="preserve">Our provision for income taxes for </w:t>
      </w:r>
      <w:r>
        <w:rPr>
          <w:rFonts w:ascii="Arial" w:cs="Arial" w:eastAsia="Arial" w:hAnsi="Arial"/>
          <w:sz w:val="18"/>
          <w:szCs w:val="18"/>
          <w:color w:val="000000"/>
        </w:rPr>
        <w:t>three months ended June 30, 2020 and 2019</w:t>
      </w:r>
      <w:r>
        <w:rPr>
          <w:rFonts w:ascii="Arial" w:cs="Arial" w:eastAsia="Arial" w:hAnsi="Arial"/>
          <w:sz w:val="18"/>
          <w:szCs w:val="18"/>
          <w:color w:val="222222"/>
        </w:rPr>
        <w:t xml:space="preserve"> reflected effective tax rates of </w:t>
      </w:r>
      <w:r>
        <w:rPr>
          <w:rFonts w:ascii="Arial" w:cs="Arial" w:eastAsia="Arial" w:hAnsi="Arial"/>
          <w:sz w:val="18"/>
          <w:szCs w:val="18"/>
          <w:color w:val="000000"/>
        </w:rPr>
        <w:t>53.6% and 0.8% for the three</w:t>
      </w:r>
      <w:r>
        <w:rPr>
          <w:rFonts w:ascii="Arial" w:cs="Arial" w:eastAsia="Arial" w:hAnsi="Arial"/>
          <w:sz w:val="18"/>
          <w:szCs w:val="18"/>
          <w:color w:val="222222"/>
        </w:rPr>
        <w:t xml:space="preserve"> </w:t>
      </w:r>
      <w:r>
        <w:rPr>
          <w:rFonts w:ascii="Arial" w:cs="Arial" w:eastAsia="Arial" w:hAnsi="Arial"/>
          <w:sz w:val="18"/>
          <w:szCs w:val="18"/>
          <w:color w:val="000000"/>
        </w:rPr>
        <w:t xml:space="preserve">months ended June 30, 2020 and 2019, respectively. </w:t>
      </w:r>
      <w:r>
        <w:rPr>
          <w:rFonts w:ascii="Arial" w:cs="Arial" w:eastAsia="Arial" w:hAnsi="Arial"/>
          <w:sz w:val="18"/>
          <w:szCs w:val="18"/>
          <w:color w:val="222222"/>
        </w:rPr>
        <w:t>The year-over-year increase in the effective tax rate was primarily due to the impact of</w:t>
      </w:r>
      <w:r>
        <w:rPr>
          <w:rFonts w:ascii="Arial" w:cs="Arial" w:eastAsia="Arial" w:hAnsi="Arial"/>
          <w:sz w:val="18"/>
          <w:szCs w:val="18"/>
          <w:color w:val="000000"/>
        </w:rPr>
        <w:t xml:space="preserve"> </w:t>
      </w:r>
      <w:r>
        <w:rPr>
          <w:rFonts w:ascii="Arial" w:cs="Arial" w:eastAsia="Arial" w:hAnsi="Arial"/>
          <w:sz w:val="18"/>
          <w:szCs w:val="18"/>
          <w:color w:val="222222"/>
        </w:rPr>
        <w:t>losses in jurisdictions with a full valuation allowance, offset in part by a favorable change in forecasted earnings mix. The increase also relates to one-time benefits, which were recorded in 2019, for the finalization of previously estimated tax liabilities based on the filing of tax returns.</w:t>
      </w:r>
    </w:p>
    <w:p>
      <w:pPr>
        <w:spacing w:after="0" w:line="23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5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0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6,288.8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6,347.2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r>
      <w:tr>
        <w:trPr>
          <w:trHeight w:val="216"/>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5,342.7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5,157.1</w:t>
            </w:r>
          </w:p>
        </w:tc>
        <w:tc>
          <w:tcPr>
            <w:tcW w:w="12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621.6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5.8</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12,930.0</w:t>
            </w: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Separation costs (Note 2)</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9,320.7</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5,898.8</w:t>
            </w:r>
          </w:p>
        </w:tc>
        <w:tc>
          <w:tcPr>
            <w:tcW w:w="120" w:type="dxa"/>
            <w:vAlign w:val="bottom"/>
          </w:tcPr>
          <w:p>
            <w:pPr>
              <w:spacing w:after="0"/>
              <w:rPr>
                <w:sz w:val="17"/>
                <w:szCs w:val="17"/>
                <w:color w:val="auto"/>
              </w:rPr>
            </w:pP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3,421.9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58.0</w:t>
            </w:r>
          </w:p>
        </w:tc>
      </w:tr>
      <w:tr>
        <w:trPr>
          <w:trHeight w:val="222"/>
        </w:trPr>
        <w:tc>
          <w:tcPr>
            <w:tcW w:w="5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0"/>
        </w:trPr>
        <w:tc>
          <w:tcPr>
            <w:tcW w:w="568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61.3</w:t>
            </w:r>
          </w:p>
        </w:tc>
      </w:tr>
      <w:tr>
        <w:trPr>
          <w:trHeight w:val="222"/>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48.8</w:t>
            </w:r>
          </w:p>
        </w:tc>
      </w:tr>
      <w:tr>
        <w:trPr>
          <w:trHeight w:val="210"/>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(228.8)</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35.9</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(2,232.3)</w:t>
            </w:r>
          </w:p>
        </w:tc>
      </w:tr>
      <w:tr>
        <w:trPr>
          <w:trHeight w:val="210"/>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19)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259.7</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(2,519.8)</w:t>
            </w:r>
          </w:p>
        </w:tc>
      </w:tr>
      <w:tr>
        <w:trPr>
          <w:trHeight w:val="210"/>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10.3</w:t>
            </w:r>
          </w:p>
        </w:tc>
      </w:tr>
      <w:tr>
        <w:trPr>
          <w:trHeight w:val="241"/>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117.9</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(2,851.8)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decreased $58.4 million in the first six months of 2020, compared to the prior-year period. Subsea revenue decreased year-over-year primarily due to negative impacts from foreign exchange translation due to a stronger U.S. dollar. Excluding foreign exchange impacts, project revenue grew primarily due to increased project activity in the Gulf of Mexico and Norway. Increased revenue in Technip Energies was primarily driven by the continued ramp-up of Arctic LNG 2, increased activity on downstream projects and Process Technology business, more than offset the decline in revenue from Yamal LNG, which continues to progress through the warranty phase. Technip Energies revenue was negatively impacted by COVID-19 related disruptions, which were offset by the increase in revenue as a result of a litigation settlement. Surface Technologies revenue decreased versus the prior-year period, primarily as a result of the significant decline in North American activity, the inbound delay in International market areas, and the impact of COVID-19 related disruptions.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Gross profit (revenue less cost of sales) as a percentage of sales decreased to 15.0% in the first six months of 2020, compared to 18.8% in the prior-year period. Subsea gross profit primarily decreased due to a more competitively priced backlog and the negative operational impacts related to COVID-19. Gross profit declined in Technip Energies due in large part to a reduced contribution from Yamal LNG as the project reached physical completion last year and is progressing through the warranty phase. Surface Technologies gross profit was negatively impacted primarily by the year-over-year decline in North American drilling and completions activity.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Selling, general and administrative expense decreased $92.8 million year-over-year, primarily as a result of decreased corporate expenses, driven by the accelerated pace of cost reduction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incurred $3,348.7 million of restructuring, impairment and other charges during the first six months of 2020. These charges primarily included $ 3,083.4 million of goodwill impairment, $138.3 million of long-lived assets impairment, $65.4 million of COVID-19 related expenses, and $61.6 million for restructuring and severance expenses. COVID-19 related expenses represent unplanned, one-off, incremental and non-recoverable costs incurred solely as a result of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See Note 17 for further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incurred merger transaction and integration costs of $ 25.0 million during the first six months of 2019, before the announcement of the planned separation transaction due to the continuation of the integration activities pertaining to combining the two legacy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incurred $27.1 million of separation costs associated with the preparation of the separation transaction during the first six months of 2020. Due to the COVID-19 pandemic, the significant decline in commodity prices, and the heightened volatility in global equity markets, we have postponed the completion of the transaction until the markets sufficiently recover. See to Note 2 for further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six months of 2020, we recognized $49.1 million of net foreign exchange losses, compared with $29.6 million of net foreign exchange losses in the prior year period. The increase in foreign exchange losses during the first six months of 2020 resulted from the effects of the strengthening U.S. dollar on naturally hedged projects and increased hedging costs due to high volatility in the currency and interest rate markets. Other income (expense), net for the first half of 2019 also included a legal provision, net of settlements, of $55.2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interest expense decreased $82.1 million in the first six months of 2020, compared to 2019, primarily due to the change in the fair value of the redeemable financial liability. We revalued the mandatorily redeemable financial liability to reflect current expectations about the obligation and recognized a charge of $86.3 million during the first half of 2020 as compared to $224.9 million recognized during the same period in 2019. See Note 21 for further details. Net interest expense, excluding the fair value measurement of the mandatorily redeemable financial liability, also includes the impact of interest income and expenses, which were lower on a net basis compared to the first half of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180"/>
        <w:spacing w:after="0"/>
        <w:rPr>
          <w:sz w:val="20"/>
          <w:szCs w:val="20"/>
          <w:color w:val="auto"/>
        </w:rPr>
      </w:pPr>
      <w:r>
        <w:rPr>
          <w:rFonts w:ascii="Arial" w:cs="Arial" w:eastAsia="Arial" w:hAnsi="Arial"/>
          <w:sz w:val="18"/>
          <w:szCs w:val="18"/>
          <w:color w:val="222222"/>
        </w:rPr>
        <w:t xml:space="preserve">Our provision for income taxes for </w:t>
      </w:r>
      <w:r>
        <w:rPr>
          <w:rFonts w:ascii="Arial" w:cs="Arial" w:eastAsia="Arial" w:hAnsi="Arial"/>
          <w:sz w:val="18"/>
          <w:szCs w:val="18"/>
          <w:color w:val="000000"/>
        </w:rPr>
        <w:t>the first six months of 2020 and 2019</w:t>
      </w:r>
      <w:r>
        <w:rPr>
          <w:rFonts w:ascii="Arial" w:cs="Arial" w:eastAsia="Arial" w:hAnsi="Arial"/>
          <w:sz w:val="18"/>
          <w:szCs w:val="18"/>
          <w:color w:val="222222"/>
        </w:rPr>
        <w:t xml:space="preserve"> reflected effective tax rates of </w:t>
      </w:r>
      <w:r>
        <w:rPr>
          <w:rFonts w:ascii="Arial" w:cs="Arial" w:eastAsia="Arial" w:hAnsi="Arial"/>
          <w:sz w:val="18"/>
          <w:szCs w:val="18"/>
          <w:color w:val="000000"/>
        </w:rPr>
        <w:t>(1.7)% and 10.3%, respectively.</w:t>
      </w:r>
      <w:r>
        <w:rPr>
          <w:rFonts w:ascii="Arial" w:cs="Arial" w:eastAsia="Arial" w:hAnsi="Arial"/>
          <w:sz w:val="18"/>
          <w:szCs w:val="18"/>
          <w:color w:val="222222"/>
        </w:rPr>
        <w:t xml:space="preserve"> The year-over-year increase in the effective tax rate was primarily due to the impact of nondeductible goodwill impairments, offset in part by a favorable change in forecasted earnings mix.</w:t>
      </w:r>
    </w:p>
    <w:p>
      <w:pPr>
        <w:spacing w:after="0" w:line="23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JUNE 30, 2020 AND 2019</w:t>
      </w:r>
    </w:p>
    <w:p>
      <w:pPr>
        <w:spacing w:after="0" w:line="17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Favorable/(Unfavorable)</w:t>
            </w: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(179.9)</w:t>
            </w:r>
          </w:p>
        </w:tc>
      </w:tr>
      <w:tr>
        <w:trPr>
          <w:trHeight w:val="222"/>
        </w:trPr>
        <w:tc>
          <w:tcPr>
            <w:tcW w:w="5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4"/>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 pts.</w:t>
            </w:r>
          </w:p>
        </w:tc>
      </w:tr>
    </w:tbl>
    <w:p>
      <w:pPr>
        <w:spacing w:after="0" w:line="17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Subsea revenue decreased $130.2 million or 8.6% year-over-year, primarily due to negative impacts from foreign exchange translation of $129.0 million due to a stronger U.S. dollar. Excluding foreign exchange impacts, revenue was flat, with project revenue lower in Africa and Australia, partially offset by increased revenue from the Gulf of Mexico and Norway. Despite operational challenges associated with COVID-19 related disruptions, we continued to demonstrate strong execution of backlog.</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Subsea operating profit decreased from the prior-year quarter primarily due to non-recurring charges, including $95.8 million of asset impairment, restructuring and other charges, compared to $4.5 million in 2019. Operating profit was also negatively affected by a more competitively priced backlog and the negative operational impacts related to COVID-19. Non-recurring charges incurred related to COVID-19 disruptions during the period were $27.4 million. See to Note 17 for further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r>
        <w:rPr>
          <w:rFonts w:ascii="Arial" w:cs="Arial" w:eastAsia="Arial" w:hAnsi="Arial"/>
          <w:sz w:val="23"/>
          <w:szCs w:val="23"/>
          <w:b w:val="1"/>
          <w:bCs w:val="1"/>
          <w:i w:val="1"/>
          <w:iCs w:val="1"/>
          <w:color w:val="auto"/>
          <w:vertAlign w:val="superscript"/>
        </w:rPr>
        <w: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Favorable/(Unfavorable)</w:t>
            </w: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1,538.3</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231.3</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22"/>
        </w:trPr>
        <w:tc>
          <w:tcPr>
            <w:tcW w:w="5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4"/>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left="628"/>
              <w:spacing w:after="0"/>
              <w:rPr>
                <w:sz w:val="20"/>
                <w:szCs w:val="20"/>
                <w:color w:val="auto"/>
              </w:rPr>
            </w:pPr>
            <w:r>
              <w:rPr>
                <w:rFonts w:ascii="Arial" w:cs="Arial" w:eastAsia="Arial" w:hAnsi="Arial"/>
                <w:sz w:val="14"/>
                <w:szCs w:val="14"/>
                <w:color w:val="auto"/>
              </w:rPr>
              <w:t>(3.2) pts.</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 In connection with the planned separation transaction, in the first quarter of 2020, we renamed our Onshore/Offshore segment Technip Energies. See Note 2 for further details.</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Technip Energies revenue increased $33.3 million or 2.2% year-over-year. Revenue benefited from higher activity in LNG, downstream and by our Process Technology business. The continued ramp-up of Arctic LNG 2 more than offset the decline in revenue from Yamal LNG which continues to progress through the warranty phase. COVID-19 related operational efficiencies and business disruption also impeded revenue growth in the quarter. Revenues during the quarter benefited from the $113.2 million litigation settlement.</w:t>
      </w:r>
    </w:p>
    <w:p>
      <w:pPr>
        <w:spacing w:after="0" w:line="23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Operating profit decreased versus the prior-year quarter, primarily due to a reduced contribution from Yamal LNG and lower margin realization on early stage projects, including Arctic LNG 2. Project execution remained strong across the portfolio. Non-recurring charges incurred related to COVID-19 disruptions during the period were $24.8 million. See to Note 17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37"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Favorable/(Unfavorable)</w:t>
            </w:r>
          </w:p>
        </w:tc>
      </w:tr>
      <w:tr>
        <w:trPr>
          <w:trHeight w:val="20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(152.5)</w:t>
            </w:r>
          </w:p>
        </w:tc>
      </w:tr>
      <w:tr>
        <w:trPr>
          <w:trHeight w:val="222"/>
        </w:trPr>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4"/>
        </w:trPr>
        <w:tc>
          <w:tcPr>
            <w:tcW w:w="558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(11.6) pts.</w:t>
            </w:r>
          </w:p>
        </w:tc>
      </w:tr>
    </w:tbl>
    <w:p>
      <w:pPr>
        <w:spacing w:after="0" w:line="2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Surface Technologies revenue decreased $178.8 million, or 42.5%, year-over-year, primarily driven by the significant decline in North American activity. COVID-19 related disruptions and reduced activity levels led to a more modest revenue decline outside of North America, where over 60% of total segment revenue was generated during the period.</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Surface Technologies operating profit decreased versus the prior-year quarter primarily due to lower activity in North America driven by the significant decline in rig count and completions-related activity. Operating profit was also negatively impacted by non-recurring charges related to COVID-19 disruptions, which were $4.2 million for the three months ended June 30, 2020. See to Note 17 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21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75.9</w:t>
            </w:r>
          </w:p>
        </w:tc>
      </w:tr>
    </w:tbl>
    <w:p>
      <w:pPr>
        <w:spacing w:after="0" w:line="2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Corporate expenses decreased by $ 91.8 million primarily due to lower activity and cost cutting measures implemented during the second quarter of 2020. Corporate expense incurred during the second quarter of 2019 included a legal provision, net of settlements of, $55.2 million and $12.9 million of integration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17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2,631.6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(2,826.3)</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(2,970.8)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63"/>
        </w:trPr>
        <w:tc>
          <w:tcPr>
            <w:tcW w:w="5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04"/>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(112.8) pts.</w:t>
            </w:r>
          </w:p>
        </w:tc>
      </w:tr>
    </w:tbl>
    <w:p>
      <w:pPr>
        <w:spacing w:after="0" w:line="119"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Subsea revenue decreased $62.4 million, or 2.3%, year-over-year, primarily due to negative impacts from foreign exchange translation of $198.0 million due to a stronger U.S. dollar. Excluding foreign exchange impacts, project revenue grew primarily due to increased project activity in the Gulf of Mexico and Norway. Despite operational challenges associated with COVID-19 related disruptions, we continued to demonstrate strong execution of backlog.</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Subsea operating loss is due primarily to significant impairment charges and other non-recurring charges. The operating loss included $2,869.4 million of goodwill and long-lived assets impairments, restructuring and other charges and COVID-19 related expenses compared to $6.8 million in 2019. Non-recurring charges incurred related to COVID-19 disruptions during the period were $31.4 million. See Note 17 for further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r>
        <w:rPr>
          <w:rFonts w:ascii="Arial" w:cs="Arial" w:eastAsia="Arial" w:hAnsi="Arial"/>
          <w:sz w:val="23"/>
          <w:szCs w:val="23"/>
          <w:b w:val="1"/>
          <w:bCs w:val="1"/>
          <w:i w:val="1"/>
          <w:iCs w:val="1"/>
          <w:color w:val="auto"/>
          <w:vertAlign w:val="superscript"/>
        </w:rPr>
        <w: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3,086.0</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w:t>
            </w: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382.5</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(11.0)</w:t>
            </w:r>
          </w:p>
        </w:tc>
      </w:tr>
      <w:tr>
        <w:trPr>
          <w:trHeight w:val="222"/>
        </w:trPr>
        <w:tc>
          <w:tcPr>
            <w:tcW w:w="5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4"/>
        </w:trPr>
        <w:tc>
          <w:tcPr>
            <w:tcW w:w="556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608"/>
              <w:spacing w:after="0"/>
              <w:rPr>
                <w:sz w:val="20"/>
                <w:szCs w:val="20"/>
                <w:color w:val="auto"/>
              </w:rPr>
            </w:pPr>
            <w:r>
              <w:rPr>
                <w:rFonts w:ascii="Arial" w:cs="Arial" w:eastAsia="Arial" w:hAnsi="Arial"/>
                <w:sz w:val="14"/>
                <w:szCs w:val="14"/>
                <w:color w:val="auto"/>
              </w:rPr>
              <w:t>(2.7) pts.</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 In connection with the planned separation transaction, in the first quarter of 2020, we renamed our Onshore/Offshore segment Technip Energies. See Note 2 for further details.</w:t>
      </w:r>
    </w:p>
    <w:p>
      <w:pPr>
        <w:spacing w:after="0" w:line="1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Technip Energies revenue increased $245.9 million, or 8.7% year-over-year. Revenue benefited from higher activity in LNG, downstream and by our Process Technology business. The continued ramp-up of Arctic LNG 2 more than offset the decline in revenue from Yamal LNG which continues to progress through the warranty phase. COVID-19 related operational efficiencies and business disruption also impeded revenue growth during the six months ended June 30, 2020. Revenue during the period benefited from a $113.2 million litigation settlement.</w:t>
      </w:r>
    </w:p>
    <w:p>
      <w:pPr>
        <w:spacing w:after="0" w:line="23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Operating profit decreased year-over-year, primarily due to a reduced contribution from Yamal LNG and lower margin realization on early stage projects, including Arctic LNG 2. Project execution remained strong across the portfolio. Non-recurring charges incurred related to COVID-19 disruptions during the period were $28.7 million. See Note 17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20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(437.4)</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(473.4)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63"/>
        </w:trPr>
        <w:tc>
          <w:tcPr>
            <w:tcW w:w="5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04"/>
        </w:trPr>
        <w:tc>
          <w:tcPr>
            <w:tcW w:w="558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(81.0) pts.</w:t>
            </w:r>
          </w:p>
        </w:tc>
      </w:tr>
    </w:tbl>
    <w:p>
      <w:pPr>
        <w:spacing w:after="0" w:line="2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Surface Technologies revenue decreased $241.9 million, or 29.8%, year-over-year, primarily driven by the significant decline in North American activity. COVID-19 related disruptions and reduced activity levels led to a more modest revenue decline outside of North America, where over 50% of total segment revenue was generated during the period.</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Surface Technologies operating loss was primarily due to impairment and restructuring charges. Operating loss was also negatively impacted by the reduced demand in North America driven by the significant decline in rig count and completions-related activity. Non-recurring charges incurred related to COVID-19 disruptions during the period were $5.3 million. See Note 17 for further details.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5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21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51.7</w:t>
            </w:r>
          </w:p>
        </w:tc>
      </w:tr>
    </w:tbl>
    <w:p>
      <w:pPr>
        <w:spacing w:after="0" w:line="21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Corporate expenses decreased by $104.9 million primarily due to lower activity and cost cutting measures implemented during the first six months of 2020 and included $27.1 million of separation costs incurred during the first quarter of 2020. Corporate expense incurred during the first six months of 2019 included a legal provision, net of settlements, of $55.2 million and $25.0 million of integration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income, excluding charges and credits, as well as measures derived from it (excluding charges and credits;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Income before net interest expense and taxes, excluding charges and credits ("Adjusted Operating profit");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9" w:lineRule="exact"/>
        <w:rPr>
          <w:sz w:val="20"/>
          <w:szCs w:val="20"/>
          <w:color w:val="auto"/>
        </w:rPr>
      </w:pPr>
    </w:p>
    <w:p>
      <w:pPr>
        <w:ind w:left="660" w:right="620" w:hanging="324"/>
        <w:spacing w:after="0" w:line="250"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w:t>
      </w:r>
    </w:p>
    <w:p>
      <w:pPr>
        <w:ind w:left="340"/>
        <w:spacing w:after="0"/>
        <w:rPr>
          <w:sz w:val="20"/>
          <w:szCs w:val="20"/>
          <w:color w:val="auto"/>
        </w:rPr>
      </w:pPr>
      <w:r>
        <w:rPr>
          <w:rFonts w:ascii="Arial" w:cs="Arial" w:eastAsia="Arial" w:hAnsi="Arial"/>
          <w:sz w:val="18"/>
          <w:szCs w:val="18"/>
          <w:color w:val="auto"/>
        </w:rPr>
        <w:t>–  Corporate expenses excluding charges and credits and foreign exchange impacts;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cash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are non-GAAP financial measures.</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ectPr>
          <w:pgSz w:w="11900" w:h="16838" w:orient="portrait"/>
          <w:cols w:equalWidth="0" w:num="1">
            <w:col w:w="11180"/>
          </w:cols>
          <w:pgMar w:left="320" w:top="12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type w:val="continuous"/>
        </w:sectPr>
      </w:pPr>
    </w:p>
    <w:bookmarkStart w:id="48" w:name="page49"/>
    <w:bookmarkEnd w:id="48"/>
    <w:p>
      <w:pPr>
        <w:ind w:left="27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126365</wp:posOffset>
            </wp:positionV>
            <wp:extent cx="52889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8"/>
        </w:trPr>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June 30, 2020</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0"/>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before net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interest expense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(loss)</w:t>
            </w:r>
          </w:p>
        </w:tc>
        <w:tc>
          <w:tcPr>
            <w:tcW w:w="13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Provision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and income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(benefit) for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Net interest</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taxes (Operating</w:t>
            </w:r>
          </w:p>
        </w:tc>
        <w:tc>
          <w:tcPr>
            <w:tcW w:w="11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7"/>
        </w:trPr>
        <w:tc>
          <w:tcPr>
            <w:tcW w:w="28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income taxes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profit)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214.0</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33.7</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50.2</w:t>
            </w: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56.4</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Litigation settlement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(113.2)</w:t>
            </w:r>
          </w:p>
        </w:tc>
      </w:tr>
      <w:tr>
        <w:trPr>
          <w:trHeight w:val="183"/>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241.1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6"/>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 attributable to</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56"/>
        </w:trPr>
        <w:tc>
          <w:tcPr>
            <w:tcW w:w="2880" w:type="dxa"/>
            <w:vAlign w:val="bottom"/>
          </w:tcPr>
          <w:p>
            <w:pPr>
              <w:ind w:left="20"/>
              <w:spacing w:after="0"/>
              <w:rPr>
                <w:sz w:val="20"/>
                <w:szCs w:val="20"/>
                <w:color w:val="auto"/>
              </w:rPr>
            </w:pPr>
            <w:r>
              <w:rPr>
                <w:rFonts w:ascii="Arial" w:cs="Arial" w:eastAsia="Arial" w:hAnsi="Arial"/>
                <w:sz w:val="13"/>
                <w:szCs w:val="13"/>
                <w:color w:val="auto"/>
                <w:w w:val="98"/>
              </w:rPr>
              <w:t>Adjusted diluted earnings per share attributable to</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2"/>
        </w:trPr>
        <w:tc>
          <w:tcPr>
            <w:tcW w:w="2880" w:type="dxa"/>
            <w:vAlign w:val="bottom"/>
          </w:tcPr>
          <w:p>
            <w:pPr>
              <w:ind w:left="20"/>
              <w:spacing w:after="0"/>
              <w:rPr>
                <w:sz w:val="20"/>
                <w:szCs w:val="20"/>
                <w:color w:val="auto"/>
              </w:rPr>
            </w:pPr>
            <w:r>
              <w:rPr>
                <w:rFonts w:ascii="Arial" w:cs="Arial" w:eastAsia="Arial" w:hAnsi="Arial"/>
                <w:sz w:val="13"/>
                <w:szCs w:val="13"/>
                <w:color w:val="auto"/>
              </w:rPr>
              <w:t>TechnipFMC plc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664"/>
        </w:trPr>
        <w:tc>
          <w:tcPr>
            <w:tcW w:w="2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6"/>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8"/>
        </w:trPr>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June 30, 2019</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0"/>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before net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interest expense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(loss)</w:t>
            </w:r>
          </w:p>
        </w:tc>
        <w:tc>
          <w:tcPr>
            <w:tcW w:w="13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Provision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and income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(benefit) for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Net interest</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taxes (Operating</w:t>
            </w:r>
          </w:p>
        </w:tc>
        <w:tc>
          <w:tcPr>
            <w:tcW w:w="11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7"/>
        </w:trPr>
        <w:tc>
          <w:tcPr>
            <w:tcW w:w="28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income taxes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profit)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372.7</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0.5</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severance charges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8.7</w:t>
            </w:r>
          </w:p>
        </w:tc>
      </w:tr>
      <w:tr>
        <w:trPr>
          <w:trHeight w:val="156"/>
        </w:trPr>
        <w:tc>
          <w:tcPr>
            <w:tcW w:w="2880" w:type="dxa"/>
            <w:vAlign w:val="bottom"/>
          </w:tcPr>
          <w:p>
            <w:pPr>
              <w:ind w:left="200"/>
              <w:spacing w:after="0"/>
              <w:rPr>
                <w:sz w:val="20"/>
                <w:szCs w:val="20"/>
                <w:color w:val="auto"/>
              </w:rPr>
            </w:pPr>
            <w:r>
              <w:rPr>
                <w:rFonts w:ascii="Arial" w:cs="Arial" w:eastAsia="Arial" w:hAnsi="Arial"/>
                <w:sz w:val="13"/>
                <w:szCs w:val="13"/>
                <w:color w:val="auto"/>
              </w:rPr>
              <w:t>Business combinations transaction and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880" w:type="dxa"/>
            <w:vAlign w:val="bottom"/>
          </w:tcPr>
          <w:p>
            <w:pPr>
              <w:ind w:left="20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12.9</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Legal provision, net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55.2</w:t>
            </w:r>
          </w:p>
        </w:tc>
      </w:tr>
      <w:tr>
        <w:trPr>
          <w:trHeight w:val="183"/>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450.0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6"/>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 attributable to</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56"/>
        </w:trPr>
        <w:tc>
          <w:tcPr>
            <w:tcW w:w="2880" w:type="dxa"/>
            <w:vAlign w:val="bottom"/>
          </w:tcPr>
          <w:p>
            <w:pPr>
              <w:ind w:left="20"/>
              <w:spacing w:after="0"/>
              <w:rPr>
                <w:sz w:val="20"/>
                <w:szCs w:val="20"/>
                <w:color w:val="auto"/>
              </w:rPr>
            </w:pPr>
            <w:r>
              <w:rPr>
                <w:rFonts w:ascii="Arial" w:cs="Arial" w:eastAsia="Arial" w:hAnsi="Arial"/>
                <w:sz w:val="13"/>
                <w:szCs w:val="13"/>
                <w:color w:val="auto"/>
                <w:w w:val="98"/>
              </w:rPr>
              <w:t>Adjusted diluted earnings per share attributable to</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2"/>
        </w:trPr>
        <w:tc>
          <w:tcPr>
            <w:tcW w:w="2880" w:type="dxa"/>
            <w:vAlign w:val="bottom"/>
          </w:tcPr>
          <w:p>
            <w:pPr>
              <w:ind w:left="20"/>
              <w:spacing w:after="0"/>
              <w:rPr>
                <w:sz w:val="20"/>
                <w:szCs w:val="20"/>
                <w:color w:val="auto"/>
              </w:rPr>
            </w:pPr>
            <w:r>
              <w:rPr>
                <w:rFonts w:ascii="Arial" w:cs="Arial" w:eastAsia="Arial" w:hAnsi="Arial"/>
                <w:sz w:val="13"/>
                <w:szCs w:val="13"/>
                <w:color w:val="auto"/>
              </w:rPr>
              <w:t>TechnipFMC plc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49" w:name="page50"/>
    <w:bookmarkEnd w:id="49"/>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2042795</wp:posOffset>
            </wp:positionH>
            <wp:positionV relativeFrom="page">
              <wp:posOffset>980440</wp:posOffset>
            </wp:positionV>
            <wp:extent cx="52889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4"/>
          </w:tcPr>
          <w:p>
            <w:pPr>
              <w:ind w:left="4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8"/>
        </w:trPr>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June 30, 2020</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0"/>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before net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interest expense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(loss)</w:t>
            </w:r>
          </w:p>
        </w:tc>
        <w:tc>
          <w:tcPr>
            <w:tcW w:w="13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1"/>
                <w:szCs w:val="11"/>
                <w:color w:val="auto"/>
              </w:rPr>
            </w:pP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and income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1"/>
                <w:szCs w:val="11"/>
                <w:color w:val="auto"/>
              </w:rPr>
            </w:pP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Net interest</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taxes (Operating</w:t>
            </w:r>
          </w:p>
        </w:tc>
        <w:tc>
          <w:tcPr>
            <w:tcW w:w="11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7"/>
        </w:trPr>
        <w:tc>
          <w:tcPr>
            <w:tcW w:w="28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profit)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(3,244.4)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(2,801.3)</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3,213.4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3,221.7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3,221.7</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61.6</w:t>
            </w: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65.4</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Litigation settlement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(113.2)</w:t>
            </w: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Separation costs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27.1</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3"/>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461.3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6"/>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 attributable to</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56"/>
        </w:trPr>
        <w:tc>
          <w:tcPr>
            <w:tcW w:w="2880" w:type="dxa"/>
            <w:vAlign w:val="bottom"/>
          </w:tcPr>
          <w:p>
            <w:pPr>
              <w:ind w:left="20"/>
              <w:spacing w:after="0"/>
              <w:rPr>
                <w:sz w:val="20"/>
                <w:szCs w:val="20"/>
                <w:color w:val="auto"/>
              </w:rPr>
            </w:pPr>
            <w:r>
              <w:rPr>
                <w:rFonts w:ascii="Arial" w:cs="Arial" w:eastAsia="Arial" w:hAnsi="Arial"/>
                <w:sz w:val="13"/>
                <w:szCs w:val="13"/>
                <w:color w:val="auto"/>
                <w:w w:val="98"/>
              </w:rPr>
              <w:t>Adjusted diluted earnings per share attributable to</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2"/>
        </w:trPr>
        <w:tc>
          <w:tcPr>
            <w:tcW w:w="2880" w:type="dxa"/>
            <w:vAlign w:val="bottom"/>
          </w:tcPr>
          <w:p>
            <w:pPr>
              <w:ind w:left="20"/>
              <w:spacing w:after="0"/>
              <w:rPr>
                <w:sz w:val="20"/>
                <w:szCs w:val="20"/>
                <w:color w:val="auto"/>
              </w:rPr>
            </w:pPr>
            <w:r>
              <w:rPr>
                <w:rFonts w:ascii="Arial" w:cs="Arial" w:eastAsia="Arial" w:hAnsi="Arial"/>
                <w:sz w:val="13"/>
                <w:szCs w:val="13"/>
                <w:color w:val="auto"/>
              </w:rPr>
              <w:t>TechnipFMC plc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664"/>
        </w:trPr>
        <w:tc>
          <w:tcPr>
            <w:tcW w:w="2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6"/>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4"/>
          </w:tcPr>
          <w:p>
            <w:pPr>
              <w:ind w:left="4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9"/>
        </w:trPr>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June 30, 2019</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0"/>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before net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interest expense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(loss)</w:t>
            </w:r>
          </w:p>
        </w:tc>
        <w:tc>
          <w:tcPr>
            <w:tcW w:w="13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1"/>
                <w:szCs w:val="11"/>
                <w:color w:val="auto"/>
              </w:rPr>
            </w:pP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and income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1"/>
                <w:szCs w:val="11"/>
                <w:color w:val="auto"/>
              </w:rPr>
            </w:pP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Net interest</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taxes (Operating</w:t>
            </w:r>
          </w:p>
        </w:tc>
        <w:tc>
          <w:tcPr>
            <w:tcW w:w="11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7"/>
        </w:trPr>
        <w:tc>
          <w:tcPr>
            <w:tcW w:w="28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profit)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377.7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614.6</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severance charges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24.5</w:t>
            </w:r>
          </w:p>
        </w:tc>
      </w:tr>
      <w:tr>
        <w:trPr>
          <w:trHeight w:val="156"/>
        </w:trPr>
        <w:tc>
          <w:tcPr>
            <w:tcW w:w="2880" w:type="dxa"/>
            <w:vAlign w:val="bottom"/>
          </w:tcPr>
          <w:p>
            <w:pPr>
              <w:ind w:left="200"/>
              <w:spacing w:after="0"/>
              <w:rPr>
                <w:sz w:val="20"/>
                <w:szCs w:val="20"/>
                <w:color w:val="auto"/>
              </w:rPr>
            </w:pPr>
            <w:r>
              <w:rPr>
                <w:rFonts w:ascii="Arial" w:cs="Arial" w:eastAsia="Arial" w:hAnsi="Arial"/>
                <w:sz w:val="13"/>
                <w:szCs w:val="13"/>
                <w:color w:val="auto"/>
              </w:rPr>
              <w:t>Business combinations transaction and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2880" w:type="dxa"/>
            <w:vAlign w:val="bottom"/>
          </w:tcPr>
          <w:p>
            <w:pPr>
              <w:ind w:left="20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25.0</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Reorganization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25.3</w:t>
            </w:r>
          </w:p>
        </w:tc>
      </w:tr>
      <w:tr>
        <w:trPr>
          <w:trHeight w:val="181"/>
        </w:trPr>
        <w:tc>
          <w:tcPr>
            <w:tcW w:w="2880" w:type="dxa"/>
            <w:vAlign w:val="bottom"/>
          </w:tcPr>
          <w:p>
            <w:pPr>
              <w:ind w:left="200"/>
              <w:spacing w:after="0"/>
              <w:rPr>
                <w:sz w:val="20"/>
                <w:szCs w:val="20"/>
                <w:color w:val="auto"/>
              </w:rPr>
            </w:pPr>
            <w:r>
              <w:rPr>
                <w:rFonts w:ascii="Arial" w:cs="Arial" w:eastAsia="Arial" w:hAnsi="Arial"/>
                <w:sz w:val="13"/>
                <w:szCs w:val="13"/>
                <w:color w:val="auto"/>
              </w:rPr>
              <w:t>Legal provision, net</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55.2</w:t>
            </w:r>
          </w:p>
        </w:tc>
      </w:tr>
      <w:tr>
        <w:trPr>
          <w:trHeight w:val="197"/>
        </w:trPr>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3"/>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745.8</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6"/>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 attributable to</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56"/>
        </w:trPr>
        <w:tc>
          <w:tcPr>
            <w:tcW w:w="2880" w:type="dxa"/>
            <w:vAlign w:val="bottom"/>
          </w:tcPr>
          <w:p>
            <w:pPr>
              <w:ind w:left="20"/>
              <w:spacing w:after="0"/>
              <w:rPr>
                <w:sz w:val="20"/>
                <w:szCs w:val="20"/>
                <w:color w:val="auto"/>
              </w:rPr>
            </w:pPr>
            <w:r>
              <w:rPr>
                <w:rFonts w:ascii="Arial" w:cs="Arial" w:eastAsia="Arial" w:hAnsi="Arial"/>
                <w:sz w:val="13"/>
                <w:szCs w:val="13"/>
                <w:color w:val="auto"/>
                <w:w w:val="98"/>
              </w:rPr>
              <w:t>Adjusted diluted earnings per share attributable to</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2"/>
        </w:trPr>
        <w:tc>
          <w:tcPr>
            <w:tcW w:w="2880" w:type="dxa"/>
            <w:vAlign w:val="bottom"/>
          </w:tcPr>
          <w:p>
            <w:pPr>
              <w:ind w:left="20"/>
              <w:spacing w:after="0"/>
              <w:rPr>
                <w:sz w:val="20"/>
                <w:szCs w:val="20"/>
                <w:color w:val="auto"/>
              </w:rPr>
            </w:pPr>
            <w:r>
              <w:rPr>
                <w:rFonts w:ascii="Arial" w:cs="Arial" w:eastAsia="Arial" w:hAnsi="Arial"/>
                <w:sz w:val="13"/>
                <w:szCs w:val="13"/>
                <w:color w:val="auto"/>
              </w:rPr>
              <w:t>TechnipFMC plc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0" w:name="page51"/>
    <w:bookmarkEnd w:id="50"/>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383540</wp:posOffset>
            </wp:positionV>
            <wp:extent cx="46202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40"/>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20"/>
              <w:spacing w:after="0" w:line="139" w:lineRule="exact"/>
              <w:rPr>
                <w:sz w:val="20"/>
                <w:szCs w:val="20"/>
                <w:color w:val="auto"/>
              </w:rPr>
            </w:pPr>
            <w:r>
              <w:rPr>
                <w:rFonts w:ascii="Arial" w:cs="Arial" w:eastAsia="Arial" w:hAnsi="Arial"/>
                <w:sz w:val="13"/>
                <w:szCs w:val="13"/>
                <w:b w:val="1"/>
                <w:bCs w:val="1"/>
                <w:color w:val="auto"/>
              </w:rPr>
              <w:t>Surface</w:t>
            </w:r>
          </w:p>
        </w:tc>
        <w:tc>
          <w:tcPr>
            <w:tcW w:w="180" w:type="dxa"/>
            <w:vAlign w:val="bottom"/>
          </w:tcPr>
          <w:p>
            <w:pPr>
              <w:spacing w:after="0"/>
              <w:rPr>
                <w:sz w:val="12"/>
                <w:szCs w:val="12"/>
                <w:color w:val="auto"/>
              </w:rPr>
            </w:pPr>
          </w:p>
        </w:tc>
        <w:tc>
          <w:tcPr>
            <w:tcW w:w="102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2"/>
                <w:szCs w:val="12"/>
                <w:color w:val="auto"/>
              </w:rPr>
            </w:pPr>
          </w:p>
        </w:tc>
        <w:tc>
          <w:tcPr>
            <w:tcW w:w="1080" w:type="dxa"/>
            <w:vAlign w:val="bottom"/>
            <w:gridSpan w:val="2"/>
          </w:tcPr>
          <w:p>
            <w:pPr>
              <w:ind w:left="200"/>
              <w:spacing w:after="0" w:line="139"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7"/>
        </w:trPr>
        <w:tc>
          <w:tcPr>
            <w:tcW w:w="3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Technip Energies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Technologies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5"/>
              </w:rPr>
              <w:t>Exchange, net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1,378.5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3,158.5</w:t>
            </w:r>
          </w:p>
        </w:tc>
      </w:tr>
      <w:tr>
        <w:trPr>
          <w:trHeight w:val="257"/>
        </w:trPr>
        <w:tc>
          <w:tcPr>
            <w:tcW w:w="3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107.4</w:t>
            </w:r>
          </w:p>
        </w:tc>
      </w:tr>
      <w:tr>
        <w:trPr>
          <w:trHeight w:val="257"/>
        </w:trPr>
        <w:tc>
          <w:tcPr>
            <w:tcW w:w="3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0"/>
        </w:trPr>
        <w:tc>
          <w:tcPr>
            <w:tcW w:w="39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33.7</w:t>
            </w: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50.2</w:t>
            </w:r>
          </w:p>
        </w:tc>
      </w:tr>
      <w:tr>
        <w:trPr>
          <w:trHeight w:val="210"/>
        </w:trPr>
        <w:tc>
          <w:tcPr>
            <w:tcW w:w="396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56.4</w:t>
            </w: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Litigation settlement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(113.2)</w:t>
            </w:r>
          </w:p>
        </w:tc>
      </w:tr>
      <w:tr>
        <w:trPr>
          <w:trHeight w:val="210"/>
        </w:trPr>
        <w:tc>
          <w:tcPr>
            <w:tcW w:w="39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27.1</w:t>
            </w:r>
          </w:p>
        </w:tc>
      </w:tr>
      <w:tr>
        <w:trPr>
          <w:trHeight w:val="263"/>
        </w:trPr>
        <w:tc>
          <w:tcPr>
            <w:tcW w:w="39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r>
      <w:tr>
        <w:trPr>
          <w:trHeight w:val="20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Operating profit (loss)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134.5</w:t>
            </w:r>
          </w:p>
        </w:tc>
      </w:tr>
      <w:tr>
        <w:trPr>
          <w:trHeight w:val="243"/>
        </w:trPr>
        <w:tc>
          <w:tcPr>
            <w:tcW w:w="3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106.6</w:t>
            </w:r>
          </w:p>
        </w:tc>
      </w:tr>
      <w:tr>
        <w:trPr>
          <w:trHeight w:val="263"/>
        </w:trPr>
        <w:tc>
          <w:tcPr>
            <w:tcW w:w="39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241.1</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3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bl>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ind w:left="20"/>
              <w:spacing w:after="0"/>
              <w:rPr>
                <w:sz w:val="20"/>
                <w:szCs w:val="20"/>
                <w:color w:val="auto"/>
              </w:rPr>
            </w:pPr>
            <w:r>
              <w:rPr>
                <w:rFonts w:ascii="Arial" w:cs="Arial" w:eastAsia="Arial" w:hAnsi="Arial"/>
                <w:sz w:val="13"/>
                <w:szCs w:val="13"/>
                <w:color w:val="auto"/>
              </w:rPr>
              <w:t>Operating profit margin, as reported</w:t>
            </w:r>
          </w:p>
        </w:tc>
        <w:tc>
          <w:tcPr>
            <w:tcW w:w="2120" w:type="dxa"/>
            <w:vAlign w:val="bottom"/>
          </w:tcPr>
          <w:p>
            <w:pPr>
              <w:jc w:val="right"/>
              <w:ind w:right="308"/>
              <w:spacing w:after="0"/>
              <w:rPr>
                <w:sz w:val="20"/>
                <w:szCs w:val="20"/>
                <w:color w:val="auto"/>
              </w:rPr>
            </w:pPr>
            <w:r>
              <w:rPr>
                <w:rFonts w:ascii="Arial" w:cs="Arial" w:eastAsia="Arial" w:hAnsi="Arial"/>
                <w:sz w:val="14"/>
                <w:szCs w:val="14"/>
                <w:color w:val="auto"/>
              </w:rPr>
              <w:t>(5.5)%</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15.0 %</w:t>
            </w:r>
          </w:p>
        </w:tc>
        <w:tc>
          <w:tcPr>
            <w:tcW w:w="2480" w:type="dxa"/>
            <w:vAlign w:val="bottom"/>
          </w:tcPr>
          <w:p>
            <w:pPr>
              <w:jc w:val="right"/>
              <w:ind w:right="1548"/>
              <w:spacing w:after="0"/>
              <w:rPr>
                <w:sz w:val="20"/>
                <w:szCs w:val="20"/>
                <w:color w:val="auto"/>
              </w:rPr>
            </w:pPr>
            <w:r>
              <w:rPr>
                <w:rFonts w:ascii="Arial" w:cs="Arial" w:eastAsia="Arial" w:hAnsi="Arial"/>
                <w:sz w:val="14"/>
                <w:szCs w:val="14"/>
                <w:color w:val="auto"/>
              </w:rPr>
              <w:t>(5.5)%</w:t>
            </w:r>
          </w:p>
        </w:tc>
        <w:tc>
          <w:tcPr>
            <w:tcW w:w="2020" w:type="dxa"/>
            <w:vAlign w:val="bottom"/>
          </w:tcPr>
          <w:p>
            <w:pPr>
              <w:jc w:val="right"/>
              <w:spacing w:after="0"/>
              <w:rPr>
                <w:sz w:val="20"/>
                <w:szCs w:val="20"/>
                <w:color w:val="auto"/>
              </w:rPr>
            </w:pPr>
            <w:r>
              <w:rPr>
                <w:rFonts w:ascii="Arial" w:cs="Arial" w:eastAsia="Arial" w:hAnsi="Arial"/>
                <w:sz w:val="14"/>
                <w:szCs w:val="14"/>
                <w:color w:val="auto"/>
              </w:rPr>
              <w:t>3.4 %</w:t>
            </w:r>
          </w:p>
        </w:tc>
      </w:tr>
      <w:tr>
        <w:trPr>
          <w:trHeight w:val="222"/>
        </w:trPr>
        <w:tc>
          <w:tcPr>
            <w:tcW w:w="33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10"/>
        </w:trPr>
        <w:tc>
          <w:tcPr>
            <w:tcW w:w="3340" w:type="dxa"/>
            <w:vAlign w:val="bottom"/>
          </w:tcPr>
          <w:p>
            <w:pPr>
              <w:ind w:left="20"/>
              <w:spacing w:after="0"/>
              <w:rPr>
                <w:sz w:val="20"/>
                <w:szCs w:val="20"/>
                <w:color w:val="auto"/>
              </w:rPr>
            </w:pPr>
            <w:r>
              <w:rPr>
                <w:rFonts w:ascii="Arial" w:cs="Arial" w:eastAsia="Arial" w:hAnsi="Arial"/>
                <w:sz w:val="13"/>
                <w:szCs w:val="13"/>
                <w:color w:val="auto"/>
              </w:rPr>
              <w:t>Adjusted Operating profit margin</w:t>
            </w:r>
          </w:p>
        </w:tc>
        <w:tc>
          <w:tcPr>
            <w:tcW w:w="2120" w:type="dxa"/>
            <w:vAlign w:val="bottom"/>
          </w:tcPr>
          <w:p>
            <w:pPr>
              <w:jc w:val="right"/>
              <w:ind w:right="308"/>
              <w:spacing w:after="0"/>
              <w:rPr>
                <w:sz w:val="20"/>
                <w:szCs w:val="20"/>
                <w:color w:val="auto"/>
              </w:rPr>
            </w:pPr>
            <w:r>
              <w:rPr>
                <w:rFonts w:ascii="Arial" w:cs="Arial" w:eastAsia="Arial" w:hAnsi="Arial"/>
                <w:sz w:val="14"/>
                <w:szCs w:val="14"/>
                <w:color w:val="auto"/>
              </w:rPr>
              <w:t>1.5 %</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10.0 %</w:t>
            </w:r>
          </w:p>
        </w:tc>
        <w:tc>
          <w:tcPr>
            <w:tcW w:w="2480" w:type="dxa"/>
            <w:vAlign w:val="bottom"/>
          </w:tcPr>
          <w:p>
            <w:pPr>
              <w:jc w:val="right"/>
              <w:ind w:right="1548"/>
              <w:spacing w:after="0"/>
              <w:rPr>
                <w:sz w:val="20"/>
                <w:szCs w:val="20"/>
                <w:color w:val="auto"/>
              </w:rPr>
            </w:pPr>
            <w:r>
              <w:rPr>
                <w:rFonts w:ascii="Arial" w:cs="Arial" w:eastAsia="Arial" w:hAnsi="Arial"/>
                <w:sz w:val="14"/>
                <w:szCs w:val="14"/>
                <w:color w:val="auto"/>
              </w:rPr>
              <w:t>-2.8 %</w:t>
            </w:r>
          </w:p>
        </w:tc>
        <w:tc>
          <w:tcPr>
            <w:tcW w:w="2020" w:type="dxa"/>
            <w:vAlign w:val="bottom"/>
          </w:tcPr>
          <w:p>
            <w:pPr>
              <w:jc w:val="right"/>
              <w:spacing w:after="0"/>
              <w:rPr>
                <w:sz w:val="20"/>
                <w:szCs w:val="20"/>
                <w:color w:val="auto"/>
              </w:rPr>
            </w:pPr>
            <w:r>
              <w:rPr>
                <w:rFonts w:ascii="Arial" w:cs="Arial" w:eastAsia="Arial" w:hAnsi="Arial"/>
                <w:sz w:val="14"/>
                <w:szCs w:val="14"/>
                <w:color w:val="auto"/>
              </w:rPr>
              <w:t>4.3 %</w:t>
            </w:r>
          </w:p>
        </w:tc>
      </w:tr>
      <w:tr>
        <w:trPr>
          <w:trHeight w:val="222"/>
        </w:trPr>
        <w:tc>
          <w:tcPr>
            <w:tcW w:w="33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04"/>
        </w:trPr>
        <w:tc>
          <w:tcPr>
            <w:tcW w:w="334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2120" w:type="dxa"/>
            <w:vAlign w:val="bottom"/>
          </w:tcPr>
          <w:p>
            <w:pPr>
              <w:jc w:val="right"/>
              <w:ind w:right="308"/>
              <w:spacing w:after="0"/>
              <w:rPr>
                <w:sz w:val="20"/>
                <w:szCs w:val="20"/>
                <w:color w:val="auto"/>
              </w:rPr>
            </w:pPr>
            <w:r>
              <w:rPr>
                <w:rFonts w:ascii="Arial" w:cs="Arial" w:eastAsia="Arial" w:hAnsi="Arial"/>
                <w:sz w:val="14"/>
                <w:szCs w:val="14"/>
                <w:color w:val="auto"/>
              </w:rPr>
              <w:t>7.2 %</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10.6 %</w:t>
            </w:r>
          </w:p>
        </w:tc>
        <w:tc>
          <w:tcPr>
            <w:tcW w:w="2480" w:type="dxa"/>
            <w:vAlign w:val="bottom"/>
          </w:tcPr>
          <w:p>
            <w:pPr>
              <w:jc w:val="right"/>
              <w:ind w:right="1548"/>
              <w:spacing w:after="0"/>
              <w:rPr>
                <w:sz w:val="20"/>
                <w:szCs w:val="20"/>
                <w:color w:val="auto"/>
              </w:rPr>
            </w:pPr>
            <w:r>
              <w:rPr>
                <w:rFonts w:ascii="Arial" w:cs="Arial" w:eastAsia="Arial" w:hAnsi="Arial"/>
                <w:sz w:val="14"/>
                <w:szCs w:val="14"/>
                <w:color w:val="auto"/>
              </w:rPr>
              <w:t>3.4 %</w:t>
            </w:r>
          </w:p>
        </w:tc>
        <w:tc>
          <w:tcPr>
            <w:tcW w:w="2020" w:type="dxa"/>
            <w:vAlign w:val="bottom"/>
          </w:tcPr>
          <w:p>
            <w:pPr>
              <w:jc w:val="right"/>
              <w:spacing w:after="0"/>
              <w:rPr>
                <w:sz w:val="20"/>
                <w:szCs w:val="20"/>
                <w:color w:val="auto"/>
              </w:rPr>
            </w:pPr>
            <w:r>
              <w:rPr>
                <w:rFonts w:ascii="Arial" w:cs="Arial" w:eastAsia="Arial" w:hAnsi="Arial"/>
                <w:sz w:val="14"/>
                <w:szCs w:val="14"/>
                <w:color w:val="auto"/>
              </w:rPr>
              <w:t>7.6 %</w:t>
            </w:r>
          </w:p>
        </w:tc>
      </w:tr>
    </w:tbl>
    <w:p>
      <w:pPr>
        <w:spacing w:after="0" w:line="200" w:lineRule="exact"/>
        <w:rPr>
          <w:sz w:val="20"/>
          <w:szCs w:val="20"/>
          <w:color w:val="auto"/>
        </w:rPr>
      </w:pP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51" w:name="page52"/>
    <w:bookmarkEnd w:id="51"/>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980440</wp:posOffset>
            </wp:positionV>
            <wp:extent cx="4869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220"/>
              <w:spacing w:after="0" w:line="139" w:lineRule="exact"/>
              <w:rPr>
                <w:sz w:val="20"/>
                <w:szCs w:val="20"/>
                <w:color w:val="auto"/>
              </w:rPr>
            </w:pPr>
            <w:r>
              <w:rPr>
                <w:rFonts w:ascii="Arial" w:cs="Arial" w:eastAsia="Arial" w:hAnsi="Arial"/>
                <w:sz w:val="13"/>
                <w:szCs w:val="13"/>
                <w:b w:val="1"/>
                <w:bCs w:val="1"/>
                <w:color w:val="auto"/>
              </w:rPr>
              <w:t>Surface</w:t>
            </w:r>
          </w:p>
        </w:tc>
        <w:tc>
          <w:tcPr>
            <w:tcW w:w="240" w:type="dxa"/>
            <w:vAlign w:val="bottom"/>
          </w:tcPr>
          <w:p>
            <w:pPr>
              <w:spacing w:after="0"/>
              <w:rPr>
                <w:sz w:val="12"/>
                <w:szCs w:val="12"/>
                <w:color w:val="auto"/>
              </w:rPr>
            </w:pPr>
          </w:p>
        </w:tc>
        <w:tc>
          <w:tcPr>
            <w:tcW w:w="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2"/>
                <w:szCs w:val="12"/>
                <w:color w:val="auto"/>
              </w:rPr>
            </w:pPr>
          </w:p>
        </w:tc>
        <w:tc>
          <w:tcPr>
            <w:tcW w:w="1120" w:type="dxa"/>
            <w:vAlign w:val="bottom"/>
            <w:gridSpan w:val="2"/>
          </w:tcPr>
          <w:p>
            <w:pPr>
              <w:ind w:left="200"/>
              <w:spacing w:after="0" w:line="139" w:lineRule="exact"/>
              <w:rPr>
                <w:sz w:val="20"/>
                <w:szCs w:val="20"/>
                <w:color w:val="auto"/>
              </w:rPr>
            </w:pPr>
            <w:r>
              <w:rPr>
                <w:rFonts w:ascii="Arial" w:cs="Arial" w:eastAsia="Arial" w:hAnsi="Arial"/>
                <w:sz w:val="13"/>
                <w:szCs w:val="13"/>
                <w:b w:val="1"/>
                <w:bCs w:val="1"/>
                <w:color w:val="auto"/>
              </w:rPr>
              <w:t>Foreign</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Technip Energies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Exchange, net</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1,508.7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1,505.0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420.5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3,434.2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94.6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274.0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20" w:type="dxa"/>
            <w:vAlign w:val="bottom"/>
          </w:tcPr>
          <w:p>
            <w:pPr>
              <w:spacing w:after="0"/>
              <w:rPr>
                <w:sz w:val="18"/>
                <w:szCs w:val="18"/>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severance charges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0"/>
        </w:trPr>
        <w:tc>
          <w:tcPr>
            <w:tcW w:w="3580" w:type="dxa"/>
            <w:vAlign w:val="bottom"/>
          </w:tcPr>
          <w:p>
            <w:pPr>
              <w:ind w:left="220"/>
              <w:spacing w:after="0"/>
              <w:rPr>
                <w:sz w:val="20"/>
                <w:szCs w:val="20"/>
                <w:color w:val="auto"/>
              </w:rPr>
            </w:pPr>
            <w:r>
              <w:rPr>
                <w:rFonts w:ascii="Arial" w:cs="Arial" w:eastAsia="Arial" w:hAnsi="Arial"/>
                <w:sz w:val="13"/>
                <w:szCs w:val="13"/>
                <w:color w:val="auto"/>
              </w:rPr>
              <w:t>Business combination transaction and integration costs</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Legal provision, net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56"/>
        </w:trPr>
        <w:tc>
          <w:tcPr>
            <w:tcW w:w="3580" w:type="dxa"/>
            <w:vAlign w:val="bottom"/>
          </w:tcPr>
          <w:p>
            <w:pPr>
              <w:ind w:left="220"/>
              <w:spacing w:after="0"/>
              <w:rPr>
                <w:sz w:val="20"/>
                <w:szCs w:val="20"/>
                <w:color w:val="auto"/>
              </w:rPr>
            </w:pPr>
            <w:r>
              <w:rPr>
                <w:rFonts w:ascii="Arial" w:cs="Arial" w:eastAsia="Arial" w:hAnsi="Arial"/>
                <w:sz w:val="13"/>
                <w:szCs w:val="13"/>
                <w:color w:val="auto"/>
              </w:rPr>
              <w:t>Purchase price accounting adjustments - amortization</w:t>
            </w:r>
          </w:p>
        </w:tc>
        <w:tc>
          <w:tcPr>
            <w:tcW w:w="220" w:type="dxa"/>
            <w:vAlign w:val="bottom"/>
          </w:tcPr>
          <w:p>
            <w:pPr>
              <w:spacing w:after="0"/>
              <w:rPr>
                <w:sz w:val="13"/>
                <w:szCs w:val="13"/>
                <w:color w:val="auto"/>
              </w:rPr>
            </w:pPr>
          </w:p>
        </w:tc>
        <w:tc>
          <w:tcPr>
            <w:tcW w:w="960" w:type="dxa"/>
            <w:vAlign w:val="bottom"/>
            <w:vMerge w:val="restart"/>
          </w:tcPr>
          <w:p>
            <w:pPr>
              <w:jc w:val="right"/>
              <w:ind w:right="229"/>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2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related</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107.6</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276.1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78.6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186.2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281.9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46.7</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(18.0)</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2" w:name="page53"/>
    <w:bookmarkEnd w:id="52"/>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980440</wp:posOffset>
            </wp:positionV>
            <wp:extent cx="4620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40"/>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20"/>
              <w:spacing w:after="0" w:line="139" w:lineRule="exact"/>
              <w:rPr>
                <w:sz w:val="20"/>
                <w:szCs w:val="20"/>
                <w:color w:val="auto"/>
              </w:rPr>
            </w:pPr>
            <w:r>
              <w:rPr>
                <w:rFonts w:ascii="Arial" w:cs="Arial" w:eastAsia="Arial" w:hAnsi="Arial"/>
                <w:sz w:val="13"/>
                <w:szCs w:val="13"/>
                <w:b w:val="1"/>
                <w:bCs w:val="1"/>
                <w:color w:val="auto"/>
              </w:rPr>
              <w:t>Surface</w:t>
            </w:r>
          </w:p>
        </w:tc>
        <w:tc>
          <w:tcPr>
            <w:tcW w:w="180" w:type="dxa"/>
            <w:vAlign w:val="bottom"/>
          </w:tcPr>
          <w:p>
            <w:pPr>
              <w:spacing w:after="0"/>
              <w:rPr>
                <w:sz w:val="12"/>
                <w:szCs w:val="12"/>
                <w:color w:val="auto"/>
              </w:rPr>
            </w:pPr>
          </w:p>
        </w:tc>
        <w:tc>
          <w:tcPr>
            <w:tcW w:w="102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2"/>
                <w:szCs w:val="12"/>
                <w:color w:val="auto"/>
              </w:rPr>
            </w:pPr>
          </w:p>
        </w:tc>
        <w:tc>
          <w:tcPr>
            <w:tcW w:w="1080" w:type="dxa"/>
            <w:vAlign w:val="bottom"/>
            <w:gridSpan w:val="2"/>
          </w:tcPr>
          <w:p>
            <w:pPr>
              <w:ind w:left="200"/>
              <w:spacing w:after="0" w:line="139"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7"/>
        </w:trPr>
        <w:tc>
          <w:tcPr>
            <w:tcW w:w="3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Technip Energies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Technologies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5"/>
              </w:rPr>
              <w:t>Exchange, net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2,631.6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6,288.8</w:t>
            </w: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(2,826.3)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(3,028.3)</w:t>
            </w: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0"/>
        </w:trPr>
        <w:tc>
          <w:tcPr>
            <w:tcW w:w="39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2,809.0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412.7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3,221.7</w:t>
            </w: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61.6</w:t>
            </w:r>
          </w:p>
        </w:tc>
      </w:tr>
      <w:tr>
        <w:trPr>
          <w:trHeight w:val="210"/>
        </w:trPr>
        <w:tc>
          <w:tcPr>
            <w:tcW w:w="396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65.4</w:t>
            </w: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Litigation settlement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(113.2)</w:t>
            </w:r>
          </w:p>
        </w:tc>
      </w:tr>
      <w:tr>
        <w:trPr>
          <w:trHeight w:val="210"/>
        </w:trPr>
        <w:tc>
          <w:tcPr>
            <w:tcW w:w="3960" w:type="dxa"/>
            <w:vAlign w:val="bottom"/>
          </w:tcPr>
          <w:p>
            <w:pPr>
              <w:ind w:left="220"/>
              <w:spacing w:after="0"/>
              <w:rPr>
                <w:sz w:val="20"/>
                <w:szCs w:val="20"/>
                <w:color w:val="auto"/>
              </w:rPr>
            </w:pPr>
            <w:r>
              <w:rPr>
                <w:rFonts w:ascii="Arial" w:cs="Arial" w:eastAsia="Arial" w:hAnsi="Arial"/>
                <w:sz w:val="13"/>
                <w:szCs w:val="13"/>
                <w:color w:val="auto"/>
              </w:rPr>
              <w:t>Separation costs</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27.1</w:t>
            </w: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8.5</w:t>
            </w:r>
          </w:p>
        </w:tc>
      </w:tr>
      <w:tr>
        <w:trPr>
          <w:trHeight w:val="209"/>
        </w:trPr>
        <w:tc>
          <w:tcPr>
            <w:tcW w:w="39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2,877.9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3,271.1</w:t>
            </w:r>
          </w:p>
        </w:tc>
      </w:tr>
      <w:tr>
        <w:trPr>
          <w:trHeight w:val="222"/>
        </w:trPr>
        <w:tc>
          <w:tcPr>
            <w:tcW w:w="3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0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Operating profit (loss)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242.8</w:t>
            </w:r>
          </w:p>
        </w:tc>
      </w:tr>
      <w:tr>
        <w:trPr>
          <w:trHeight w:val="202"/>
        </w:trPr>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20" w:type="dxa"/>
            <w:vAlign w:val="bottom"/>
          </w:tcPr>
          <w:p>
            <w:pPr>
              <w:spacing w:after="0"/>
              <w:rPr>
                <w:sz w:val="18"/>
                <w:szCs w:val="18"/>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218.5</w:t>
            </w:r>
          </w:p>
        </w:tc>
      </w:tr>
      <w:tr>
        <w:trPr>
          <w:trHeight w:val="222"/>
        </w:trPr>
        <w:tc>
          <w:tcPr>
            <w:tcW w:w="3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461.3</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3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3"/>
                <w:szCs w:val="13"/>
                <w:color w:val="auto"/>
              </w:rPr>
              <w:t>Operating profit margin, as reported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w:t>
            </w:r>
          </w:p>
        </w:tc>
      </w:tr>
      <w:tr>
        <w:trPr>
          <w:trHeight w:val="222"/>
        </w:trPr>
        <w:tc>
          <w:tcPr>
            <w:tcW w:w="3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3"/>
                <w:szCs w:val="13"/>
                <w:color w:val="auto"/>
              </w:rPr>
              <w:t>Adjusted Operating profit margin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222"/>
        </w:trPr>
        <w:tc>
          <w:tcPr>
            <w:tcW w:w="3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4"/>
        </w:trPr>
        <w:tc>
          <w:tcPr>
            <w:tcW w:w="396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7.3 %</w:t>
            </w:r>
          </w:p>
        </w:tc>
      </w:tr>
    </w:tbl>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recorded within restructuring and other charges in the Subsea segment during the six months ended June 30, 2020.</w:t>
      </w:r>
    </w:p>
    <w:p>
      <w:pPr>
        <w:sectPr>
          <w:pgSz w:w="11900" w:h="16838" w:orient="portrait"/>
          <w:cols w:equalWidth="0" w:num="1">
            <w:col w:w="11240"/>
          </w:cols>
          <w:pgMar w:left="320" w:top="1440" w:right="33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116" w:gutter="0" w:footer="0" w:header="0"/>
          <w:type w:val="continuous"/>
        </w:sectPr>
      </w:pPr>
    </w:p>
    <w:bookmarkStart w:id="53" w:name="page54"/>
    <w:bookmarkEnd w:id="5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2454275</wp:posOffset>
            </wp:positionH>
            <wp:positionV relativeFrom="page">
              <wp:posOffset>980440</wp:posOffset>
            </wp:positionV>
            <wp:extent cx="4886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220"/>
              <w:spacing w:after="0" w:line="139" w:lineRule="exact"/>
              <w:rPr>
                <w:sz w:val="20"/>
                <w:szCs w:val="20"/>
                <w:color w:val="auto"/>
              </w:rPr>
            </w:pPr>
            <w:r>
              <w:rPr>
                <w:rFonts w:ascii="Arial" w:cs="Arial" w:eastAsia="Arial" w:hAnsi="Arial"/>
                <w:sz w:val="13"/>
                <w:szCs w:val="13"/>
                <w:b w:val="1"/>
                <w:bCs w:val="1"/>
                <w:color w:val="auto"/>
              </w:rPr>
              <w:t>Surface</w:t>
            </w:r>
          </w:p>
        </w:tc>
        <w:tc>
          <w:tcPr>
            <w:tcW w:w="180" w:type="dxa"/>
            <w:vAlign w:val="bottom"/>
          </w:tcPr>
          <w:p>
            <w:pPr>
              <w:spacing w:after="0"/>
              <w:rPr>
                <w:sz w:val="12"/>
                <w:szCs w:val="12"/>
                <w:color w:val="auto"/>
              </w:rPr>
            </w:pPr>
          </w:p>
        </w:tc>
        <w:tc>
          <w:tcPr>
            <w:tcW w:w="106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2"/>
                <w:szCs w:val="12"/>
                <w:color w:val="auto"/>
              </w:rPr>
            </w:pPr>
          </w:p>
        </w:tc>
        <w:tc>
          <w:tcPr>
            <w:tcW w:w="1120" w:type="dxa"/>
            <w:vAlign w:val="bottom"/>
            <w:gridSpan w:val="2"/>
          </w:tcPr>
          <w:p>
            <w:pPr>
              <w:ind w:left="200"/>
              <w:spacing w:after="0" w:line="139" w:lineRule="exact"/>
              <w:rPr>
                <w:sz w:val="20"/>
                <w:szCs w:val="20"/>
                <w:color w:val="auto"/>
              </w:rPr>
            </w:pPr>
            <w:r>
              <w:rPr>
                <w:rFonts w:ascii="Arial" w:cs="Arial" w:eastAsia="Arial" w:hAnsi="Arial"/>
                <w:sz w:val="13"/>
                <w:szCs w:val="13"/>
                <w:b w:val="1"/>
                <w:bCs w:val="1"/>
                <w:color w:val="auto"/>
              </w:rPr>
              <w:t>Foreign</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Technip Energies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Exchange, net</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2,694.0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2,840.1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813.1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6,347.2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144.5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8"/>
                <w:szCs w:val="18"/>
                <w:color w:val="auto"/>
              </w:rPr>
            </w:pPr>
          </w:p>
        </w:tc>
        <w:tc>
          <w:tcPr>
            <w:tcW w:w="960" w:type="dxa"/>
            <w:vAlign w:val="bottom"/>
          </w:tcPr>
          <w:p>
            <w:pPr>
              <w:jc w:val="right"/>
              <w:ind w:right="229"/>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severance charges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10"/>
        </w:trPr>
        <w:tc>
          <w:tcPr>
            <w:tcW w:w="3540" w:type="dxa"/>
            <w:vAlign w:val="bottom"/>
          </w:tcPr>
          <w:p>
            <w:pPr>
              <w:ind w:left="220"/>
              <w:spacing w:after="0"/>
              <w:rPr>
                <w:sz w:val="20"/>
                <w:szCs w:val="20"/>
                <w:color w:val="auto"/>
              </w:rPr>
            </w:pPr>
            <w:r>
              <w:rPr>
                <w:rFonts w:ascii="Arial" w:cs="Arial" w:eastAsia="Arial" w:hAnsi="Arial"/>
                <w:sz w:val="13"/>
                <w:szCs w:val="13"/>
                <w:color w:val="auto"/>
              </w:rPr>
              <w:t>Business combination transaction and integration costs</w:t>
            </w:r>
          </w:p>
        </w:tc>
        <w:tc>
          <w:tcPr>
            <w:tcW w:w="2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Reorganization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10"/>
        </w:trPr>
        <w:tc>
          <w:tcPr>
            <w:tcW w:w="3540" w:type="dxa"/>
            <w:vAlign w:val="bottom"/>
          </w:tcPr>
          <w:p>
            <w:pPr>
              <w:ind w:left="220"/>
              <w:spacing w:after="0"/>
              <w:rPr>
                <w:sz w:val="20"/>
                <w:szCs w:val="20"/>
                <w:color w:val="auto"/>
              </w:rPr>
            </w:pPr>
            <w:r>
              <w:rPr>
                <w:rFonts w:ascii="Arial" w:cs="Arial" w:eastAsia="Arial" w:hAnsi="Arial"/>
                <w:sz w:val="13"/>
                <w:szCs w:val="13"/>
                <w:color w:val="auto"/>
              </w:rPr>
              <w:t>Legal provision, net</w:t>
            </w:r>
          </w:p>
        </w:tc>
        <w:tc>
          <w:tcPr>
            <w:tcW w:w="2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55.2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adjustments - amortization</w:t>
            </w: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related</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tcPr>
          <w:p>
            <w:pPr>
              <w:spacing w:after="0"/>
              <w:rPr>
                <w:sz w:val="18"/>
                <w:szCs w:val="18"/>
                <w:color w:val="auto"/>
              </w:rPr>
            </w:pPr>
          </w:p>
        </w:tc>
        <w:tc>
          <w:tcPr>
            <w:tcW w:w="960" w:type="dxa"/>
            <w:vAlign w:val="bottom"/>
          </w:tcPr>
          <w:p>
            <w:pPr>
              <w:jc w:val="right"/>
              <w:ind w:right="229"/>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168.3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460.9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38.7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(112.4)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(29.6)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40" w:type="dxa"/>
            <w:vAlign w:val="bottom"/>
          </w:tcPr>
          <w:p>
            <w:pPr>
              <w:spacing w:after="0"/>
              <w:rPr>
                <w:sz w:val="18"/>
                <w:szCs w:val="18"/>
                <w:color w:val="auto"/>
              </w:rPr>
            </w:pPr>
          </w:p>
        </w:tc>
        <w:tc>
          <w:tcPr>
            <w:tcW w:w="960" w:type="dxa"/>
            <w:vAlign w:val="bottom"/>
          </w:tcPr>
          <w:p>
            <w:pPr>
              <w:jc w:val="right"/>
              <w:ind w:right="229"/>
              <w:spacing w:after="0"/>
              <w:rPr>
                <w:sz w:val="20"/>
                <w:szCs w:val="20"/>
                <w:color w:val="auto"/>
              </w:rPr>
            </w:pPr>
            <w:r>
              <w:rPr>
                <w:rFonts w:ascii="Arial" w:cs="Arial" w:eastAsia="Arial" w:hAnsi="Arial"/>
                <w:sz w:val="14"/>
                <w:szCs w:val="14"/>
                <w:color w:val="auto"/>
              </w:rPr>
              <w:t>157.6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38.1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325.9</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476.7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76.8</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(104.0)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(29.6)</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5.4 %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15.1 %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4.4 %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3"/>
                <w:szCs w:val="13"/>
                <w:color w:val="auto"/>
              </w:rPr>
              <w:t>Adjusted Operating profit margin</w:t>
            </w:r>
          </w:p>
        </w:tc>
        <w:tc>
          <w:tcPr>
            <w:tcW w:w="24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16.2 %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4.8 %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12.1 %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16.8 %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9.4 %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has had a minimal impact on our ability to finalize sales contracts required to recognize new inbound orders in the quarter. However, the significant decline in commodity prices, due in part to the lower demand resulting from COVID-19, is expected to negatively impact the near-term outlook for inbound orders.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7"/>
                <w:szCs w:val="17"/>
                <w:color w:val="auto"/>
              </w:rPr>
            </w:pPr>
          </w:p>
        </w:tc>
        <w:tc>
          <w:tcPr>
            <w:tcW w:w="24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5,310.4</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835.8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8,131.2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1,396.4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11,270.0</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415.7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783.6</w:t>
            </w: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1,534.6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11,179.6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3,633.6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17,364.0</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660"/>
        <w:spacing w:after="0" w:line="289" w:lineRule="auto"/>
        <w:rPr>
          <w:sz w:val="20"/>
          <w:szCs w:val="20"/>
          <w:color w:val="auto"/>
        </w:rPr>
      </w:pPr>
      <w:r>
        <w:rPr>
          <w:rFonts w:ascii="Arial" w:cs="Arial" w:eastAsia="Arial" w:hAnsi="Arial"/>
          <w:sz w:val="17"/>
          <w:szCs w:val="17"/>
          <w:i w:val="1"/>
          <w:iCs w:val="1"/>
          <w:color w:val="auto"/>
        </w:rPr>
        <w:t xml:space="preserve">Order backlog - </w:t>
      </w:r>
      <w:r>
        <w:rPr>
          <w:rFonts w:ascii="Arial" w:cs="Arial" w:eastAsia="Arial" w:hAnsi="Arial"/>
          <w:sz w:val="17"/>
          <w:szCs w:val="17"/>
          <w:color w:val="auto"/>
        </w:rPr>
        <w:t>Order backlog is calculated as the estimated sales value of unfilled, confirmed customer orders at the reporting date.</w:t>
      </w:r>
      <w:r>
        <w:rPr>
          <w:rFonts w:ascii="Arial" w:cs="Arial" w:eastAsia="Arial" w:hAnsi="Arial"/>
          <w:sz w:val="17"/>
          <w:szCs w:val="17"/>
          <w:i w:val="1"/>
          <w:iCs w:val="1"/>
          <w:color w:val="auto"/>
        </w:rPr>
        <w:t xml:space="preserve"> </w:t>
      </w:r>
      <w:r>
        <w:rPr>
          <w:rFonts w:ascii="Arial" w:cs="Arial" w:eastAsia="Arial" w:hAnsi="Arial"/>
          <w:sz w:val="17"/>
          <w:szCs w:val="17"/>
          <w:color w:val="auto"/>
        </w:rPr>
        <w:t>Backlog reflects the current expectations for the timing of project execution. The scheduling of some future work included in our order backlog has been impacted by COVID-19 related disruptions and remains subject to future adjustment. See Note 5 for further details.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7,085.3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8,479.8</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2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13,132.6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15,298.1</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473.2</w:t>
            </w:r>
          </w:p>
        </w:tc>
      </w:tr>
      <w:tr>
        <w:trPr>
          <w:trHeight w:val="21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20,603.8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24,251.1</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June 30, 2020 decreased by $1.4 billion compared to December 31, 2019. Subsea backlog of $7.1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at June 30, 2020 was composed of various subsea projects, including Total Golfinho; Eni Coral and Merakes; Petrobras Mero I; Energean Karish; ExxonMobil Liza Phase 2; Neptune Duva &amp; Gjøa P1; Reliance MJ1; Equinor Johan Sverdrup Phase 2; Husky West White Rose; BP Platina; Chevron Gorgon Stage 2; and Woodside Pyxis and Lambert Deep.</w:t>
      </w:r>
    </w:p>
    <w:p>
      <w:pPr>
        <w:spacing w:after="0" w:line="2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Technip Energies order backlog at June 30, 2020 decreased by $2.2 billion compared to December 31, 2019. Technip</w:t>
      </w:r>
      <w:r>
        <w:rPr>
          <w:rFonts w:ascii="Arial" w:cs="Arial" w:eastAsia="Arial" w:hAnsi="Arial"/>
          <w:sz w:val="18"/>
          <w:szCs w:val="18"/>
          <w:i w:val="1"/>
          <w:iCs w:val="1"/>
          <w:color w:val="auto"/>
        </w:rPr>
        <w:t xml:space="preserve"> </w:t>
      </w:r>
      <w:r>
        <w:rPr>
          <w:rFonts w:ascii="Arial" w:cs="Arial" w:eastAsia="Arial" w:hAnsi="Arial"/>
          <w:sz w:val="18"/>
          <w:szCs w:val="18"/>
          <w:color w:val="auto"/>
        </w:rPr>
        <w:t>Energies backlog of $ 13.1 billion at June 30, 2020 was composed of various projects, including Arctic LNG 2, Yamal LNG; Midor refinery expansion; BP Tortue FPSO; Long Son Petrochemicals; ExxonMobil Beaumont refinery expansion; HURL fertilizer plants; Petronas Kasawari; Energean Karish; Neste bio-diesel expansion; and Motor Oil Hellas New Naphtha Complex.</w:t>
      </w:r>
    </w:p>
    <w:p>
      <w:pPr>
        <w:spacing w:after="0" w:line="126"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June 30, 2020 decreased by $87.3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Given the short-cycle nature of the business, most orders are quickly converted into sales revenue; longer contracts are typically converted within 12 months.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order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196"/>
        </w:trPr>
        <w:tc>
          <w:tcPr>
            <w:tcW w:w="9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9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r>
      <w:tr>
        <w:trPr>
          <w:trHeight w:val="215"/>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702.8</w:t>
            </w:r>
          </w:p>
        </w:tc>
      </w:tr>
      <w:tr>
        <w:trPr>
          <w:trHeight w:val="21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2,095.4</w:t>
            </w:r>
          </w:p>
        </w:tc>
      </w:tr>
      <w:tr>
        <w:trPr>
          <w:trHeight w:val="24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2,798.2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globally and in many operating jurisdictions to best meet the liquidity needs of our global operations.</w:t>
      </w:r>
    </w:p>
    <w:p>
      <w:pPr>
        <w:spacing w:after="0" w:line="14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w:t>
      </w:r>
      <w:r>
        <w:rPr>
          <w:rFonts w:ascii="Arial" w:cs="Arial" w:eastAsia="Arial" w:hAnsi="Arial"/>
          <w:sz w:val="18"/>
          <w:szCs w:val="18"/>
          <w:i w:val="1"/>
          <w:iCs w:val="1"/>
          <w:color w:val="auto"/>
        </w:rPr>
        <w:t xml:space="preserve"> </w:t>
      </w:r>
      <w:r>
        <w:rPr>
          <w:rFonts w:ascii="Arial" w:cs="Arial" w:eastAsia="Arial" w:hAnsi="Arial"/>
          <w:sz w:val="18"/>
          <w:szCs w:val="18"/>
          <w:color w:val="auto"/>
        </w:rPr>
        <w:t>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cash, utilizing details of classifications from our condensed 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5,190.2</w:t>
            </w: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(495.4)</w:t>
            </w: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(3,980.0)</w:t>
            </w:r>
          </w:p>
        </w:tc>
      </w:tr>
      <w:tr>
        <w:trPr>
          <w:trHeight w:val="216"/>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cash</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714.8</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 During the six months ended June 30, 2020, we consumed $66.0 million in cash flows from operating activities,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$195.5 million generated during in the six months ended June 30, 2019, resulting in a $261.5 million decrease compared to the prior-year period. The decrease was due primarily to timing differences on project milestones and vendor payments. In addition, operating cash flows for the six months ended June 30, 2020, decreased due to the negative working capital impact of the litigation settlement receivable recorded in the second quarter of 2020 and expected to be cash collected in early 2021, and by the $48.5 million scheduled payment for a previously recorded litigation settlement.</w:t>
      </w:r>
    </w:p>
    <w:p>
      <w:pPr>
        <w:spacing w:after="0" w:line="21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 Investing activities used $137.3 million and $ 287.5 million of cash during the six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 The decrease of $150.2 million in cash used by investing activities was due primarily to decreased capital expenditures and decreased payments to acquire debt securities during the six months ended June 30, 2020.</w:t>
      </w:r>
    </w:p>
    <w:p>
      <w:pPr>
        <w:spacing w:after="0" w:line="122"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 Financing activities used $128.6 million and $828.5 million of cash during the six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 The decrease of $699.9 million in cash used by financing activities was due primarily to our efforts and commitment to preserve cash during the six months ended June 30, 2020, which included reduction in cash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22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Significant Funding and Liquidity Activities - </w:t>
      </w:r>
      <w:r>
        <w:rPr>
          <w:rFonts w:ascii="Arial" w:cs="Arial" w:eastAsia="Arial" w:hAnsi="Arial"/>
          <w:sz w:val="18"/>
          <w:szCs w:val="18"/>
          <w:color w:val="auto"/>
        </w:rPr>
        <w:t>During the six months ended June 30, 2020, we completed the following transactions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total liquidity position:</w:t>
      </w:r>
    </w:p>
    <w:p>
      <w:pPr>
        <w:spacing w:after="0" w:line="180" w:lineRule="exact"/>
        <w:rPr>
          <w:sz w:val="20"/>
          <w:szCs w:val="20"/>
          <w:color w:val="auto"/>
        </w:rPr>
      </w:pPr>
    </w:p>
    <w:p>
      <w:pPr>
        <w:ind w:left="660" w:right="180" w:hanging="652"/>
        <w:spacing w:after="0" w:line="25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€150 million aggregate principal amount of new 4.500% notes due June 30, 2025. On July 31, 2020, we entered into a subscription agreement with respect to the issuance and sale of an additional €50 million aggregate principal amount of the Euro Denominated Notes, which is expected to close on August 4, 2020 and is subject to the satisfaction of customary conditions precedent. In the event of the spin-off of our Technip Energies business segment followed, within three months of the effective date of the spin-off, by a downgrade by a nationally recognized rating agency of the corporate rating of TechnipFMC from an investment grade to a non-investment grade rating or a withdrawal of any such rating, the interest rate applicable to the Euro Denominated Notes will be increased to 5.75%;</w:t>
      </w:r>
    </w:p>
    <w:p>
      <w:pPr>
        <w:spacing w:after="0" w:line="206" w:lineRule="exact"/>
        <w:rPr>
          <w:rFonts w:ascii="Arial" w:cs="Arial" w:eastAsia="Arial" w:hAnsi="Arial"/>
          <w:sz w:val="18"/>
          <w:szCs w:val="18"/>
          <w:color w:val="auto"/>
        </w:rPr>
      </w:pPr>
    </w:p>
    <w:p>
      <w:pPr>
        <w:ind w:left="660" w:right="520" w:hanging="652"/>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Entered into the CCFF Program, which allows us to issue up to £600 million of unsecured commercial paper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Facilities - </w:t>
      </w:r>
      <w:r>
        <w:rPr>
          <w:rFonts w:ascii="Arial" w:cs="Arial" w:eastAsia="Arial" w:hAnsi="Arial"/>
          <w:sz w:val="18"/>
          <w:szCs w:val="18"/>
          <w:color w:val="auto"/>
        </w:rPr>
        <w:t>The following is a summary of our revolving credit facilities at June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Letters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of</w:t>
            </w:r>
          </w:p>
        </w:tc>
        <w:tc>
          <w:tcPr>
            <w:tcW w:w="220" w:type="dxa"/>
            <w:vAlign w:val="bottom"/>
          </w:tcPr>
          <w:p>
            <w:pPr>
              <w:spacing w:after="0"/>
              <w:rPr>
                <w:sz w:val="4"/>
                <w:szCs w:val="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Unused</w:t>
            </w: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Paper</w:t>
            </w:r>
          </w:p>
        </w:tc>
        <w:tc>
          <w:tcPr>
            <w:tcW w:w="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Outstanding</w:t>
            </w:r>
            <w:r>
              <w:rPr>
                <w:rFonts w:ascii="Arial" w:cs="Arial" w:eastAsia="Arial" w:hAnsi="Arial"/>
                <w:sz w:val="17"/>
                <w:szCs w:val="17"/>
                <w:b w:val="1"/>
                <w:bCs w:val="1"/>
                <w:color w:val="auto"/>
                <w:w w:val="99"/>
                <w:vertAlign w:val="superscript"/>
              </w:rPr>
              <w:t>(a)</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Credit</w:t>
            </w: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Capacity</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1,040.5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CCFF Program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March 2021</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November 2020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Bilateral credit facility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May 2021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40" w:right="340" w:hanging="332"/>
        <w:spacing w:after="0" w:line="258"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$1,459.5 million of commercial paper issued under our facility at June 30, 2020. As we had both the ability and intent to refinance these obligations on a long-term basis, these commercial paper borrowings were classified as long-term debt in the accompanying condensed consolidated balance sheets at June 30, 2020.</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were in compliance with all restrictive covenants under our credit facilities. See Note 14 for further details.</w:t>
      </w:r>
    </w:p>
    <w:p>
      <w:pPr>
        <w:spacing w:after="0" w:line="23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 Our credit ratings with Standard and Poor’s (S&amp;P) are BBB+ for our long-term unsecured debt and A-2 for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commercial paper program. Our credit ratings with Moody’s are Baa2 for our long-term unsecured debt and P-2 for our commercial paper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using the spread of similar companies in the same industry, of similar size, and with the same credit rating. See Note 21 for further details.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significant declines in the equity markets and in the valuation of other assets precipitated by the COVID-19 pandemic negatively affected the values of our pension plan assets during the first quarter ended March 31, 2020. While the equity markets and the valuation of other assets have recovered moderately during the quarter ended June 30, 2020, the fair values of our pension plan assets remain lower than pre-pandemic levels. If pension plan asset values do not continue to recover to pre-pandemic levels or deteriorate again as a result of uncertainty regarding the timing and pace of economic recovery from the COVID-19 pandemic, we may incur increased pension expense in future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the current, uncertain market environment due to the COVID-19 pandemic and the oil price decline, we are strategically focused on cash and liquidity preservation.</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reduced our expectations for capital expenditures in the current year by more than 30% to approximately $300.0 million. Projected capital expenditures for 2020 do not include any contingent capital that may be needed to respond to a contract award.</w:t>
      </w:r>
    </w:p>
    <w:p>
      <w:pPr>
        <w:spacing w:after="0" w:line="9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announced a series of cost reduction initiatives that will result in annualized savings of more than $350.0 million that extend to all business segments and support functions. We anticipate achieving the targeted savings run-rate by the end of the year.</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Additionally, we announced revisions to compensation through the end of the year which include a 30% reduction to the Chairman and Chief Executive Officer’s salary; a 30% reduction in the Board of Directors’ retainer; and a 20% reduction to the Executive Leadership team’s salaries.</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April 2020, our Board of Directors announced its decision to lower the annual dividend by 75% to $0.13 per share. TechnipFMC paid a dividend of $0.13 per share earlier this year, and this fulfills the annual dividend distribution for 2020. The revised dividend policy will reduce the annual cash outflow by $175 million when compared to the previous year’s distribution. We intend to pay the 2021 dividend in quarterly installments beginning in April 2021.</w:t>
      </w:r>
    </w:p>
    <w:p>
      <w:pPr>
        <w:spacing w:after="0" w:line="96"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Historically, TechnipFMC has generated liquidity and capital resources primarily through operations and, when needed, through its credit facility. We have $1,040.5 million of capacity available under our revolving credit facility that we expect to utilize if working capital needs temporarily increase. The volatility in credit, equity and commodity markets creates some uncertainty for its businesses.</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While client conversations remain ongoing, the Company’s increased visibility gives us confidence in our full-year guidance for all business segments. We expect free cash flow to be between cash flow neutral and $150.0 million. We define free cash flow as cash flow from operating activities less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Refer to our Annual Report on Form 10-K for the year ended December 31, 2019 for a discussion of our critical accounting estimates. During the six months ended June 30, 2020, there were no changes to our identified critical accounting estimates, other than those indicated below.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operating loss for the three and six months ended June 30, 2020 was positively impacted by approximately $96.7 million and $174.9 million, as a result of changes in contract estimates related to projects that were in progress at June 30, 2020. During the three and six months ended June 30, 2020, we recognized changes in our estimates that had an impact on our margin in the amounts of $104.7 million, $(7.1) million, and $(0.9) million for the three months ended and $174.6 million, $4.5 million, and $ (4.2) million for the six months ended in our Technip Energies, Subsea, and Surface Technologies segments, respectively. The changes in contract estimates are attributed to better-than-expected performance in the execution of our projects.</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operating profit was positively impacted by approximately $275.1 million and $432.3 million for the three and six months ended June 30, 2019, comprising $147.0 million and $128.1 million for the three months ended and $256.9 million and $175.4 million for the six months ended June 30, 2019 in our Technip Energies and Subsea segments, respectively. The changes in contract estimates were attributed to better than expected performance in the execution of our projects.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9" w:name="page60"/>
    <w:bookmarkEnd w:id="59"/>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the Company, see Part II, Item 7A, “Quantitative and Qualitative Disclosures About Market Risk,” in our Annual Report on Form 10-K for the year ended December 31, 2019. Our exposure to market risk has not changed materially since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As of June 30, 2020,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that our disclosure controls and procedures were effective as of June 30,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 purported shareholder class action filed in 2017 and amended in January 2018 and captioned </w:t>
      </w:r>
      <w:r>
        <w:rPr>
          <w:rFonts w:ascii="Arial" w:cs="Arial" w:eastAsia="Arial" w:hAnsi="Arial"/>
          <w:sz w:val="18"/>
          <w:szCs w:val="18"/>
          <w:i w:val="1"/>
          <w:iCs w:val="1"/>
          <w:color w:val="auto"/>
        </w:rPr>
        <w:t>Prause v. TechnipFMC, et al.</w:t>
      </w:r>
      <w:r>
        <w:rPr>
          <w:rFonts w:ascii="Arial" w:cs="Arial" w:eastAsia="Arial" w:hAnsi="Arial"/>
          <w:sz w:val="18"/>
          <w:szCs w:val="18"/>
          <w:color w:val="auto"/>
        </w:rPr>
        <w:t>,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addition to our risk factors previously disclosed in Part I, Item 1A of our Annual Report on Form 10-K for the year ended the December 31, 2019, the following risk factor was identified:</w:t>
      </w:r>
    </w:p>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The COVID-19 pandemic has significantly reduced demand for our products and services, and has had, and may continue to have, an adverse impact on our financial condition, results of operations, and cash flows.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COVID-19 pandemic, including actions taken by governments and businesses, has resulted in a significant reduction in global economic activity, including increased volatility in global oil and natural gas markets. Measures taken to address and limit the spread of the disease-such as stay-at-home orders, social distancing guidelines, and travel restrictions-have adversely affected the economies and financial markets of many countries. The resulting disruption to our operations, communications, travel, and supply chain may continue or increase in the future, and could limit the ability of our employees, partners, or vendors to operate efficiently or at all, and has had, and is reasonably likely to continue to have, an adverse impact on our financial condition, operating results, and cash flows.</w:t>
      </w:r>
    </w:p>
    <w:p>
      <w:pPr>
        <w:spacing w:after="0" w:line="15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While the full impact of the COVID-19 pandemic is not yet known, we are closely monitoring the effects of the pandemic on commodity demands and on our customers, as well as on our operations and employees. These effects include adverse revenue and net income effects; disruptions to our operations; potential project delays or cancellations; employee impacts from illness, school closures, and other community response measures; and temporary closures of our facilities or the facilities of our customers and suppliers.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COVID-19, and the volatile regional and global economic conditions stemming from the pandemic, could also aggravate the other risk factors that we identified in Part I, Item 1A, “Risk Factors” of our Annual Report on Form 10-K for the year ended December 31, 2019, including but not limited to risks related to the demand for oil and gas, which may not recover immediately. The full extent to which the COVID-19 pandemic will impact our results is unknown and evolving and will depend on various factors and consequences beyond our control, such as the severity, duration, and spread of COVID-19; the success of actions taken by governments and health organizations to combat the disease and treat its effects; decisions by our alliance partners and customers regarding their business plans and capital expenditures; and the extent to which, and the timing of, general economic and operating conditions recover.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June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 Price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36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1"/>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April 1, 2020 – April 30, 2020</w:t>
            </w: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100" w:type="dxa"/>
            <w:vAlign w:val="bottom"/>
            <w:gridSpan w:val="2"/>
            <w:vMerge w:val="continue"/>
          </w:tcPr>
          <w:p>
            <w:pPr>
              <w:spacing w:after="0"/>
              <w:rPr>
                <w:sz w:val="17"/>
                <w:szCs w:val="17"/>
                <w:color w:val="auto"/>
              </w:rPr>
            </w:pPr>
          </w:p>
        </w:tc>
        <w:tc>
          <w:tcPr>
            <w:tcW w:w="1420" w:type="dxa"/>
            <w:vAlign w:val="bottom"/>
          </w:tcPr>
          <w:p>
            <w:pPr>
              <w:ind w:left="11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960" w:type="dxa"/>
            <w:vAlign w:val="bottom"/>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4"/>
                <w:szCs w:val="14"/>
                <w:color w:val="auto"/>
              </w:rPr>
              <w:t>May 1, 2020 – May 31, 2020</w:t>
            </w:r>
          </w:p>
        </w:tc>
        <w:tc>
          <w:tcPr>
            <w:tcW w:w="1420" w:type="dxa"/>
            <w:vAlign w:val="bottom"/>
          </w:tcPr>
          <w:p>
            <w:pPr>
              <w:ind w:left="11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960" w:type="dxa"/>
            <w:vAlign w:val="bottom"/>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4"/>
                <w:szCs w:val="14"/>
                <w:color w:val="auto"/>
              </w:rPr>
              <w:t>June 1, 2020 – June 30, 2020</w:t>
            </w: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1517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1517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60"/>
        <w:spacing w:after="0" w:line="218" w:lineRule="auto"/>
        <w:rPr>
          <w:sz w:val="20"/>
          <w:szCs w:val="20"/>
          <w:color w:val="auto"/>
        </w:rPr>
      </w:pPr>
      <w:r>
        <w:rPr>
          <w:rFonts w:ascii="Arial" w:cs="Arial" w:eastAsia="Arial" w:hAnsi="Arial"/>
          <w:sz w:val="14"/>
          <w:szCs w:val="14"/>
          <w:b w:val="1"/>
          <w:bCs w:val="1"/>
          <w:color w:val="auto"/>
        </w:rPr>
        <w:t xml:space="preserve">Maximum Number of Shares That May Yet Be Purchased Under the Plans or Programs </w:t>
      </w:r>
      <w:r>
        <w:rPr>
          <w:rFonts w:ascii="Arial" w:cs="Arial" w:eastAsia="Arial" w:hAnsi="Arial"/>
          <w:sz w:val="18"/>
          <w:szCs w:val="18"/>
          <w:b w:val="1"/>
          <w:bCs w:val="1"/>
          <w:color w:val="auto"/>
          <w:vertAlign w:val="superscript"/>
        </w:rPr>
        <w:t>(a)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14,286,427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14,286,427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14,286,427</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14,286,427</w:t>
      </w:r>
    </w:p>
    <w:p>
      <w:pPr>
        <w:spacing w:after="0" w:line="250" w:lineRule="exact"/>
        <w:rPr>
          <w:sz w:val="20"/>
          <w:szCs w:val="20"/>
          <w:color w:val="auto"/>
        </w:rPr>
      </w:pPr>
    </w:p>
    <w:p>
      <w:pPr>
        <w:sectPr>
          <w:pgSz w:w="11900" w:h="16838" w:orient="portrait"/>
          <w:cols w:equalWidth="0" w:num="2">
            <w:col w:w="9140" w:space="440"/>
            <w:col w:w="1480"/>
          </w:cols>
          <w:pgMar w:left="320" w:top="1251" w:right="519" w:bottom="1440" w:gutter="0" w:footer="0" w:header="0"/>
        </w:sectPr>
      </w:pPr>
    </w:p>
    <w:p>
      <w:pPr>
        <w:spacing w:after="0" w:line="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 December 2018, our Board of Directors authorized an extension of our share repurchase program for $300 million for the purchase of ordinary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1" w:right="5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680" w:type="dxa"/>
            <w:vAlign w:val="bottom"/>
            <w:gridSpan w:val="16"/>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5"/>
        </w:trPr>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680" w:type="dxa"/>
            <w:vAlign w:val="bottom"/>
            <w:tcBorders>
              <w:top w:val="single" w:sz="8" w:color="auto"/>
            </w:tcBorders>
            <w:gridSpan w:val="16"/>
            <w:shd w:val="clear" w:color="auto" w:fill="CCEEFF"/>
          </w:tcPr>
          <w:p>
            <w:pPr>
              <w:spacing w:after="0"/>
              <w:rPr>
                <w:rFonts w:ascii="Arial" w:cs="Arial" w:eastAsia="Arial" w:hAnsi="Arial"/>
                <w:sz w:val="14"/>
                <w:szCs w:val="14"/>
                <w:color w:val="0000FF"/>
              </w:rPr>
            </w:pPr>
            <w:hyperlink r:id="rId96">
              <w:r>
                <w:rPr>
                  <w:rFonts w:ascii="Arial" w:cs="Arial" w:eastAsia="Arial" w:hAnsi="Arial"/>
                  <w:sz w:val="14"/>
                  <w:szCs w:val="14"/>
                  <w:color w:val="0000FF"/>
                </w:rPr>
                <w:t>Dealer Agreement, dated as of May 19, 2020 between TechnipFMC plc, as Issuer; FMC Technologies, Inc., as Guarantor; and Bank of America Merrill</w:t>
              </w:r>
            </w:hyperlink>
          </w:p>
        </w:tc>
      </w:tr>
      <w:tr>
        <w:trPr>
          <w:trHeight w:val="142"/>
        </w:trPr>
        <w:tc>
          <w:tcPr>
            <w:tcW w:w="14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28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4"/>
                <w:szCs w:val="14"/>
                <w:color w:val="0000FF"/>
              </w:rPr>
            </w:pPr>
            <w:hyperlink r:id="rId96">
              <w:r>
                <w:rPr>
                  <w:rFonts w:ascii="Arial" w:cs="Arial" w:eastAsia="Arial" w:hAnsi="Arial"/>
                  <w:sz w:val="14"/>
                  <w:szCs w:val="14"/>
                  <w:color w:val="0000FF"/>
                </w:rPr>
                <w:t>Lynch International DAC, as Arranger and Dealer (incorporated by reference from Exhibit 10.1 to the Current Report on Form 8-K filed on May 21,</w:t>
              </w:r>
            </w:hyperlink>
          </w:p>
        </w:tc>
        <w:tc>
          <w:tcPr>
            <w:tcW w:w="260" w:type="dxa"/>
            <w:vAlign w:val="bottom"/>
            <w:tcBorders>
              <w:top w:val="single" w:sz="8" w:color="0000FF"/>
              <w:bottom w:val="single" w:sz="8" w:color="CCEEFF"/>
            </w:tcBorders>
            <w:gridSpan w:val="5"/>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63"/>
        </w:trPr>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780" w:type="dxa"/>
            <w:vAlign w:val="bottom"/>
            <w:tcBorders>
              <w:bottom w:val="single" w:sz="8" w:color="0000FF"/>
            </w:tcBorders>
            <w:gridSpan w:val="3"/>
            <w:shd w:val="clear" w:color="auto" w:fill="CCEEFF"/>
          </w:tcPr>
          <w:p>
            <w:pPr>
              <w:spacing w:after="0" w:line="142" w:lineRule="exact"/>
              <w:rPr>
                <w:rFonts w:ascii="Arial" w:cs="Arial" w:eastAsia="Arial" w:hAnsi="Arial"/>
                <w:sz w:val="14"/>
                <w:szCs w:val="14"/>
                <w:color w:val="0000FF"/>
              </w:rPr>
            </w:pPr>
            <w:hyperlink r:id="rId96">
              <w:r>
                <w:rPr>
                  <w:rFonts w:ascii="Arial" w:cs="Arial" w:eastAsia="Arial" w:hAnsi="Arial"/>
                  <w:sz w:val="14"/>
                  <w:szCs w:val="14"/>
                  <w:color w:val="0000FF"/>
                </w:rPr>
                <w:t>2020) (File No. 001-37983).</w:t>
              </w:r>
            </w:hyperlink>
          </w:p>
        </w:tc>
        <w:tc>
          <w:tcPr>
            <w:tcW w:w="7900" w:type="dxa"/>
            <w:vAlign w:val="bottom"/>
            <w:tcBorders>
              <w:bottom w:val="single" w:sz="8" w:color="CCEEFF"/>
            </w:tcBorders>
            <w:gridSpan w:val="13"/>
            <w:shd w:val="clear" w:color="auto" w:fill="CCEEFF"/>
          </w:tcPr>
          <w:p>
            <w:pPr>
              <w:spacing w:after="0"/>
              <w:rPr>
                <w:sz w:val="14"/>
                <w:szCs w:val="14"/>
                <w:color w:val="auto"/>
              </w:rPr>
            </w:pPr>
          </w:p>
        </w:tc>
      </w:tr>
      <w:tr>
        <w:trPr>
          <w:trHeight w:val="175"/>
        </w:trPr>
        <w:tc>
          <w:tcPr>
            <w:tcW w:w="1440" w:type="dxa"/>
            <w:vAlign w:val="bottom"/>
          </w:tcPr>
          <w:p>
            <w:pPr>
              <w:ind w:left="2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9680" w:type="dxa"/>
            <w:vAlign w:val="bottom"/>
            <w:gridSpan w:val="16"/>
          </w:tcPr>
          <w:p>
            <w:pPr>
              <w:spacing w:after="0"/>
              <w:rPr>
                <w:rFonts w:ascii="Arial" w:cs="Arial" w:eastAsia="Arial" w:hAnsi="Arial"/>
                <w:sz w:val="14"/>
                <w:szCs w:val="14"/>
                <w:color w:val="0000FF"/>
              </w:rPr>
            </w:pPr>
            <w:hyperlink r:id="rId97">
              <w:r>
                <w:rPr>
                  <w:rFonts w:ascii="Arial" w:cs="Arial" w:eastAsia="Arial" w:hAnsi="Arial"/>
                  <w:sz w:val="14"/>
                  <w:szCs w:val="14"/>
                  <w:color w:val="0000FF"/>
                </w:rPr>
                <w:t>Issuing and Paying Agency Agreement, dated as of May 19, 2020 between TechnipFMC plc, as Issuer; FMC Technologies, Inc., as Guarantor; and</w:t>
              </w:r>
            </w:hyperlink>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80" w:type="dxa"/>
            <w:vAlign w:val="bottom"/>
            <w:gridSpan w:val="16"/>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Bank of America, National Association, London Branch, a</w:t>
              </w:r>
              <w:r>
                <w:rPr>
                  <w:rFonts w:ascii="Arial" w:cs="Arial" w:eastAsia="Arial" w:hAnsi="Arial"/>
                  <w:sz w:val="14"/>
                  <w:szCs w:val="14"/>
                  <w:u w:val="single" w:color="auto"/>
                  <w:color w:val="0000FF"/>
                </w:rPr>
                <w:t>n</w:t>
              </w:r>
              <w:r>
                <w:rPr>
                  <w:rFonts w:ascii="Arial" w:cs="Arial" w:eastAsia="Arial" w:hAnsi="Arial"/>
                  <w:sz w:val="14"/>
                  <w:szCs w:val="14"/>
                  <w:color w:val="0000FF"/>
                </w:rPr>
                <w:t xml:space="preserve"> Issue and Paying Agent and Calculation Agent (incorporated by reference from Exhibit 10.2</w:t>
              </w:r>
            </w:hyperlink>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80" w:type="dxa"/>
            <w:vAlign w:val="bottom"/>
            <w:gridSpan w:val="16"/>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to the Current Report on Form 8-K filed on May 21, 2020) (File No. 001-37983).</w:t>
              </w:r>
            </w:hyperlink>
          </w:p>
        </w:tc>
      </w:tr>
      <w:tr>
        <w:trPr>
          <w:trHeight w:val="21"/>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9360" w:type="dxa"/>
            <w:vAlign w:val="bottom"/>
            <w:tcBorders>
              <w:bottom w:val="single" w:sz="8" w:color="0000FF"/>
            </w:tcBorders>
            <w:gridSpan w:val="11"/>
            <w:shd w:val="clear" w:color="auto" w:fill="CCEEFF"/>
          </w:tcPr>
          <w:p>
            <w:pPr>
              <w:spacing w:after="0"/>
              <w:rPr>
                <w:rFonts w:ascii="Arial" w:cs="Arial" w:eastAsia="Arial" w:hAnsi="Arial"/>
                <w:sz w:val="14"/>
                <w:szCs w:val="14"/>
                <w:color w:val="0000FF"/>
              </w:rPr>
            </w:pPr>
            <w:hyperlink r:id="rId98">
              <w:r>
                <w:rPr>
                  <w:rFonts w:ascii="Arial" w:cs="Arial" w:eastAsia="Arial" w:hAnsi="Arial"/>
                  <w:sz w:val="14"/>
                  <w:szCs w:val="14"/>
                  <w:u w:val="single" w:color="auto"/>
                  <w:color w:val="0000FF"/>
                </w:rPr>
                <w:t>€</w:t>
              </w:r>
              <w:r>
                <w:rPr>
                  <w:rFonts w:ascii="Arial" w:cs="Arial" w:eastAsia="Arial" w:hAnsi="Arial"/>
                  <w:sz w:val="14"/>
                  <w:szCs w:val="14"/>
                  <w:color w:val="0000FF"/>
                </w:rPr>
                <w:t>500,000,000 Facility Agreement dated as of May 19, 2020 between TechnipFMC plc and Technip Eurocash SNC, as borrowers; HSBC France, as</w:t>
              </w:r>
            </w:hyperlink>
          </w:p>
        </w:tc>
        <w:tc>
          <w:tcPr>
            <w:tcW w:w="320" w:type="dxa"/>
            <w:vAlign w:val="bottom"/>
            <w:tcBorders>
              <w:bottom w:val="single" w:sz="8" w:color="CCEEFF"/>
            </w:tcBorders>
            <w:gridSpan w:val="5"/>
            <w:shd w:val="clear" w:color="auto" w:fill="CCEEFF"/>
          </w:tcPr>
          <w:p>
            <w:pPr>
              <w:spacing w:after="0"/>
              <w:rPr>
                <w:sz w:val="14"/>
                <w:szCs w:val="14"/>
                <w:color w:val="auto"/>
              </w:rPr>
            </w:pPr>
          </w:p>
        </w:tc>
      </w:tr>
      <w:tr>
        <w:trPr>
          <w:trHeight w:val="115"/>
        </w:trPr>
        <w:tc>
          <w:tcPr>
            <w:tcW w:w="14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680" w:type="dxa"/>
            <w:vAlign w:val="bottom"/>
            <w:gridSpan w:val="16"/>
            <w:shd w:val="clear" w:color="auto" w:fill="CCEEFF"/>
          </w:tcPr>
          <w:p>
            <w:pPr>
              <w:spacing w:after="0" w:line="115" w:lineRule="exact"/>
              <w:rPr>
                <w:rFonts w:ascii="Arial" w:cs="Arial" w:eastAsia="Arial" w:hAnsi="Arial"/>
                <w:sz w:val="13"/>
                <w:szCs w:val="13"/>
                <w:color w:val="0000FF"/>
              </w:rPr>
            </w:pPr>
            <w:hyperlink r:id="rId98">
              <w:r>
                <w:rPr>
                  <w:rFonts w:ascii="Arial" w:cs="Arial" w:eastAsia="Arial" w:hAnsi="Arial"/>
                  <w:sz w:val="13"/>
                  <w:szCs w:val="13"/>
                  <w:color w:val="0000FF"/>
                </w:rPr>
                <w:t>Agent; and the lenders party thereto (incorporated by reference from Exhibit 10.3 to the Current Report on Form 8-K filed on May 21, 2020) (File No.</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1780" w:type="dxa"/>
            <w:vAlign w:val="bottom"/>
            <w:tcBorders>
              <w:top w:val="single" w:sz="8" w:color="0000FF"/>
            </w:tcBorders>
            <w:gridSpan w:val="3"/>
            <w:shd w:val="clear" w:color="auto" w:fill="CCEEFF"/>
          </w:tcPr>
          <w:p>
            <w:pPr>
              <w:spacing w:after="0" w:line="115" w:lineRule="exact"/>
              <w:rPr>
                <w:rFonts w:ascii="Arial" w:cs="Arial" w:eastAsia="Arial" w:hAnsi="Arial"/>
                <w:sz w:val="13"/>
                <w:szCs w:val="13"/>
                <w:color w:val="0000FF"/>
              </w:rPr>
            </w:pPr>
            <w:hyperlink r:id="rId98">
              <w:r>
                <w:rPr>
                  <w:rFonts w:ascii="Arial" w:cs="Arial" w:eastAsia="Arial" w:hAnsi="Arial"/>
                  <w:sz w:val="13"/>
                  <w:szCs w:val="13"/>
                  <w:color w:val="0000FF"/>
                </w:rPr>
                <w:t>001-37983).</w:t>
              </w:r>
            </w:hyperlink>
          </w:p>
        </w:tc>
        <w:tc>
          <w:tcPr>
            <w:tcW w:w="18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320" w:type="dxa"/>
            <w:vAlign w:val="bottom"/>
            <w:tcBorders>
              <w:top w:val="single" w:sz="8" w:color="0000FF"/>
            </w:tcBorders>
            <w:shd w:val="clear" w:color="auto" w:fill="CCEEFF"/>
          </w:tcPr>
          <w:p>
            <w:pPr>
              <w:spacing w:after="0"/>
              <w:rPr>
                <w:sz w:val="10"/>
                <w:szCs w:val="10"/>
                <w:color w:val="auto"/>
              </w:rPr>
            </w:pPr>
          </w:p>
        </w:tc>
        <w:tc>
          <w:tcPr>
            <w:tcW w:w="41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75"/>
        </w:trPr>
        <w:tc>
          <w:tcPr>
            <w:tcW w:w="144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9680" w:type="dxa"/>
            <w:vAlign w:val="bottom"/>
            <w:gridSpan w:val="16"/>
          </w:tcPr>
          <w:p>
            <w:pPr>
              <w:spacing w:after="0"/>
              <w:rPr>
                <w:rFonts w:ascii="Arial" w:cs="Arial" w:eastAsia="Arial" w:hAnsi="Arial"/>
                <w:sz w:val="14"/>
                <w:szCs w:val="14"/>
                <w:color w:val="0000FF"/>
              </w:rPr>
            </w:pPr>
            <w:hyperlink r:id="rId99">
              <w:r>
                <w:rPr>
                  <w:rFonts w:ascii="Arial" w:cs="Arial" w:eastAsia="Arial" w:hAnsi="Arial"/>
                  <w:sz w:val="14"/>
                  <w:szCs w:val="14"/>
                  <w:color w:val="0000FF"/>
                </w:rPr>
                <w:t xml:space="preserve">Amendment No. 1 to </w:t>
              </w:r>
              <w:r>
                <w:rPr>
                  <w:rFonts w:ascii="Arial" w:cs="Arial" w:eastAsia="Arial" w:hAnsi="Arial"/>
                  <w:sz w:val="14"/>
                  <w:szCs w:val="14"/>
                  <w:u w:val="single" w:color="auto"/>
                  <w:color w:val="0000FF"/>
                </w:rPr>
                <w:t>$</w:t>
              </w:r>
              <w:r>
                <w:rPr>
                  <w:rFonts w:ascii="Arial" w:cs="Arial" w:eastAsia="Arial" w:hAnsi="Arial"/>
                  <w:sz w:val="14"/>
                  <w:szCs w:val="14"/>
                  <w:color w:val="0000FF"/>
                </w:rPr>
                <w:t>2,500,000,000 Facility Agreement, dated as of June 12, 2020, by and among TechnipFMC plc, FMC Technologies, Inc. and</w:t>
              </w:r>
            </w:hyperlink>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42"/>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tcBorders>
              <w:bottom w:val="single" w:sz="8" w:color="0000FF"/>
            </w:tcBorders>
            <w:gridSpan w:val="13"/>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Technip Eurocash SNC, as borrowers; JPMorgan Chase Bank, N.A., as agent and an arranger; SG Americas Securities LLC as an arranger; and the</w:t>
              </w:r>
            </w:hyperlink>
          </w:p>
        </w:tc>
        <w:tc>
          <w:tcPr>
            <w:tcW w:w="220" w:type="dxa"/>
            <w:vAlign w:val="bottom"/>
            <w:gridSpan w:val="3"/>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80" w:type="dxa"/>
            <w:vAlign w:val="bottom"/>
            <w:gridSpan w:val="16"/>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other lenders party thereto (incorporated by reference from Exhibit 10.1 to the Current Report on Form 8-K filed on June 15, 2020) (File No. 001-</w:t>
              </w:r>
            </w:hyperlink>
          </w:p>
        </w:tc>
      </w:tr>
      <w:tr>
        <w:trPr>
          <w:trHeight w:val="142"/>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37983).</w:t>
              </w:r>
            </w:hyperlink>
          </w:p>
        </w:tc>
        <w:tc>
          <w:tcPr>
            <w:tcW w:w="28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41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10.5</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49" w:lineRule="auto"/>
        <w:rPr>
          <w:rFonts w:ascii="Arial" w:cs="Arial" w:eastAsia="Arial" w:hAnsi="Arial"/>
          <w:sz w:val="14"/>
          <w:szCs w:val="14"/>
          <w:u w:val="single" w:color="auto"/>
          <w:color w:val="0000FF"/>
        </w:rPr>
      </w:pPr>
      <w:hyperlink r:id="rId101">
        <w:r>
          <w:rPr>
            <w:rFonts w:ascii="Arial" w:cs="Arial" w:eastAsia="Arial" w:hAnsi="Arial"/>
            <w:sz w:val="14"/>
            <w:szCs w:val="14"/>
            <w:u w:val="single" w:color="auto"/>
            <w:color w:val="0000FF"/>
          </w:rPr>
          <w:t>Amendment and Restatement Agreement to €500,000,000 Facility Agreement dated as of June 12, 2020 between TechnipFMC plc and Technip</w:t>
        </w:r>
      </w:hyperlink>
      <w:r>
        <w:rPr>
          <w:rFonts w:ascii="Arial" w:cs="Arial" w:eastAsia="Arial" w:hAnsi="Arial"/>
          <w:sz w:val="14"/>
          <w:szCs w:val="14"/>
          <w:u w:val="single" w:color="auto"/>
          <w:color w:val="0000FF"/>
        </w:rPr>
        <w:t xml:space="preserve"> </w:t>
      </w:r>
      <w:hyperlink r:id="rId101">
        <w:r>
          <w:rPr>
            <w:rFonts w:ascii="Arial" w:cs="Arial" w:eastAsia="Arial" w:hAnsi="Arial"/>
            <w:sz w:val="14"/>
            <w:szCs w:val="14"/>
            <w:u w:val="single" w:color="auto"/>
            <w:color w:val="0000FF"/>
          </w:rPr>
          <w:t>Eurocash SNC, as borrowers; HSBC France, as Agent; and the lenders party thereto (incorporated by reference from Exhibit 10.2 to the Current Report</w:t>
        </w:r>
      </w:hyperlink>
      <w:r>
        <w:rPr>
          <w:rFonts w:ascii="Arial" w:cs="Arial" w:eastAsia="Arial" w:hAnsi="Arial"/>
          <w:sz w:val="14"/>
          <w:szCs w:val="14"/>
          <w:u w:val="single" w:color="auto"/>
          <w:color w:val="0000FF"/>
        </w:rPr>
        <w:t xml:space="preserve"> </w:t>
      </w:r>
      <w:hyperlink r:id="rId101">
        <w:r>
          <w:rPr>
            <w:rFonts w:ascii="Arial" w:cs="Arial" w:eastAsia="Arial" w:hAnsi="Arial"/>
            <w:sz w:val="14"/>
            <w:szCs w:val="14"/>
            <w:u w:val="single" w:color="auto"/>
            <w:color w:val="0000FF"/>
          </w:rPr>
          <w:t>on Form 8-K filed on June 15, 2020) (File No. 001-37983).</w:t>
        </w:r>
      </w:hyperlink>
    </w:p>
    <w:p>
      <w:pPr>
        <w:spacing w:after="0" w:line="25"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Certification of Chief Executive Officer Pursuant to Rule 13a-14(a) and Rule 15d-14(a).</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-984885</wp:posOffset>
            </wp:positionH>
            <wp:positionV relativeFrom="paragraph">
              <wp:posOffset>23495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w:anchor="page66">
        <w:r>
          <w:rPr>
            <w:rFonts w:ascii="Arial" w:cs="Arial" w:eastAsia="Arial" w:hAnsi="Arial"/>
            <w:sz w:val="14"/>
            <w:szCs w:val="14"/>
            <w:u w:val="single" w:color="auto"/>
            <w:color w:val="0000FF"/>
          </w:rPr>
          <w:t>Certification of Chief Financial Officer Pursuant to Rule 13a-14(a) and Rule 15d-14(a).</w:t>
        </w:r>
      </w:hyperlink>
    </w:p>
    <w:p>
      <w:pPr>
        <w:spacing w:after="0" w:line="55" w:lineRule="exact"/>
        <w:rPr>
          <w:rFonts w:ascii="Arial" w:cs="Arial" w:eastAsia="Arial" w:hAnsi="Arial"/>
          <w:sz w:val="14"/>
          <w:szCs w:val="14"/>
          <w:u w:val="single" w:color="auto"/>
          <w:color w:val="0000FF"/>
        </w:rPr>
      </w:pPr>
    </w:p>
    <w:p>
      <w:pPr>
        <w:spacing w:after="0"/>
        <w:rPr>
          <w:rFonts w:ascii="Arial" w:cs="Arial" w:eastAsia="Arial" w:hAnsi="Arial"/>
          <w:sz w:val="14"/>
          <w:szCs w:val="14"/>
          <w:color w:val="0000FF"/>
        </w:rPr>
      </w:pPr>
      <w:hyperlink w:anchor="page67">
        <w:r>
          <w:rPr>
            <w:rFonts w:ascii="Arial" w:cs="Arial" w:eastAsia="Arial" w:hAnsi="Arial"/>
            <w:sz w:val="14"/>
            <w:szCs w:val="14"/>
            <w:u w:val="single" w:color="auto"/>
            <w:color w:val="0000FF"/>
          </w:rPr>
          <w:t>Certification of Chief Executive Officer Under Section 906 of the Sarbanes-Oxley Act of 2002, 18 U.S.C. 1350</w:t>
        </w:r>
        <w:r>
          <w:rPr>
            <w:rFonts w:ascii="Arial" w:cs="Arial" w:eastAsia="Arial" w:hAnsi="Arial"/>
            <w:sz w:val="14"/>
            <w:szCs w:val="14"/>
            <w:color w:val="0000FF"/>
          </w:rPr>
          <w:t>.</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-984885</wp:posOffset>
            </wp:positionH>
            <wp:positionV relativeFrom="paragraph">
              <wp:posOffset>23495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w:anchor="page68">
        <w:r>
          <w:rPr>
            <w:rFonts w:ascii="Arial" w:cs="Arial" w:eastAsia="Arial" w:hAnsi="Arial"/>
            <w:sz w:val="14"/>
            <w:szCs w:val="14"/>
            <w:u w:val="single" w:color="auto"/>
            <w:color w:val="0000FF"/>
          </w:rPr>
          <w:t>Certification of Chief Financial Officer Under Section 906 of the Sarbanes-Oxley Act of 2002, 18 U.S.C. 1350.</w:t>
        </w:r>
      </w:hyperlink>
    </w:p>
    <w:p>
      <w:pPr>
        <w:spacing w:after="0" w:line="69" w:lineRule="exact"/>
        <w:rPr>
          <w:rFonts w:ascii="Arial" w:cs="Arial" w:eastAsia="Arial" w:hAnsi="Arial"/>
          <w:sz w:val="14"/>
          <w:szCs w:val="14"/>
          <w:u w:val="single" w:color="auto"/>
          <w:color w:val="0000FF"/>
        </w:rPr>
      </w:pPr>
    </w:p>
    <w:p>
      <w:pPr>
        <w:ind w:right="120"/>
        <w:spacing w:after="0" w:line="258" w:lineRule="auto"/>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 XBRL document.</w:t>
      </w:r>
    </w:p>
    <w:p>
      <w:pPr>
        <w:spacing w:after="0" w:line="8" w:lineRule="exact"/>
        <w:rPr>
          <w:rFonts w:ascii="Arial" w:cs="Arial" w:eastAsia="Arial" w:hAnsi="Arial"/>
          <w:sz w:val="14"/>
          <w:szCs w:val="14"/>
          <w:u w:val="single" w:color="auto"/>
          <w:color w:val="0000FF"/>
        </w:rPr>
      </w:pPr>
    </w:p>
    <w:p>
      <w:pPr>
        <w:sectPr>
          <w:pgSz w:w="11900" w:h="16838" w:orient="portrait"/>
          <w:cols w:equalWidth="0" w:num="2">
            <w:col w:w="840" w:space="720"/>
            <w:col w:w="968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10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Inline XBRL Taxonomy Extension Schema Document.</w:t>
            </w:r>
          </w:p>
        </w:tc>
      </w:tr>
      <w:tr>
        <w:trPr>
          <w:trHeight w:val="210"/>
        </w:trPr>
        <w:tc>
          <w:tcPr>
            <w:tcW w:w="1080" w:type="dxa"/>
            <w:vAlign w:val="bottom"/>
          </w:tcPr>
          <w:p>
            <w:pPr>
              <w:ind w:left="20"/>
              <w:spacing w:after="0"/>
              <w:rPr>
                <w:sz w:val="20"/>
                <w:szCs w:val="20"/>
                <w:color w:val="auto"/>
              </w:rPr>
            </w:pPr>
            <w:r>
              <w:rPr>
                <w:rFonts w:ascii="Arial" w:cs="Arial" w:eastAsia="Arial" w:hAnsi="Arial"/>
                <w:sz w:val="14"/>
                <w:szCs w:val="14"/>
                <w:color w:val="auto"/>
              </w:rPr>
              <w:t>101.CAL</w:t>
            </w:r>
          </w:p>
        </w:tc>
        <w:tc>
          <w:tcPr>
            <w:tcW w:w="10160" w:type="dxa"/>
            <w:vAlign w:val="bottom"/>
          </w:tcPr>
          <w:p>
            <w:pPr>
              <w:ind w:left="48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22"/>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10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10"/>
        </w:trPr>
        <w:tc>
          <w:tcPr>
            <w:tcW w:w="1080" w:type="dxa"/>
            <w:vAlign w:val="bottom"/>
          </w:tcPr>
          <w:p>
            <w:pPr>
              <w:ind w:left="20"/>
              <w:spacing w:after="0"/>
              <w:rPr>
                <w:sz w:val="20"/>
                <w:szCs w:val="20"/>
                <w:color w:val="auto"/>
              </w:rPr>
            </w:pPr>
            <w:r>
              <w:rPr>
                <w:rFonts w:ascii="Arial" w:cs="Arial" w:eastAsia="Arial" w:hAnsi="Arial"/>
                <w:sz w:val="14"/>
                <w:szCs w:val="14"/>
                <w:color w:val="auto"/>
              </w:rPr>
              <w:t>101.LAB</w:t>
            </w:r>
          </w:p>
        </w:tc>
        <w:tc>
          <w:tcPr>
            <w:tcW w:w="10160" w:type="dxa"/>
            <w:vAlign w:val="bottom"/>
          </w:tcPr>
          <w:p>
            <w:pPr>
              <w:ind w:left="48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22"/>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10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32" w:lineRule="exact"/>
        <w:rPr>
          <w:rFonts w:ascii="Arial" w:cs="Arial" w:eastAsia="Arial" w:hAnsi="Arial"/>
          <w:sz w:val="14"/>
          <w:szCs w:val="14"/>
          <w:u w:val="single" w:color="auto"/>
          <w:color w:val="0000FF"/>
        </w:rPr>
      </w:pPr>
    </w:p>
    <w:p>
      <w:pPr>
        <w:ind w:right="3980" w:firstLine="26"/>
        <w:spacing w:after="0" w:line="701" w:lineRule="auto"/>
        <w:tabs>
          <w:tab w:leader="none" w:pos="1557" w:val="left"/>
        </w:tabs>
        <w:numPr>
          <w:ilvl w:val="1"/>
          <w:numId w:val="2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Furnished with this Quarterly Report on Form 10-Q.</w:t>
      </w: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317" w:lineRule="exact"/>
        <w:rPr>
          <w:rFonts w:ascii="Arial" w:cs="Arial" w:eastAsia="Arial" w:hAnsi="Arial"/>
          <w:sz w:val="14"/>
          <w:szCs w:val="14"/>
          <w:u w:val="single" w:color="auto"/>
          <w:color w:val="0000FF"/>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63" w:name="page64"/>
    <w:bookmarkEnd w:id="63"/>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692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Krisztina Doroghazi</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Controller and Chief Accounting Officer</w:t>
      </w:r>
    </w:p>
    <w:p>
      <w:pPr>
        <w:ind w:left="2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1251" w:right="45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53" w:lineRule="auto"/>
        <w:tabs>
          <w:tab w:leader="none" w:pos="12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160" w:hanging="320"/>
        <w:spacing w:after="0" w:line="253" w:lineRule="auto"/>
        <w:tabs>
          <w:tab w:leader="none" w:pos="12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right="160" w:hanging="320"/>
        <w:spacing w:after="0" w:line="260" w:lineRule="auto"/>
        <w:tabs>
          <w:tab w:leader="none" w:pos="12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53" w:lineRule="auto"/>
        <w:tabs>
          <w:tab w:leader="none" w:pos="12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740" w:hanging="320"/>
        <w:spacing w:after="0" w:line="260" w:lineRule="auto"/>
        <w:tabs>
          <w:tab w:leader="none" w:pos="12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360" w:hanging="320"/>
        <w:spacing w:after="0" w:line="260" w:lineRule="auto"/>
        <w:tabs>
          <w:tab w:leader="none" w:pos="12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2020</w:t>
      </w:r>
    </w:p>
    <w:p>
      <w:pPr>
        <w:spacing w:after="0" w:line="221"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19050</wp:posOffset>
            </wp:positionV>
            <wp:extent cx="29832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53"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53" w:lineRule="auto"/>
        <w:tabs>
          <w:tab w:leader="none" w:pos="1219"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160" w:hanging="320"/>
        <w:spacing w:after="0" w:line="253" w:lineRule="auto"/>
        <w:tabs>
          <w:tab w:leader="none" w:pos="1219"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right="160" w:hanging="320"/>
        <w:spacing w:after="0" w:line="260" w:lineRule="auto"/>
        <w:tabs>
          <w:tab w:leader="none" w:pos="12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53" w:lineRule="auto"/>
        <w:tabs>
          <w:tab w:leader="none" w:pos="1219"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740" w:hanging="320"/>
        <w:spacing w:after="0" w:line="260" w:lineRule="auto"/>
        <w:tabs>
          <w:tab w:leader="none" w:pos="12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360" w:hanging="320"/>
        <w:spacing w:after="0" w:line="260" w:lineRule="auto"/>
        <w:tabs>
          <w:tab w:leader="none" w:pos="12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2020</w:t>
      </w:r>
    </w:p>
    <w:p>
      <w:pPr>
        <w:spacing w:after="0" w:line="221"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19050</wp:posOffset>
            </wp:positionV>
            <wp:extent cx="29832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5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Maryann T. Mannen</w:t>
      </w:r>
    </w:p>
    <w:p>
      <w:pPr>
        <w:spacing w:after="0" w:line="59"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48" w:lineRule="exact"/>
        <w:rPr>
          <w:sz w:val="20"/>
          <w:szCs w:val="20"/>
          <w:color w:val="auto"/>
        </w:rPr>
      </w:pPr>
    </w:p>
    <w:p>
      <w:pPr>
        <w:ind w:right="360" w:firstLine="8"/>
        <w:spacing w:after="0" w:line="260" w:lineRule="auto"/>
        <w:tabs>
          <w:tab w:leader="none" w:pos="2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2020,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2020</w:t>
      </w:r>
    </w:p>
    <w:p>
      <w:pPr>
        <w:spacing w:after="0" w:line="275"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19050</wp:posOffset>
            </wp:positionV>
            <wp:extent cx="2983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3"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48" w:lineRule="exact"/>
        <w:rPr>
          <w:sz w:val="20"/>
          <w:szCs w:val="20"/>
          <w:color w:val="auto"/>
        </w:rPr>
      </w:pPr>
    </w:p>
    <w:p>
      <w:pPr>
        <w:ind w:right="360" w:firstLine="8"/>
        <w:spacing w:after="0" w:line="260" w:lineRule="auto"/>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2020,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2020</w:t>
      </w:r>
    </w:p>
    <w:p>
      <w:pPr>
        <w:spacing w:after="0" w:line="275"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19050</wp:posOffset>
            </wp:positionV>
            <wp:extent cx="32404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Maryann T. Mannen</w:t>
      </w:r>
    </w:p>
    <w:p>
      <w:pPr>
        <w:spacing w:after="0" w:line="59"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decimal"/>
      <w:start w:val="820"/>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endash "/>
      <w:numFmt w:val="bullet"/>
      <w:start w:val="1"/>
    </w:lvl>
  </w:abstractNum>
  <w:abstractNum w:abstractNumId="20">
    <w:nsid w:val="8EDBDAB"/>
    <w:multiLevelType w:val="hybridMultilevel"/>
    <w:lvl w:ilvl="0">
      <w:lvlJc w:val="left"/>
      <w:lvlText w:val="\endash "/>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0"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96" Type="http://schemas.openxmlformats.org/officeDocument/2006/relationships/hyperlink" Target="http://www.sec.gov/Archives/edgar/data/1681459/000168145920000085/exhibit101-ccffxdealer.htm" TargetMode="External"/><Relationship Id="rId97" Type="http://schemas.openxmlformats.org/officeDocument/2006/relationships/hyperlink" Target="http://www.sec.gov/Archives/edgar/data/1681459/000168145920000085/exhibit102-ccffxipaagr.htm" TargetMode="External"/><Relationship Id="rId98" Type="http://schemas.openxmlformats.org/officeDocument/2006/relationships/hyperlink" Target="http://www.sec.gov/Archives/edgar/data/1681459/000168145920000085/exhibit103-facilityagr.htm" TargetMode="External"/><Relationship Id="rId99" Type="http://schemas.openxmlformats.org/officeDocument/2006/relationships/hyperlink" Target="http://www.sec.gov/Archives/edgar/data/1681459/000114036120013799/ex10_1.htm" TargetMode="External"/><Relationship Id="rId101" Type="http://schemas.openxmlformats.org/officeDocument/2006/relationships/hyperlink" Target="http://www.sec.gov/Archives/edgar/data/1681459/00011403612001379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2020-07-31T15:08:51Z</dcterms:created>
  <dcterms:modified xsi:type="dcterms:W3CDTF">2020-07-31T15:08:51Z</dcterms:modified>
</cp:coreProperties>
</file>