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20,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3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3220" w:type="dxa"/>
            <w:vAlign w:val="bottom"/>
          </w:tcPr>
          <w:p>
            <w:pPr>
              <w:jc w:val="center"/>
              <w:ind w:right="420"/>
              <w:spacing w:after="0"/>
              <w:rPr>
                <w:sz w:val="20"/>
                <w:szCs w:val="20"/>
                <w:color w:val="auto"/>
              </w:rPr>
            </w:pPr>
            <w:r>
              <w:rPr>
                <w:rFonts w:ascii="Arial" w:cs="Arial" w:eastAsia="Arial" w:hAnsi="Arial"/>
                <w:sz w:val="18"/>
                <w:szCs w:val="18"/>
                <w:b w:val="1"/>
                <w:bCs w:val="1"/>
                <w:color w:val="auto"/>
              </w:rPr>
              <w:t>United Kingdom</w:t>
            </w:r>
          </w:p>
        </w:tc>
        <w:tc>
          <w:tcPr>
            <w:tcW w:w="3680" w:type="dxa"/>
            <w:vAlign w:val="bottom"/>
          </w:tcPr>
          <w:p>
            <w:pPr>
              <w:jc w:val="right"/>
              <w:ind w:right="1221"/>
              <w:spacing w:after="0"/>
              <w:rPr>
                <w:sz w:val="20"/>
                <w:szCs w:val="20"/>
                <w:color w:val="auto"/>
              </w:rPr>
            </w:pPr>
            <w:r>
              <w:rPr>
                <w:rFonts w:ascii="Arial" w:cs="Arial" w:eastAsia="Arial" w:hAnsi="Arial"/>
                <w:sz w:val="18"/>
                <w:szCs w:val="18"/>
                <w:b w:val="1"/>
                <w:bCs w:val="1"/>
                <w:color w:val="auto"/>
              </w:rPr>
              <w:t>001-37983</w:t>
            </w:r>
          </w:p>
        </w:tc>
        <w:tc>
          <w:tcPr>
            <w:tcW w:w="320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3220" w:type="dxa"/>
            <w:vAlign w:val="bottom"/>
          </w:tcPr>
          <w:p>
            <w:pPr>
              <w:jc w:val="center"/>
              <w:ind w:right="420"/>
              <w:spacing w:after="0"/>
              <w:rPr>
                <w:sz w:val="20"/>
                <w:szCs w:val="20"/>
                <w:color w:val="auto"/>
              </w:rPr>
            </w:pPr>
            <w:r>
              <w:rPr>
                <w:rFonts w:ascii="Arial" w:cs="Arial" w:eastAsia="Arial" w:hAnsi="Arial"/>
                <w:sz w:val="14"/>
                <w:szCs w:val="14"/>
                <w:color w:val="auto"/>
              </w:rPr>
              <w:t>(State or other jurisdiction of incorporation)</w:t>
            </w: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(Commission File Number)</w:t>
            </w:r>
          </w:p>
        </w:tc>
        <w:tc>
          <w:tcPr>
            <w:tcW w:w="3200" w:type="dxa"/>
            <w:vAlign w:val="bottom"/>
          </w:tcPr>
          <w:p>
            <w:pPr>
              <w:jc w:val="center"/>
              <w:ind w:left="922"/>
              <w:spacing w:after="0"/>
              <w:rPr>
                <w:sz w:val="20"/>
                <w:szCs w:val="20"/>
                <w:color w:val="auto"/>
              </w:rPr>
            </w:pPr>
            <w:r>
              <w:rPr>
                <w:rFonts w:ascii="Arial" w:cs="Arial" w:eastAsia="Arial" w:hAnsi="Arial"/>
                <w:sz w:val="14"/>
                <w:szCs w:val="14"/>
                <w:color w:val="auto"/>
              </w:rPr>
              <w:t>(I.R.S. Employer Identification No.)</w:t>
            </w:r>
          </w:p>
        </w:tc>
      </w:tr>
      <w:tr>
        <w:trPr>
          <w:trHeight w:val="552"/>
        </w:trPr>
        <w:tc>
          <w:tcPr>
            <w:tcW w:w="3220" w:type="dxa"/>
            <w:vAlign w:val="bottom"/>
          </w:tcPr>
          <w:p>
            <w:pPr>
              <w:jc w:val="center"/>
              <w:ind w:right="380"/>
              <w:spacing w:after="0"/>
              <w:rPr>
                <w:sz w:val="20"/>
                <w:szCs w:val="20"/>
                <w:color w:val="auto"/>
              </w:rPr>
            </w:pPr>
            <w:r>
              <w:rPr>
                <w:rFonts w:ascii="Arial" w:cs="Arial" w:eastAsia="Arial" w:hAnsi="Arial"/>
                <w:sz w:val="18"/>
                <w:szCs w:val="18"/>
                <w:b w:val="1"/>
                <w:bCs w:val="1"/>
                <w:color w:val="auto"/>
                <w:w w:val="99"/>
              </w:rPr>
              <w:t>Hadrian House,</w:t>
            </w:r>
          </w:p>
        </w:tc>
        <w:tc>
          <w:tcPr>
            <w:tcW w:w="36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0"/>
        </w:trPr>
        <w:tc>
          <w:tcPr>
            <w:tcW w:w="3220" w:type="dxa"/>
            <w:vAlign w:val="bottom"/>
          </w:tcPr>
          <w:p>
            <w:pPr>
              <w:jc w:val="center"/>
              <w:ind w:right="400"/>
              <w:spacing w:after="0"/>
              <w:rPr>
                <w:sz w:val="20"/>
                <w:szCs w:val="20"/>
                <w:color w:val="auto"/>
              </w:rPr>
            </w:pPr>
            <w:r>
              <w:rPr>
                <w:rFonts w:ascii="Arial" w:cs="Arial" w:eastAsia="Arial" w:hAnsi="Arial"/>
                <w:sz w:val="18"/>
                <w:szCs w:val="18"/>
                <w:b w:val="1"/>
                <w:bCs w:val="1"/>
                <w:color w:val="auto"/>
                <w:w w:val="98"/>
              </w:rPr>
              <w:t>Wincomblee Road</w:t>
            </w:r>
          </w:p>
        </w:tc>
        <w:tc>
          <w:tcPr>
            <w:tcW w:w="3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9"/>
        </w:trPr>
        <w:tc>
          <w:tcPr>
            <w:tcW w:w="3220" w:type="dxa"/>
            <w:vAlign w:val="bottom"/>
          </w:tcPr>
          <w:p>
            <w:pPr>
              <w:jc w:val="center"/>
              <w:ind w:right="400"/>
              <w:spacing w:after="0"/>
              <w:rPr>
                <w:sz w:val="20"/>
                <w:szCs w:val="20"/>
                <w:color w:val="auto"/>
              </w:rPr>
            </w:pPr>
            <w:r>
              <w:rPr>
                <w:rFonts w:ascii="Arial" w:cs="Arial" w:eastAsia="Arial" w:hAnsi="Arial"/>
                <w:sz w:val="18"/>
                <w:szCs w:val="18"/>
                <w:b w:val="1"/>
                <w:bCs w:val="1"/>
                <w:color w:val="auto"/>
                <w:w w:val="99"/>
              </w:rPr>
              <w:t>Newcastle Upon Tyne</w:t>
            </w:r>
          </w:p>
        </w:tc>
        <w:tc>
          <w:tcPr>
            <w:tcW w:w="3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39"/>
        </w:trPr>
        <w:tc>
          <w:tcPr>
            <w:tcW w:w="3220" w:type="dxa"/>
            <w:vAlign w:val="bottom"/>
          </w:tcPr>
          <w:p>
            <w:pPr>
              <w:jc w:val="center"/>
              <w:ind w:right="400"/>
              <w:spacing w:after="0"/>
              <w:rPr>
                <w:sz w:val="20"/>
                <w:szCs w:val="20"/>
                <w:color w:val="auto"/>
              </w:rPr>
            </w:pPr>
            <w:r>
              <w:rPr>
                <w:rFonts w:ascii="Arial" w:cs="Arial" w:eastAsia="Arial" w:hAnsi="Arial"/>
                <w:sz w:val="18"/>
                <w:szCs w:val="18"/>
                <w:b w:val="1"/>
                <w:bCs w:val="1"/>
                <w:color w:val="auto"/>
                <w:w w:val="99"/>
              </w:rPr>
              <w:t>United Kingdom</w:t>
            </w:r>
          </w:p>
        </w:tc>
        <w:tc>
          <w:tcPr>
            <w:tcW w:w="3680" w:type="dxa"/>
            <w:vAlign w:val="bottom"/>
          </w:tcPr>
          <w:p>
            <w:pPr>
              <w:spacing w:after="0"/>
              <w:rPr>
                <w:sz w:val="20"/>
                <w:szCs w:val="20"/>
                <w:color w:val="auto"/>
              </w:rPr>
            </w:pPr>
          </w:p>
        </w:tc>
        <w:tc>
          <w:tcPr>
            <w:tcW w:w="3200" w:type="dxa"/>
            <w:vAlign w:val="bottom"/>
          </w:tcPr>
          <w:p>
            <w:pPr>
              <w:jc w:val="center"/>
              <w:ind w:left="882"/>
              <w:spacing w:after="0"/>
              <w:rPr>
                <w:sz w:val="20"/>
                <w:szCs w:val="20"/>
                <w:color w:val="auto"/>
              </w:rPr>
            </w:pPr>
            <w:r>
              <w:rPr>
                <w:rFonts w:ascii="Arial" w:cs="Arial" w:eastAsia="Arial" w:hAnsi="Arial"/>
                <w:sz w:val="18"/>
                <w:szCs w:val="18"/>
                <w:b w:val="1"/>
                <w:bCs w:val="1"/>
                <w:color w:val="auto"/>
                <w:w w:val="98"/>
              </w:rPr>
              <w:t>NE6 3PL</w:t>
            </w:r>
          </w:p>
        </w:tc>
      </w:tr>
      <w:tr>
        <w:trPr>
          <w:trHeight w:val="190"/>
        </w:trPr>
        <w:tc>
          <w:tcPr>
            <w:tcW w:w="3220" w:type="dxa"/>
            <w:vAlign w:val="bottom"/>
          </w:tcPr>
          <w:p>
            <w:pPr>
              <w:jc w:val="center"/>
              <w:ind w:right="400"/>
              <w:spacing w:after="0"/>
              <w:rPr>
                <w:sz w:val="20"/>
                <w:szCs w:val="20"/>
                <w:color w:val="auto"/>
              </w:rPr>
            </w:pPr>
            <w:r>
              <w:rPr>
                <w:rFonts w:ascii="Arial" w:cs="Arial" w:eastAsia="Arial" w:hAnsi="Arial"/>
                <w:sz w:val="14"/>
                <w:szCs w:val="14"/>
                <w:color w:val="auto"/>
              </w:rPr>
              <w:t>(Address of principal executive offices)</w:t>
            </w:r>
          </w:p>
        </w:tc>
        <w:tc>
          <w:tcPr>
            <w:tcW w:w="3680" w:type="dxa"/>
            <w:vAlign w:val="bottom"/>
          </w:tcPr>
          <w:p>
            <w:pPr>
              <w:spacing w:after="0"/>
              <w:rPr>
                <w:sz w:val="16"/>
                <w:szCs w:val="16"/>
                <w:color w:val="auto"/>
              </w:rPr>
            </w:pPr>
          </w:p>
        </w:tc>
        <w:tc>
          <w:tcPr>
            <w:tcW w:w="3200" w:type="dxa"/>
            <w:vAlign w:val="bottom"/>
          </w:tcPr>
          <w:p>
            <w:pPr>
              <w:jc w:val="center"/>
              <w:ind w:left="882"/>
              <w:spacing w:after="0"/>
              <w:rPr>
                <w:sz w:val="20"/>
                <w:szCs w:val="20"/>
                <w:color w:val="auto"/>
              </w:rPr>
            </w:pPr>
            <w:r>
              <w:rPr>
                <w:rFonts w:ascii="Arial" w:cs="Arial" w:eastAsia="Arial" w:hAnsi="Arial"/>
                <w:sz w:val="14"/>
                <w:szCs w:val="14"/>
                <w:color w:val="auto"/>
              </w:rPr>
              <w:t>(Zip Code)</w:t>
            </w:r>
          </w:p>
        </w:tc>
      </w:tr>
      <w:tr>
        <w:trPr>
          <w:trHeight w:val="350"/>
        </w:trPr>
        <w:tc>
          <w:tcPr>
            <w:tcW w:w="3220" w:type="dxa"/>
            <w:vAlign w:val="bottom"/>
          </w:tcPr>
          <w:p>
            <w:pPr>
              <w:spacing w:after="0"/>
              <w:rPr>
                <w:sz w:val="24"/>
                <w:szCs w:val="24"/>
                <w:color w:val="auto"/>
              </w:rPr>
            </w:pPr>
          </w:p>
        </w:tc>
        <w:tc>
          <w:tcPr>
            <w:tcW w:w="3680" w:type="dxa"/>
            <w:vAlign w:val="bottom"/>
          </w:tcPr>
          <w:p>
            <w:pPr>
              <w:jc w:val="right"/>
              <w:ind w:right="901"/>
              <w:spacing w:after="0"/>
              <w:rPr>
                <w:sz w:val="20"/>
                <w:szCs w:val="20"/>
                <w:color w:val="auto"/>
              </w:rPr>
            </w:pPr>
            <w:r>
              <w:rPr>
                <w:rFonts w:ascii="Arial" w:cs="Arial" w:eastAsia="Arial" w:hAnsi="Arial"/>
                <w:sz w:val="18"/>
                <w:szCs w:val="18"/>
                <w:b w:val="1"/>
                <w:bCs w:val="1"/>
                <w:color w:val="auto"/>
              </w:rPr>
              <w:t>+44 191-295-0303</w:t>
            </w:r>
          </w:p>
        </w:tc>
        <w:tc>
          <w:tcPr>
            <w:tcW w:w="3200" w:type="dxa"/>
            <w:vAlign w:val="bottom"/>
          </w:tcPr>
          <w:p>
            <w:pPr>
              <w:spacing w:after="0"/>
              <w:rPr>
                <w:sz w:val="24"/>
                <w:szCs w:val="24"/>
                <w:color w:val="auto"/>
              </w:rPr>
            </w:pPr>
          </w:p>
        </w:tc>
      </w:tr>
      <w:tr>
        <w:trPr>
          <w:trHeight w:val="217"/>
        </w:trPr>
        <w:tc>
          <w:tcPr>
            <w:tcW w:w="3220" w:type="dxa"/>
            <w:vAlign w:val="bottom"/>
          </w:tcPr>
          <w:p>
            <w:pPr>
              <w:spacing w:after="0"/>
              <w:rPr>
                <w:sz w:val="18"/>
                <w:szCs w:val="18"/>
                <w:color w:val="auto"/>
              </w:rPr>
            </w:pP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(Registrant's telephone number, including area code)</w:t>
            </w:r>
          </w:p>
        </w:tc>
        <w:tc>
          <w:tcPr>
            <w:tcW w:w="3200" w:type="dxa"/>
            <w:vAlign w:val="bottom"/>
          </w:tcPr>
          <w:p>
            <w:pPr>
              <w:spacing w:after="0"/>
              <w:rPr>
                <w:sz w:val="18"/>
                <w:szCs w:val="18"/>
                <w:color w:val="auto"/>
              </w:rPr>
            </w:pPr>
          </w:p>
        </w:tc>
      </w:tr>
      <w:tr>
        <w:trPr>
          <w:trHeight w:val="444"/>
        </w:trPr>
        <w:tc>
          <w:tcPr>
            <w:tcW w:w="3220" w:type="dxa"/>
            <w:vAlign w:val="bottom"/>
          </w:tcPr>
          <w:p>
            <w:pPr>
              <w:spacing w:after="0"/>
              <w:rPr>
                <w:sz w:val="24"/>
                <w:szCs w:val="24"/>
                <w:color w:val="auto"/>
              </w:rPr>
            </w:pPr>
          </w:p>
        </w:tc>
        <w:tc>
          <w:tcPr>
            <w:tcW w:w="3680" w:type="dxa"/>
            <w:vAlign w:val="bottom"/>
          </w:tcPr>
          <w:p>
            <w:pPr>
              <w:jc w:val="center"/>
              <w:ind w:left="181"/>
              <w:spacing w:after="0"/>
              <w:rPr>
                <w:sz w:val="20"/>
                <w:szCs w:val="20"/>
                <w:color w:val="auto"/>
              </w:rPr>
            </w:pPr>
            <w:r>
              <w:rPr>
                <w:rFonts w:ascii="Arial" w:cs="Arial" w:eastAsia="Arial" w:hAnsi="Arial"/>
                <w:sz w:val="18"/>
                <w:szCs w:val="18"/>
                <w:b w:val="1"/>
                <w:bCs w:val="1"/>
                <w:color w:val="auto"/>
                <w:w w:val="99"/>
              </w:rPr>
              <w:t>Not Applicable</w:t>
            </w:r>
          </w:p>
        </w:tc>
        <w:tc>
          <w:tcPr>
            <w:tcW w:w="3200" w:type="dxa"/>
            <w:vAlign w:val="bottom"/>
          </w:tcPr>
          <w:p>
            <w:pPr>
              <w:spacing w:after="0"/>
              <w:rPr>
                <w:sz w:val="24"/>
                <w:szCs w:val="24"/>
                <w:color w:val="auto"/>
              </w:rPr>
            </w:pPr>
          </w:p>
        </w:tc>
      </w:tr>
      <w:tr>
        <w:trPr>
          <w:trHeight w:val="153"/>
        </w:trPr>
        <w:tc>
          <w:tcPr>
            <w:tcW w:w="3220" w:type="dxa"/>
            <w:vAlign w:val="bottom"/>
          </w:tcPr>
          <w:p>
            <w:pPr>
              <w:spacing w:after="0"/>
              <w:rPr>
                <w:sz w:val="13"/>
                <w:szCs w:val="13"/>
                <w:color w:val="auto"/>
              </w:rPr>
            </w:pPr>
          </w:p>
        </w:tc>
        <w:tc>
          <w:tcPr>
            <w:tcW w:w="6880" w:type="dxa"/>
            <w:vAlign w:val="bottom"/>
            <w:gridSpan w:val="2"/>
          </w:tcPr>
          <w:p>
            <w:pPr>
              <w:jc w:val="center"/>
              <w:ind w:right="2862"/>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r>
      <w:tr>
        <w:trPr>
          <w:trHeight w:val="172"/>
        </w:trPr>
        <w:tc>
          <w:tcPr>
            <w:tcW w:w="10100" w:type="dxa"/>
            <w:vAlign w:val="bottom"/>
            <w:gridSpan w:val="3"/>
          </w:tcPr>
          <w:p>
            <w:pPr>
              <w:jc w:val="right"/>
              <w:ind w:right="2682"/>
              <w:spacing w:after="0"/>
              <w:rPr>
                <w:sz w:val="20"/>
                <w:szCs w:val="20"/>
                <w:color w:val="auto"/>
              </w:rPr>
            </w:pPr>
            <w:r>
              <w:rPr>
                <w:rFonts w:ascii="Arial" w:cs="Arial" w:eastAsia="Arial" w:hAnsi="Arial"/>
                <w:sz w:val="14"/>
                <w:szCs w:val="14"/>
                <w:color w:val="auto"/>
              </w:rPr>
              <w:t>______________________________________________________</w:t>
            </w:r>
          </w:p>
        </w:tc>
      </w:tr>
      <w:tr>
        <w:trPr>
          <w:trHeight w:val="296"/>
        </w:trPr>
        <w:tc>
          <w:tcPr>
            <w:tcW w:w="1010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90"/>
        </w:trPr>
        <w:tc>
          <w:tcPr>
            <w:tcW w:w="3220" w:type="dxa"/>
            <w:vAlign w:val="bottom"/>
          </w:tcPr>
          <w:p>
            <w:pPr>
              <w:jc w:val="center"/>
              <w:ind w:left="380"/>
              <w:spacing w:after="0"/>
              <w:rPr>
                <w:sz w:val="20"/>
                <w:szCs w:val="20"/>
                <w:color w:val="auto"/>
              </w:rPr>
            </w:pPr>
            <w:r>
              <w:rPr>
                <w:rFonts w:ascii="Arial" w:cs="Arial" w:eastAsia="Arial" w:hAnsi="Arial"/>
                <w:sz w:val="14"/>
                <w:szCs w:val="14"/>
                <w:b w:val="1"/>
                <w:bCs w:val="1"/>
                <w:color w:val="auto"/>
              </w:rPr>
              <w:t>Title of Each Class</w:t>
            </w:r>
          </w:p>
        </w:tc>
        <w:tc>
          <w:tcPr>
            <w:tcW w:w="3680" w:type="dxa"/>
            <w:vAlign w:val="bottom"/>
          </w:tcPr>
          <w:p>
            <w:pPr>
              <w:jc w:val="center"/>
              <w:ind w:left="161"/>
              <w:spacing w:after="0"/>
              <w:rPr>
                <w:sz w:val="20"/>
                <w:szCs w:val="20"/>
                <w:color w:val="auto"/>
              </w:rPr>
            </w:pPr>
            <w:r>
              <w:rPr>
                <w:rFonts w:ascii="Arial" w:cs="Arial" w:eastAsia="Arial" w:hAnsi="Arial"/>
                <w:sz w:val="14"/>
                <w:szCs w:val="14"/>
                <w:b w:val="1"/>
                <w:bCs w:val="1"/>
                <w:color w:val="auto"/>
              </w:rPr>
              <w:t>Trading Symbol</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220" w:type="dxa"/>
            <w:vAlign w:val="bottom"/>
          </w:tcPr>
          <w:p>
            <w:pPr>
              <w:jc w:val="center"/>
              <w:ind w:left="400"/>
              <w:spacing w:after="0"/>
              <w:rPr>
                <w:sz w:val="20"/>
                <w:szCs w:val="20"/>
                <w:color w:val="auto"/>
              </w:rPr>
            </w:pPr>
            <w:r>
              <w:rPr>
                <w:rFonts w:ascii="Arial" w:cs="Arial" w:eastAsia="Arial" w:hAnsi="Arial"/>
                <w:sz w:val="14"/>
                <w:szCs w:val="14"/>
                <w:color w:val="auto"/>
              </w:rPr>
              <w:t>Ordinary shares, $1.00 par value per share</w:t>
            </w:r>
          </w:p>
        </w:tc>
        <w:tc>
          <w:tcPr>
            <w:tcW w:w="3680" w:type="dxa"/>
            <w:vAlign w:val="bottom"/>
          </w:tcPr>
          <w:p>
            <w:pPr>
              <w:jc w:val="center"/>
              <w:ind w:left="141"/>
              <w:spacing w:after="0"/>
              <w:rPr>
                <w:sz w:val="20"/>
                <w:szCs w:val="20"/>
                <w:color w:val="auto"/>
              </w:rPr>
            </w:pPr>
            <w:r>
              <w:rPr>
                <w:rFonts w:ascii="Arial" w:cs="Arial" w:eastAsia="Arial" w:hAnsi="Arial"/>
                <w:sz w:val="14"/>
                <w:szCs w:val="14"/>
                <w:color w:val="auto"/>
              </w:rPr>
              <w:t>FTI</w:t>
            </w:r>
          </w:p>
        </w:tc>
        <w:tc>
          <w:tcPr>
            <w:tcW w:w="32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79"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October 20, 2021, TechnipFMC plc (the "Company") issued a news release announcing its financial results for the fiscal quarter ended September 30, 2021. A copy of the news release is furnished as Exhibit 99.1 to this report and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the Company dated October 20, 2021</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gridSpan w:val="3"/>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499"/>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3"/>
        </w:trPr>
        <w:tc>
          <w:tcPr>
            <w:tcW w:w="176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504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News Release issued by the Company dated October </w:t>
              </w:r>
            </w:hyperlink>
            <w:r>
              <w:rPr>
                <w:rFonts w:ascii="Arial" w:cs="Arial" w:eastAsia="Arial" w:hAnsi="Arial"/>
                <w:sz w:val="18"/>
                <w:szCs w:val="18"/>
                <w:color w:val="0000FF"/>
                <w:w w:val="99"/>
              </w:rPr>
              <w:t xml:space="preserve">20, </w:t>
            </w:r>
            <w:hyperlink w:anchor="page5">
              <w:r>
                <w:rPr>
                  <w:rFonts w:ascii="Arial" w:cs="Arial" w:eastAsia="Arial" w:hAnsi="Arial"/>
                  <w:sz w:val="18"/>
                  <w:szCs w:val="18"/>
                  <w:color w:val="0000FF"/>
                  <w:w w:val="99"/>
                </w:rPr>
                <w:t>2021</w:t>
              </w:r>
            </w:hyperlink>
          </w:p>
        </w:tc>
        <w:tc>
          <w:tcPr>
            <w:tcW w:w="4320" w:type="dxa"/>
            <w:vAlign w:val="bottom"/>
            <w:gridSpan w:val="2"/>
          </w:tcPr>
          <w:p>
            <w:pPr>
              <w:spacing w:after="0"/>
              <w:rPr>
                <w:sz w:val="15"/>
                <w:szCs w:val="15"/>
                <w:color w:val="auto"/>
              </w:rPr>
            </w:pPr>
          </w:p>
        </w:tc>
      </w:tr>
      <w:tr>
        <w:trPr>
          <w:trHeight w:val="250"/>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979"/>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6350</wp:posOffset>
            </wp:positionV>
            <wp:extent cx="407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October 20, 2021</w:t>
      </w:r>
      <w:r>
        <w:rPr>
          <w:sz w:val="20"/>
          <w:szCs w:val="20"/>
          <w:color w:val="auto"/>
        </w:rPr>
        <w:tab/>
      </w:r>
      <w:r>
        <w:rPr>
          <w:rFonts w:ascii="Arial" w:cs="Arial" w:eastAsia="Arial" w:hAnsi="Arial"/>
          <w:sz w:val="17"/>
          <w:szCs w:val="17"/>
          <w:color w:val="auto"/>
        </w:rPr>
        <w:t>Name: Alf Melin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Third Quarter 2021 Results</w:t>
      </w:r>
    </w:p>
    <w:p>
      <w:pPr>
        <w:spacing w:after="0" w:line="332" w:lineRule="exact"/>
        <w:rPr>
          <w:sz w:val="20"/>
          <w:szCs w:val="20"/>
          <w:color w:val="auto"/>
        </w:rPr>
      </w:pPr>
    </w:p>
    <w:p>
      <w:pPr>
        <w:ind w:left="360" w:hanging="222"/>
        <w:spacing w:after="0"/>
        <w:tabs>
          <w:tab w:leader="none" w:pos="3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Subsea inbound orders of $1.1 billion in the quarter, $3.9 billion for first nine months</w:t>
      </w:r>
    </w:p>
    <w:p>
      <w:pPr>
        <w:spacing w:after="0" w:line="23" w:lineRule="exact"/>
        <w:rPr>
          <w:rFonts w:ascii="Arial" w:cs="Arial" w:eastAsia="Arial" w:hAnsi="Arial"/>
          <w:sz w:val="20"/>
          <w:szCs w:val="20"/>
          <w:b w:val="1"/>
          <w:bCs w:val="1"/>
          <w:color w:val="auto"/>
        </w:rPr>
      </w:pPr>
    </w:p>
    <w:p>
      <w:pPr>
        <w:ind w:left="360" w:hanging="222"/>
        <w:spacing w:after="0"/>
        <w:tabs>
          <w:tab w:leader="none" w:pos="3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flow from operations of $135.9 million; free cash flow of $88.6 million</w:t>
      </w:r>
    </w:p>
    <w:p>
      <w:pPr>
        <w:ind w:left="360" w:hanging="222"/>
        <w:spacing w:after="0"/>
        <w:tabs>
          <w:tab w:leader="none" w:pos="3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and cash equivalents increased to $1.0 billion; net debt reduced by $401 million</w:t>
      </w:r>
    </w:p>
    <w:p>
      <w:pPr>
        <w:spacing w:after="0" w:line="200" w:lineRule="exact"/>
        <w:rPr>
          <w:sz w:val="20"/>
          <w:szCs w:val="20"/>
          <w:color w:val="auto"/>
        </w:rPr>
      </w:pPr>
    </w:p>
    <w:p>
      <w:pPr>
        <w:spacing w:after="0" w:line="262"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b w:val="1"/>
          <w:bCs w:val="1"/>
          <w:color w:val="auto"/>
        </w:rPr>
        <w:t xml:space="preserve">NEWCASTLE &amp; HOUSTON, October 20, 2021 — </w:t>
      </w:r>
      <w:r>
        <w:rPr>
          <w:rFonts w:ascii="Arial" w:cs="Arial" w:eastAsia="Arial" w:hAnsi="Arial"/>
          <w:sz w:val="20"/>
          <w:szCs w:val="20"/>
          <w:color w:val="auto"/>
        </w:rPr>
        <w:t>TechnipFMC plc (NYSE: FTI) (Paris: FTI) today reported third quarter 2021</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Results from Continuing Operations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50" w:type="dxa"/>
        <w:tblCellMar>
          <w:top w:w="0" w:type="dxa"/>
          <w:left w:w="0" w:type="dxa"/>
          <w:bottom w:w="0" w:type="dxa"/>
          <w:right w:w="0" w:type="dxa"/>
        </w:tblCellMar>
      </w:tblPr>
      <w:tr>
        <w:trPr>
          <w:trHeight w:val="224"/>
        </w:trPr>
        <w:tc>
          <w:tcPr>
            <w:tcW w:w="452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400" w:type="dxa"/>
            <w:vAlign w:val="bottom"/>
            <w:tcBorders>
              <w:top w:val="single" w:sz="8" w:color="B8CCE4"/>
              <w:bottom w:val="single" w:sz="8" w:color="B8CCE4"/>
            </w:tcBorders>
          </w:tcPr>
          <w:p>
            <w:pPr>
              <w:spacing w:after="0"/>
              <w:rPr>
                <w:sz w:val="19"/>
                <w:szCs w:val="19"/>
                <w:color w:val="auto"/>
              </w:rPr>
            </w:pPr>
          </w:p>
        </w:tc>
        <w:tc>
          <w:tcPr>
            <w:tcW w:w="1600" w:type="dxa"/>
            <w:vAlign w:val="bottom"/>
            <w:tcBorders>
              <w:top w:val="single" w:sz="8" w:color="B8CCE4"/>
              <w:bottom w:val="single" w:sz="8" w:color="B8CCE4"/>
            </w:tcBorders>
            <w:gridSpan w:val="2"/>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top w:val="single" w:sz="8" w:color="B8CCE4"/>
              <w:bottom w:val="single" w:sz="8" w:color="B8CCE4"/>
              <w:right w:val="single" w:sz="8" w:color="B8CCE4"/>
            </w:tcBorders>
          </w:tcPr>
          <w:p>
            <w:pPr>
              <w:spacing w:after="0"/>
              <w:rPr>
                <w:sz w:val="19"/>
                <w:szCs w:val="19"/>
                <w:color w:val="auto"/>
              </w:rPr>
            </w:pPr>
          </w:p>
        </w:tc>
        <w:tc>
          <w:tcPr>
            <w:tcW w:w="2480" w:type="dxa"/>
            <w:vAlign w:val="bottom"/>
            <w:tcBorders>
              <w:top w:val="single" w:sz="8" w:color="B8CCE4"/>
              <w:bottom w:val="single" w:sz="8" w:color="B8CCE4"/>
              <w:right w:val="single" w:sz="8" w:color="B8CCE4"/>
            </w:tcBorders>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520" w:type="dxa"/>
            <w:vAlign w:val="bottom"/>
            <w:tcBorders>
              <w:left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0" w:type="dxa"/>
            <w:vAlign w:val="bottom"/>
            <w:tcBorders>
              <w:right w:val="single" w:sz="8" w:color="B8CCE4"/>
            </w:tcBorders>
          </w:tcPr>
          <w:p>
            <w:pPr>
              <w:jc w:val="right"/>
              <w:ind w:right="353"/>
              <w:spacing w:after="0"/>
              <w:rPr>
                <w:sz w:val="20"/>
                <w:szCs w:val="20"/>
                <w:color w:val="auto"/>
              </w:rPr>
            </w:pPr>
            <w:r>
              <w:rPr>
                <w:rFonts w:ascii="Arial" w:cs="Arial" w:eastAsia="Arial" w:hAnsi="Arial"/>
                <w:sz w:val="14"/>
                <w:szCs w:val="14"/>
                <w:b w:val="1"/>
                <w:bCs w:val="1"/>
                <w:color w:val="auto"/>
              </w:rPr>
              <w:t>Sep. 30,</w:t>
            </w:r>
          </w:p>
        </w:tc>
        <w:tc>
          <w:tcPr>
            <w:tcW w:w="14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14"/>
                <w:szCs w:val="14"/>
                <w:color w:val="auto"/>
              </w:rPr>
            </w:pPr>
          </w:p>
        </w:tc>
        <w:tc>
          <w:tcPr>
            <w:tcW w:w="1200" w:type="dxa"/>
            <w:vAlign w:val="bottom"/>
            <w:tcBorders>
              <w:right w:val="single" w:sz="8" w:color="B8CCE4"/>
            </w:tcBorders>
          </w:tcPr>
          <w:p>
            <w:pPr>
              <w:jc w:val="right"/>
              <w:ind w:right="353"/>
              <w:spacing w:after="0"/>
              <w:rPr>
                <w:sz w:val="20"/>
                <w:szCs w:val="20"/>
                <w:color w:val="auto"/>
              </w:rPr>
            </w:pPr>
            <w:r>
              <w:rPr>
                <w:rFonts w:ascii="Arial" w:cs="Arial" w:eastAsia="Arial" w:hAnsi="Arial"/>
                <w:sz w:val="14"/>
                <w:szCs w:val="14"/>
                <w:b w:val="1"/>
                <w:bCs w:val="1"/>
                <w:color w:val="auto"/>
              </w:rPr>
              <w:t>Sep. 30,</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4520" w:type="dxa"/>
            <w:vAlign w:val="bottom"/>
            <w:tcBorders>
              <w:left w:val="single" w:sz="8" w:color="B8CCE4"/>
              <w:bottom w:val="single" w:sz="8" w:color="B8CCE4"/>
              <w:right w:val="single" w:sz="8" w:color="B8CCE4"/>
            </w:tcBorders>
          </w:tcPr>
          <w:p>
            <w:pPr>
              <w:spacing w:after="0"/>
              <w:rPr>
                <w:sz w:val="14"/>
                <w:szCs w:val="14"/>
                <w:color w:val="auto"/>
              </w:rPr>
            </w:pPr>
          </w:p>
        </w:tc>
        <w:tc>
          <w:tcPr>
            <w:tcW w:w="1400" w:type="dxa"/>
            <w:vAlign w:val="bottom"/>
            <w:tcBorders>
              <w:bottom w:val="single" w:sz="8" w:color="B8CCE4"/>
              <w:right w:val="single" w:sz="8" w:color="B8CCE4"/>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B8CCE4"/>
            </w:tcBorders>
          </w:tcPr>
          <w:p>
            <w:pPr>
              <w:spacing w:after="0"/>
              <w:rPr>
                <w:sz w:val="14"/>
                <w:szCs w:val="14"/>
                <w:color w:val="auto"/>
              </w:rPr>
            </w:pPr>
          </w:p>
        </w:tc>
        <w:tc>
          <w:tcPr>
            <w:tcW w:w="1200" w:type="dxa"/>
            <w:vAlign w:val="bottom"/>
            <w:tcBorders>
              <w:bottom w:val="single" w:sz="8" w:color="B8CCE4"/>
              <w:right w:val="single" w:sz="8" w:color="B8CCE4"/>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Revenue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$1,579.4</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$1,668.8</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$1,727.5</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(5.4%)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($40.6)</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($64.7)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$(0.09)</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$(0.14)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4520" w:type="dxa"/>
            <w:vAlign w:val="bottom"/>
            <w:tcBorders>
              <w:left w:val="single" w:sz="8" w:color="B8CCE4"/>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200" w:type="dxa"/>
            <w:vAlign w:val="bottom"/>
            <w:tcBorders>
              <w:bottom w:val="single" w:sz="8" w:color="B8CCE4"/>
            </w:tcBorders>
          </w:tcPr>
          <w:p>
            <w:pPr>
              <w:spacing w:after="0"/>
              <w:rPr>
                <w:sz w:val="21"/>
                <w:szCs w:val="21"/>
                <w:color w:val="auto"/>
              </w:rPr>
            </w:pPr>
          </w:p>
        </w:tc>
        <w:tc>
          <w:tcPr>
            <w:tcW w:w="120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$140.6</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$121.1</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16.1%</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8.9 %</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8.6 %</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7.0 %</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30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190 bps</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income (loss)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$(25.0)</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$(19.7)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diluted earnings (loss) per share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$(0.06)</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4520" w:type="dxa"/>
            <w:vAlign w:val="bottom"/>
            <w:tcBorders>
              <w:left w:val="single" w:sz="8" w:color="B8CCE4"/>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200" w:type="dxa"/>
            <w:vAlign w:val="bottom"/>
            <w:tcBorders>
              <w:bottom w:val="single" w:sz="8" w:color="B8CCE4"/>
            </w:tcBorders>
          </w:tcPr>
          <w:p>
            <w:pPr>
              <w:spacing w:after="0"/>
              <w:rPr>
                <w:sz w:val="21"/>
                <w:szCs w:val="21"/>
                <w:color w:val="auto"/>
              </w:rPr>
            </w:pPr>
          </w:p>
        </w:tc>
        <w:tc>
          <w:tcPr>
            <w:tcW w:w="120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Inbound orders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$1,365.9</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$1,559.5</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$1,814.6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(12.4%)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(24.7%)</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Backlog</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$7,002.4</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$7,312.0</w:t>
            </w:r>
          </w:p>
        </w:tc>
        <w:tc>
          <w:tcPr>
            <w:tcW w:w="200" w:type="dxa"/>
            <w:vAlign w:val="bottom"/>
            <w:tcBorders>
              <w:bottom w:val="single" w:sz="8" w:color="B8CCE4"/>
            </w:tcBorders>
          </w:tcPr>
          <w:p>
            <w:pPr>
              <w:spacing w:after="0"/>
              <w:rPr>
                <w:sz w:val="19"/>
                <w:szCs w:val="19"/>
                <w:color w:val="auto"/>
              </w:rPr>
            </w:pPr>
          </w:p>
        </w:tc>
        <w:tc>
          <w:tcPr>
            <w:tcW w:w="12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$7,586.9</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(4.2%)</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Total Company revenue in the third quarter was $1,579.4 million. Loss from continuing operations attributable to TechnipFMC was $40.6 million, or $0.09 per diluted share. These results included after-tax charges and (credits) totaling $15.6 million of expense, or $0.03 per share, which included the following (Exhibit 6):</w:t>
      </w:r>
    </w:p>
    <w:p>
      <w:pPr>
        <w:spacing w:after="0" w:line="5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Impairment and other charges of $38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Restructuring and other charges of $6.1 million; and</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Income from equity investment in Technip Energies of ($28.5) million.</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Adjusted loss from continuing operations was $25 million, or $0.06 per diluted share (Exhibit 6). Included in adjusted loss from continuing operations was a loss on early extinguishment of debt of $16 million.</w:t>
      </w:r>
    </w:p>
    <w:p>
      <w:pPr>
        <w:spacing w:after="0" w:line="12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Adjusted EBITDA, which excludes pre-tax charges and credits, was $140.6 million; adjusted EBITDA margin was 8.9 percent (Exhibit 8). Included in adjusted EBITDA was a foreign exchange loss of $6.2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Doug Pferdehirt, Chairman and CEO of TechnipFMC, stated, “Third quarter results reflect continued strength in operational performance and further support our confidence in achieving full-year financial guidance. We also made progress on our commitments to strengthen our balance sheet and exit our ownership in Technip Energies. With the completion of our most recent sale, we have now sold just over 75% of our original stake in Technip Energies, a portion of which was used to reduce our outstanding debt by $185 million in the quarter.”</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added, “In Subsea, inbound orders were $1.1 billion, bringing the year-to-date segment total to $3.9 billion. The strength of our inbound was driven by direct awards, subsea services, alliance partners and several long-term vessel charters. We continue to forecast order growth through 2022, which is supported by the fourth consecutive quarter of increased project value in our Subsea Opportunity list.”</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 Surface Technologies, inbound orders were $250 million for the quarter. We expect a significant increase in international order activity in the fourth quarter, driven by several multi-year awards.”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continued, “Subsea inbound growth throughout 2021 partly reflects the momentum we are seeing in Brazil – an important region for TechnipFMC where we have been present for over five decades. During the quarter, we signed three long-term vessel charter contracts with Petrobras. These awards are a leading indicator of the strong demand for flexible pipe in the Brazilian market, where we believe volumes will exceed 700 kilometers per annum over the next three years.”</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2018, we created a strategic alliance and made a minority investment in Magma Global, a leader in advanced composite technologies. With the ongoing success of this technology alliance, we were pleased to announce we acquired the remaining 75% interest in Magma Global earlier this month. By combining their proprietary technologies with our flexible pipe, we are advancing the development and qualification of a hybrid flexible pipe solution for use in the Brazilian pre-salt fields.”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added, “We were also pleased to announce a long-term strategic alliance with Talos Energy to develop and deliver solutions for carbon capture and storage, or CCS. The alliance is an important step for both companies, combining Talos’s offshore operational strength and sub-surface expertise with our long history in subsea engineering, system integration and automation and control. Additionally, we believe that composite technologies from Magma will be a critical enabler to the carbon transportation system. Cultivated through a shared vision to responsibly deliver CCS solutions that will help to reduce the global carbon footprint, this innovative partnership will accelerate offshore CCS adoption with reliable, specialized systems. This type of collaboration, innovation and integration will position TechnipFMC to be a leading provider in carbon transportation and storage.”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“Our results reflect a continuation of the strong operational performance that we demonstrated over the first half of the year. Subsea orders have nearly matched the $4 billion inbound in all of 2020, and we remain on track to achieve solid double-digit growth. The acquisition of Magma and our strategic alliance with Talos Energy serve as tangible progress and further demonstrate the impactful role we will play in the energy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3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56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380" w:type="dxa"/>
            <w:vAlign w:val="bottom"/>
            <w:tcBorders>
              <w:top w:val="single" w:sz="8" w:color="B8CCE4"/>
              <w:bottom w:val="single" w:sz="8" w:color="B8CCE4"/>
            </w:tcBorders>
          </w:tcPr>
          <w:p>
            <w:pPr>
              <w:spacing w:after="0"/>
              <w:rPr>
                <w:sz w:val="19"/>
                <w:szCs w:val="19"/>
                <w:color w:val="auto"/>
              </w:rPr>
            </w:pPr>
          </w:p>
        </w:tc>
        <w:tc>
          <w:tcPr>
            <w:tcW w:w="1480" w:type="dxa"/>
            <w:vAlign w:val="bottom"/>
            <w:tcBorders>
              <w:top w:val="single" w:sz="8" w:color="B8CCE4"/>
              <w:bottom w:val="single" w:sz="8" w:color="B8CCE4"/>
            </w:tcBorders>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Borders>
              <w:top w:val="single" w:sz="8" w:color="B8CCE4"/>
              <w:bottom w:val="single" w:sz="8" w:color="B8CCE4"/>
            </w:tcBorders>
          </w:tcPr>
          <w:p>
            <w:pPr>
              <w:spacing w:after="0"/>
              <w:rPr>
                <w:sz w:val="19"/>
                <w:szCs w:val="19"/>
                <w:color w:val="auto"/>
              </w:rPr>
            </w:pPr>
          </w:p>
        </w:tc>
        <w:tc>
          <w:tcPr>
            <w:tcW w:w="40" w:type="dxa"/>
            <w:vAlign w:val="bottom"/>
            <w:tcBorders>
              <w:top w:val="single" w:sz="8" w:color="B8CCE4"/>
              <w:bottom w:val="single" w:sz="8" w:color="B8CCE4"/>
              <w:right w:val="single" w:sz="8" w:color="B8CCE4"/>
            </w:tcBorders>
          </w:tcPr>
          <w:p>
            <w:pPr>
              <w:spacing w:after="0"/>
              <w:rPr>
                <w:sz w:val="19"/>
                <w:szCs w:val="19"/>
                <w:color w:val="auto"/>
              </w:rPr>
            </w:pPr>
          </w:p>
        </w:tc>
        <w:tc>
          <w:tcPr>
            <w:tcW w:w="2480" w:type="dxa"/>
            <w:vAlign w:val="bottom"/>
            <w:tcBorders>
              <w:top w:val="single" w:sz="8" w:color="B8CCE4"/>
              <w:bottom w:val="single" w:sz="8" w:color="B8CCE4"/>
              <w:right w:val="single" w:sz="8" w:color="B8CCE4"/>
            </w:tcBorders>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Borders>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right w:val="single" w:sz="8" w:color="B8CCE4"/>
            </w:tcBorders>
          </w:tcPr>
          <w:p>
            <w:pPr>
              <w:jc w:val="right"/>
              <w:ind w:right="335"/>
              <w:spacing w:after="0"/>
              <w:rPr>
                <w:sz w:val="20"/>
                <w:szCs w:val="20"/>
                <w:color w:val="auto"/>
              </w:rPr>
            </w:pPr>
            <w:r>
              <w:rPr>
                <w:rFonts w:ascii="Arial" w:cs="Arial" w:eastAsia="Arial" w:hAnsi="Arial"/>
                <w:sz w:val="14"/>
                <w:szCs w:val="14"/>
                <w:b w:val="1"/>
                <w:bCs w:val="1"/>
                <w:color w:val="auto"/>
              </w:rPr>
              <w:t>Sep. 30,</w:t>
            </w:r>
          </w:p>
        </w:tc>
        <w:tc>
          <w:tcPr>
            <w:tcW w:w="14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Jun. 30,</w:t>
            </w:r>
          </w:p>
        </w:tc>
        <w:tc>
          <w:tcPr>
            <w:tcW w:w="80" w:type="dxa"/>
            <w:vAlign w:val="bottom"/>
          </w:tcPr>
          <w:p>
            <w:pPr>
              <w:spacing w:after="0"/>
              <w:rPr>
                <w:sz w:val="14"/>
                <w:szCs w:val="14"/>
                <w:color w:val="auto"/>
              </w:rPr>
            </w:pPr>
          </w:p>
        </w:tc>
        <w:tc>
          <w:tcPr>
            <w:tcW w:w="1320" w:type="dxa"/>
            <w:vAlign w:val="bottom"/>
            <w:tcBorders>
              <w:right w:val="single" w:sz="8" w:color="B8CCE4"/>
            </w:tcBorders>
            <w:gridSpan w:val="2"/>
          </w:tcPr>
          <w:p>
            <w:pPr>
              <w:jc w:val="center"/>
              <w:ind w:right="100"/>
              <w:spacing w:after="0"/>
              <w:rPr>
                <w:sz w:val="20"/>
                <w:szCs w:val="20"/>
                <w:color w:val="auto"/>
              </w:rPr>
            </w:pPr>
            <w:r>
              <w:rPr>
                <w:rFonts w:ascii="Arial" w:cs="Arial" w:eastAsia="Arial" w:hAnsi="Arial"/>
                <w:sz w:val="14"/>
                <w:szCs w:val="14"/>
                <w:b w:val="1"/>
                <w:bCs w:val="1"/>
                <w:color w:val="auto"/>
              </w:rPr>
              <w:t>Sep. 30,</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Borders>
              <w:left w:val="single" w:sz="8" w:color="B8CCE4"/>
              <w:bottom w:val="single" w:sz="8" w:color="B8CCE4"/>
              <w:right w:val="single" w:sz="8" w:color="B8CCE4"/>
            </w:tcBorders>
          </w:tcPr>
          <w:p>
            <w:pPr>
              <w:spacing w:after="0"/>
              <w:rPr>
                <w:sz w:val="14"/>
                <w:szCs w:val="14"/>
                <w:color w:val="auto"/>
              </w:rPr>
            </w:pPr>
          </w:p>
        </w:tc>
        <w:tc>
          <w:tcPr>
            <w:tcW w:w="1380" w:type="dxa"/>
            <w:vAlign w:val="bottom"/>
            <w:tcBorders>
              <w:bottom w:val="single" w:sz="8" w:color="B8CCE4"/>
              <w:right w:val="single" w:sz="8" w:color="B8CCE4"/>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B8CCE4"/>
            </w:tcBorders>
          </w:tcPr>
          <w:p>
            <w:pPr>
              <w:spacing w:after="0"/>
              <w:rPr>
                <w:sz w:val="14"/>
                <w:szCs w:val="14"/>
                <w:color w:val="auto"/>
              </w:rPr>
            </w:pPr>
          </w:p>
        </w:tc>
        <w:tc>
          <w:tcPr>
            <w:tcW w:w="1280" w:type="dxa"/>
            <w:vAlign w:val="bottom"/>
            <w:tcBorders>
              <w:bottom w:val="single" w:sz="8" w:color="B8CCE4"/>
            </w:tcBorders>
          </w:tcPr>
          <w:p>
            <w:pPr>
              <w:jc w:val="center"/>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B8CCE4"/>
              <w:right w:val="single" w:sz="8" w:color="B8CCE4"/>
            </w:tcBorders>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Revenue</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$1,312.1</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$1,394.3</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$1,501.8</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Operating profit</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$20.3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(67.5%)</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$146.5</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$146.0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(4.9%)</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Adjusted EBITDA margin</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11.2 %</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11.1 %</w:t>
            </w:r>
          </w:p>
        </w:tc>
        <w:tc>
          <w:tcPr>
            <w:tcW w:w="80" w:type="dxa"/>
            <w:vAlign w:val="bottom"/>
            <w:tcBorders>
              <w:bottom w:val="single" w:sz="8" w:color="B8CCE4"/>
            </w:tcBorders>
          </w:tcPr>
          <w:p>
            <w:pPr>
              <w:spacing w:after="0"/>
              <w:rPr>
                <w:sz w:val="19"/>
                <w:szCs w:val="19"/>
                <w:color w:val="auto"/>
              </w:rPr>
            </w:pPr>
          </w:p>
        </w:tc>
        <w:tc>
          <w:tcPr>
            <w:tcW w:w="128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9.7 %</w:t>
            </w:r>
          </w:p>
        </w:tc>
        <w:tc>
          <w:tcPr>
            <w:tcW w:w="40" w:type="dxa"/>
            <w:vAlign w:val="bottom"/>
            <w:tcBorders>
              <w:bottom w:val="single" w:sz="8" w:color="B8CCE4"/>
              <w:right w:val="single" w:sz="8" w:color="B8CCE4"/>
            </w:tcBorders>
          </w:tcPr>
          <w:p>
            <w:pPr>
              <w:spacing w:after="0"/>
              <w:rPr>
                <w:sz w:val="19"/>
                <w:szCs w:val="19"/>
                <w:color w:val="auto"/>
              </w:rPr>
            </w:pP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10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150 bps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left w:val="single" w:sz="8" w:color="B8CCE4"/>
              <w:bottom w:val="single" w:sz="8" w:color="B8CCE4"/>
            </w:tcBorders>
          </w:tcPr>
          <w:p>
            <w:pPr>
              <w:spacing w:after="0"/>
              <w:rPr>
                <w:sz w:val="21"/>
                <w:szCs w:val="21"/>
                <w:color w:val="auto"/>
              </w:rPr>
            </w:pPr>
          </w:p>
        </w:tc>
        <w:tc>
          <w:tcPr>
            <w:tcW w:w="138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80" w:type="dxa"/>
            <w:vAlign w:val="bottom"/>
            <w:tcBorders>
              <w:bottom w:val="single" w:sz="8" w:color="B8CCE4"/>
            </w:tcBorders>
          </w:tcPr>
          <w:p>
            <w:pPr>
              <w:spacing w:after="0"/>
              <w:rPr>
                <w:sz w:val="21"/>
                <w:szCs w:val="21"/>
                <w:color w:val="auto"/>
              </w:rPr>
            </w:pPr>
          </w:p>
        </w:tc>
        <w:tc>
          <w:tcPr>
            <w:tcW w:w="1280" w:type="dxa"/>
            <w:vAlign w:val="bottom"/>
            <w:tcBorders>
              <w:bottom w:val="single" w:sz="8" w:color="B8CCE4"/>
            </w:tcBorders>
          </w:tcPr>
          <w:p>
            <w:pPr>
              <w:spacing w:after="0"/>
              <w:rPr>
                <w:sz w:val="21"/>
                <w:szCs w:val="21"/>
                <w:color w:val="auto"/>
              </w:rPr>
            </w:pPr>
          </w:p>
        </w:tc>
        <w:tc>
          <w:tcPr>
            <w:tcW w:w="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Inbound orders</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$1,116.0</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$1,291.3</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$1,607.1</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(13.6%)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line="223" w:lineRule="exact"/>
              <w:rPr>
                <w:sz w:val="20"/>
                <w:szCs w:val="20"/>
                <w:color w:val="auto"/>
              </w:rPr>
            </w:pPr>
            <w:r>
              <w:rPr>
                <w:rFonts w:ascii="Arial" w:cs="Arial" w:eastAsia="Arial" w:hAnsi="Arial"/>
                <w:sz w:val="18"/>
                <w:szCs w:val="18"/>
                <w:b w:val="1"/>
                <w:bCs w:val="1"/>
                <w:color w:val="auto"/>
              </w:rPr>
              <w:t>Backlog</w:t>
            </w:r>
            <w:r>
              <w:rPr>
                <w:rFonts w:ascii="Arial" w:cs="Arial" w:eastAsia="Arial" w:hAnsi="Arial"/>
                <w:sz w:val="23"/>
                <w:szCs w:val="23"/>
                <w:b w:val="1"/>
                <w:bCs w:val="1"/>
                <w:color w:val="auto"/>
                <w:vertAlign w:val="superscript"/>
              </w:rPr>
              <w:t>1,2,3</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$6,661.4</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$6,951.6</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$7,218.0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(4.2%)</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B8CCE4"/>
            </w:tcBorders>
            <w:shd w:val="clear" w:color="auto" w:fill="B8CCE4"/>
          </w:tcPr>
          <w:p>
            <w:pPr>
              <w:spacing w:after="0"/>
              <w:rPr>
                <w:sz w:val="14"/>
                <w:szCs w:val="14"/>
                <w:color w:val="auto"/>
              </w:rPr>
            </w:pPr>
          </w:p>
        </w:tc>
        <w:tc>
          <w:tcPr>
            <w:tcW w:w="4560" w:type="dxa"/>
            <w:vAlign w:val="bottom"/>
            <w:tcBorders>
              <w:top w:val="single" w:sz="8" w:color="B8CCE4"/>
            </w:tcBorders>
          </w:tcPr>
          <w:p>
            <w:pPr>
              <w:ind w:left="20"/>
              <w:spacing w:after="0"/>
              <w:rPr>
                <w:sz w:val="20"/>
                <w:szCs w:val="20"/>
                <w:color w:val="auto"/>
              </w:rPr>
            </w:pPr>
            <w:r>
              <w:rPr>
                <w:rFonts w:ascii="Arial" w:cs="Arial" w:eastAsia="Arial" w:hAnsi="Arial"/>
                <w:sz w:val="14"/>
                <w:szCs w:val="14"/>
                <w:b w:val="1"/>
                <w:bCs w:val="1"/>
                <w:color w:val="auto"/>
              </w:rPr>
              <w:t>Estimated Consolidated Backlog Scheduling</w:t>
            </w:r>
          </w:p>
        </w:tc>
        <w:tc>
          <w:tcPr>
            <w:tcW w:w="1380" w:type="dxa"/>
            <w:vAlign w:val="bottom"/>
            <w:tcBorders>
              <w:top w:val="single" w:sz="8" w:color="B8CCE4"/>
            </w:tcBorders>
          </w:tcPr>
          <w:p>
            <w:pPr>
              <w:spacing w:after="0"/>
              <w:rPr>
                <w:sz w:val="14"/>
                <w:szCs w:val="14"/>
                <w:color w:val="auto"/>
              </w:rPr>
            </w:pPr>
          </w:p>
        </w:tc>
        <w:tc>
          <w:tcPr>
            <w:tcW w:w="1400" w:type="dxa"/>
            <w:vAlign w:val="bottom"/>
            <w:tcBorders>
              <w:top w:val="single" w:sz="8" w:color="B8CCE4"/>
            </w:tcBorders>
          </w:tcPr>
          <w:p>
            <w:pPr>
              <w:spacing w:after="0"/>
              <w:rPr>
                <w:sz w:val="14"/>
                <w:szCs w:val="14"/>
                <w:color w:val="auto"/>
              </w:rPr>
            </w:pPr>
          </w:p>
        </w:tc>
        <w:tc>
          <w:tcPr>
            <w:tcW w:w="80" w:type="dxa"/>
            <w:vAlign w:val="bottom"/>
            <w:tcBorders>
              <w:top w:val="single" w:sz="8" w:color="B8CCE4"/>
              <w:right w:val="single" w:sz="8" w:color="B8CCE4"/>
            </w:tcBorders>
          </w:tcPr>
          <w:p>
            <w:pPr>
              <w:spacing w:after="0"/>
              <w:rPr>
                <w:sz w:val="14"/>
                <w:szCs w:val="14"/>
                <w:color w:val="auto"/>
              </w:rPr>
            </w:pPr>
          </w:p>
        </w:tc>
        <w:tc>
          <w:tcPr>
            <w:tcW w:w="128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Sep. 30,</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B8CCE4"/>
            </w:tcBorders>
            <w:shd w:val="clear" w:color="auto" w:fill="B8CCE4"/>
          </w:tcPr>
          <w:p>
            <w:pPr>
              <w:spacing w:after="0"/>
              <w:rPr>
                <w:sz w:val="15"/>
                <w:szCs w:val="15"/>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B8CCE4"/>
            </w:tcBorders>
          </w:tcPr>
          <w:p>
            <w:pPr>
              <w:spacing w:after="0"/>
              <w:rPr>
                <w:sz w:val="15"/>
                <w:szCs w:val="15"/>
                <w:color w:val="auto"/>
              </w:rPr>
            </w:pPr>
          </w:p>
        </w:tc>
        <w:tc>
          <w:tcPr>
            <w:tcW w:w="1400" w:type="dxa"/>
            <w:vAlign w:val="bottom"/>
            <w:tcBorders>
              <w:bottom w:val="single" w:sz="8" w:color="B8CCE4"/>
            </w:tcBorders>
          </w:tcPr>
          <w:p>
            <w:pPr>
              <w:spacing w:after="0"/>
              <w:rPr>
                <w:sz w:val="15"/>
                <w:szCs w:val="15"/>
                <w:color w:val="auto"/>
              </w:rPr>
            </w:pPr>
          </w:p>
        </w:tc>
        <w:tc>
          <w:tcPr>
            <w:tcW w:w="80" w:type="dxa"/>
            <w:vAlign w:val="bottom"/>
            <w:tcBorders>
              <w:bottom w:val="single" w:sz="8" w:color="B8CCE4"/>
              <w:right w:val="single" w:sz="8" w:color="B8CCE4"/>
            </w:tcBorders>
          </w:tcPr>
          <w:p>
            <w:pPr>
              <w:spacing w:after="0"/>
              <w:rPr>
                <w:sz w:val="15"/>
                <w:szCs w:val="15"/>
                <w:color w:val="auto"/>
              </w:rPr>
            </w:pPr>
          </w:p>
        </w:tc>
        <w:tc>
          <w:tcPr>
            <w:tcW w:w="1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2021 (3 months)</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$931</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2022</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$3,242</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2023 and beyond</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$2,488</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Total</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b w:val="1"/>
                <w:bCs w:val="1"/>
                <w:color w:val="auto"/>
              </w:rPr>
              <w:t>$6,661</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hanging="94"/>
        <w:spacing w:after="0" w:line="208" w:lineRule="auto"/>
        <w:tabs>
          <w:tab w:leader="none" w:pos="120"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Backlog in the period was decreased by a foreign exchange impact of $94 million.</w:t>
      </w:r>
    </w:p>
    <w:p>
      <w:pPr>
        <w:spacing w:after="0" w:line="22" w:lineRule="exact"/>
        <w:rPr>
          <w:rFonts w:ascii="Arial" w:cs="Arial" w:eastAsia="Arial" w:hAnsi="Arial"/>
          <w:sz w:val="21"/>
          <w:szCs w:val="21"/>
          <w:i w:val="1"/>
          <w:iCs w:val="1"/>
          <w:color w:val="auto"/>
          <w:vertAlign w:val="superscript"/>
        </w:rPr>
      </w:pPr>
    </w:p>
    <w:p>
      <w:pPr>
        <w:ind w:left="20"/>
        <w:spacing w:after="0" w:line="214" w:lineRule="auto"/>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Backlog does not capture all revenue potential for Subsea Services.</w:t>
      </w:r>
    </w:p>
    <w:p>
      <w:pPr>
        <w:ind w:left="20"/>
        <w:spacing w:after="0"/>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 xml:space="preserve"> Backlog does not include total Company non-consolidated backlog of $622 million.</w:t>
      </w:r>
    </w:p>
    <w:p>
      <w:pPr>
        <w:spacing w:after="0" w:line="3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Subsea reported third quarter revenue of $1,312.1 million, a decrease of 5.9 percent from the second quarter. Revenue decreased sequentially driven by lower activity in the North Sea and Asia.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an operating profit of $ 23.5 million. Sequentially, operating results decreased due to higher impairment and other charges and lower revenue. During the quarter, the Company recorded a $36.7 million non-cash impairment to its previous investment in Magma Global, reflecting the purchase price paid for the remaining stake subsequent to the quarter.</w:t>
      </w:r>
    </w:p>
    <w:p>
      <w:pPr>
        <w:spacing w:after="0" w:line="16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Subsea reported adjusted EBITDA of $146.5 million. Adjusted EBITDA decreased 4.9 percent when compared to the second quarter, due to lower revenue. Adjusted EBITDA margin increased 10 basis points to 11.2 percent.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Subsea inbound orders were $1,116 million for the quarter. Book-to-bill in the period was 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The following awards were included in the period:</w:t>
      </w:r>
    </w:p>
    <w:p>
      <w:pPr>
        <w:spacing w:after="0" w:line="124"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TechnipFMC and DOF Subsea awarded long-term charter contracts by Petrobras </w:t>
      </w:r>
      <w:r>
        <w:rPr>
          <w:rFonts w:ascii="Arial" w:cs="Arial" w:eastAsia="Arial" w:hAnsi="Arial"/>
          <w:sz w:val="17"/>
          <w:szCs w:val="17"/>
          <w:b w:val="1"/>
          <w:bCs w:val="1"/>
          <w:color w:val="auto"/>
        </w:rPr>
        <w:t>(Brazil)</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 and its joint venture partner DOF Subsea awarded significant* long-term charter and services contracts by Petrobras for the pipelay support vessels Skandi Vitória and Skandi Niteroi. The Brazilian-built and flagged vessels are owned by DOFCON Navegação Ltda, a 50/50 JV between TechnipFMC and DOF Subsea. Each contract is for three years, with an option to extend. Operations are expected to begin by February 2022.</w:t>
      </w:r>
    </w:p>
    <w:p>
      <w:pPr>
        <w:spacing w:after="0" w:line="1"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contract ranges between $75 million and $250 million.</w:t>
      </w:r>
    </w:p>
    <w:p>
      <w:pPr>
        <w:spacing w:after="0" w:line="164"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TechnipFMC awarded long-term contract by Petrobras </w:t>
      </w:r>
      <w:r>
        <w:rPr>
          <w:rFonts w:ascii="Arial" w:cs="Arial" w:eastAsia="Arial" w:hAnsi="Arial"/>
          <w:sz w:val="17"/>
          <w:szCs w:val="17"/>
          <w:b w:val="1"/>
          <w:bCs w:val="1"/>
          <w:color w:val="auto"/>
        </w:rPr>
        <w:t>(Brazil)</w:t>
      </w:r>
    </w:p>
    <w:p>
      <w:pPr>
        <w:spacing w:after="0" w:line="10" w:lineRule="exact"/>
        <w:rPr>
          <w:rFonts w:ascii="Arial" w:cs="Arial" w:eastAsia="Arial" w:hAnsi="Arial"/>
          <w:sz w:val="20"/>
          <w:szCs w:val="20"/>
          <w:b w:val="1"/>
          <w:bCs w:val="1"/>
          <w:i w:val="1"/>
          <w:iCs w:val="1"/>
          <w:color w:val="auto"/>
        </w:rPr>
      </w:pPr>
    </w:p>
    <w:p>
      <w:pPr>
        <w:jc w:val="both"/>
        <w:ind w:left="660"/>
        <w:spacing w:after="0" w:line="225" w:lineRule="auto"/>
        <w:rPr>
          <w:rFonts w:ascii="Arial" w:cs="Arial" w:eastAsia="Arial" w:hAnsi="Arial"/>
          <w:sz w:val="20"/>
          <w:szCs w:val="20"/>
          <w:b w:val="1"/>
          <w:bCs w:val="1"/>
          <w:i w:val="1"/>
          <w:iCs w:val="1"/>
          <w:color w:val="auto"/>
        </w:rPr>
      </w:pPr>
      <w:r>
        <w:rPr>
          <w:rFonts w:ascii="Arial" w:cs="Arial" w:eastAsia="Arial" w:hAnsi="Arial"/>
          <w:sz w:val="20"/>
          <w:szCs w:val="20"/>
          <w:color w:val="auto"/>
        </w:rPr>
        <w:t>Substantial* long-term charter and services contract from Petrobras for the pipelay support vessel Coral do Atlântico. The Brazilian-registered vessel has been secured on a three-year contract, with an option to extend. Operations offshore Brazil are expected to begin in the second quarter of 2022. Coral do Atlântico is an important component of the Company’s leading flexible pipe ecosystem in Brazil and will mainly be deployed in ultra-deepwater of up to 3,000 meters.</w:t>
      </w:r>
    </w:p>
    <w:p>
      <w:pPr>
        <w:spacing w:after="0" w:line="1"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“substantial” contract is between $250 million and $500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Partnership and Alliance Highlights</w:t>
      </w:r>
    </w:p>
    <w:p>
      <w:pPr>
        <w:spacing w:after="0" w:line="20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Acquisition of Remaining Shares of Joint Venture TIOS</w:t>
      </w:r>
    </w:p>
    <w:p>
      <w:pPr>
        <w:spacing w:after="0" w:line="23" w:lineRule="exact"/>
        <w:rPr>
          <w:rFonts w:ascii="Arial" w:cs="Arial" w:eastAsia="Arial" w:hAnsi="Arial"/>
          <w:sz w:val="20"/>
          <w:szCs w:val="20"/>
          <w:b w:val="1"/>
          <w:bCs w:val="1"/>
          <w:i w:val="1"/>
          <w:iCs w:val="1"/>
          <w:color w:val="auto"/>
        </w:rPr>
      </w:pPr>
    </w:p>
    <w:p>
      <w:pPr>
        <w:jc w:val="both"/>
        <w:ind w:left="66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 acquired the remaining 49% of shares in TIOS AS, a joint venture between TechnipFMC and Island Offshore Management AS (Island Offshore) formed in 2018. This will accelerate the development of TechnipFMC’s integrated service model focused on maximizing value to our clients.</w:t>
      </w:r>
    </w:p>
    <w:p>
      <w:pPr>
        <w:spacing w:after="0" w:line="178" w:lineRule="exact"/>
        <w:rPr>
          <w:rFonts w:ascii="Arial" w:cs="Arial" w:eastAsia="Arial" w:hAnsi="Arial"/>
          <w:sz w:val="20"/>
          <w:szCs w:val="20"/>
          <w:b w:val="1"/>
          <w:bCs w:val="1"/>
          <w:i w:val="1"/>
          <w:iCs w:val="1"/>
          <w:color w:val="auto"/>
        </w:rPr>
      </w:pPr>
    </w:p>
    <w:p>
      <w:pPr>
        <w:jc w:val="both"/>
        <w:ind w:left="66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TIOS provides fully integrated Riserless Light Well Intervention (RLWI) services, including project management and engineering for well completion and intervention operations, riserless coiled tubing, and plug &amp; abandonment, and has serviced over 740 wells globally since 2005.</w:t>
      </w:r>
    </w:p>
    <w:p>
      <w:pPr>
        <w:spacing w:after="0" w:line="14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Investment in Loke Marine Minerals to Enable the Energy Transition</w:t>
      </w:r>
    </w:p>
    <w:p>
      <w:pPr>
        <w:spacing w:after="0" w:line="23" w:lineRule="exact"/>
        <w:rPr>
          <w:rFonts w:ascii="Arial" w:cs="Arial" w:eastAsia="Arial" w:hAnsi="Arial"/>
          <w:sz w:val="20"/>
          <w:szCs w:val="20"/>
          <w:b w:val="1"/>
          <w:bCs w:val="1"/>
          <w:color w:val="auto"/>
        </w:rPr>
      </w:pPr>
    </w:p>
    <w:p>
      <w:pPr>
        <w:jc w:val="both"/>
        <w:ind w:left="66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TechnipFMC is joining forces with Loke Marine Minerals (Loke) to develop enabling technologies for the extraction of seabed minerals, driving energy transition and a sustainable future. Marine minerals have been identified by the World Bank, World Economic Forum, and International Energy Agency as one of the potential solutions to meet the increasing demand for metals used in electric vehicle batteries, clean energy technologies, and consumer electronics.</w:t>
      </w:r>
    </w:p>
    <w:p>
      <w:pPr>
        <w:spacing w:after="0" w:line="169"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Together, Loke and TechnipFMC are developing a patent-pending, autonomous subsea production system that aims to have minimal impact on the environment and positions the company well for potential offshore licensing on the Norwegian Continental Shelf (NCS) 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32" w:right="339" w:bottom="1440" w:gutter="0" w:footer="0" w:header="0"/>
        </w:sectPr>
      </w:pPr>
    </w:p>
    <w:bookmarkStart w:id="8" w:name="page9"/>
    <w:bookmarkEnd w:id="8"/>
    <w:p>
      <w:pPr>
        <w:ind w:left="328" w:right="20" w:hanging="328"/>
        <w:spacing w:after="0" w:line="224" w:lineRule="auto"/>
        <w:tabs>
          <w:tab w:leader="none" w:pos="316"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Acquisition of Magma Global to Accelerate Development of Breakthrough Composite Pipe Technologies for Conventional Energy and CO</w:t>
      </w:r>
      <w:r>
        <w:rPr>
          <w:rFonts w:ascii="Arial" w:cs="Arial" w:eastAsia="Arial" w:hAnsi="Arial"/>
          <w:sz w:val="25"/>
          <w:szCs w:val="25"/>
          <w:b w:val="1"/>
          <w:bCs w:val="1"/>
          <w:color w:val="auto"/>
          <w:vertAlign w:val="subscript"/>
        </w:rPr>
        <w:t>2</w:t>
      </w:r>
      <w:r>
        <w:rPr>
          <w:rFonts w:ascii="Arial" w:cs="Arial" w:eastAsia="Arial" w:hAnsi="Arial"/>
          <w:sz w:val="20"/>
          <w:szCs w:val="20"/>
          <w:b w:val="1"/>
          <w:bCs w:val="1"/>
          <w:color w:val="auto"/>
        </w:rPr>
        <w:t xml:space="preserve"> Applications</w:t>
      </w:r>
    </w:p>
    <w:p>
      <w:pPr>
        <w:ind w:left="328"/>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Subsequent to the third quarter, TechnipFMC completed the acquisition of the outstanding shares of Magma Global (Magma), the leading provider of composite pipe technology to support the Energy Transition.</w:t>
      </w:r>
    </w:p>
    <w:p>
      <w:pPr>
        <w:spacing w:after="0" w:line="163" w:lineRule="exact"/>
        <w:rPr>
          <w:rFonts w:ascii="Arial" w:cs="Arial" w:eastAsia="Arial" w:hAnsi="Arial"/>
          <w:sz w:val="20"/>
          <w:szCs w:val="20"/>
          <w:b w:val="1"/>
          <w:bCs w:val="1"/>
          <w:i w:val="1"/>
          <w:iCs w:val="1"/>
          <w:color w:val="auto"/>
        </w:rPr>
      </w:pPr>
    </w:p>
    <w:p>
      <w:pPr>
        <w:jc w:val="both"/>
        <w:ind w:left="328" w:right="20"/>
        <w:spacing w:after="0" w:line="232"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 originally acquired an interest in Magma in 2018, combining its strong history in flexible pipe technology with Magma’s advanced composite capabilities to develop a disruptive composite pipe solution for the traditional and new energy industries.</w:t>
      </w:r>
    </w:p>
    <w:p>
      <w:pPr>
        <w:spacing w:after="0" w:line="170" w:lineRule="exact"/>
        <w:rPr>
          <w:rFonts w:ascii="Arial" w:cs="Arial" w:eastAsia="Arial" w:hAnsi="Arial"/>
          <w:sz w:val="20"/>
          <w:szCs w:val="20"/>
          <w:b w:val="1"/>
          <w:bCs w:val="1"/>
          <w:i w:val="1"/>
          <w:iCs w:val="1"/>
          <w:color w:val="auto"/>
        </w:rPr>
      </w:pPr>
    </w:p>
    <w:p>
      <w:pPr>
        <w:jc w:val="both"/>
        <w:ind w:left="328"/>
        <w:spacing w:after="0" w:line="223" w:lineRule="auto"/>
        <w:rPr>
          <w:rFonts w:ascii="Arial" w:cs="Arial" w:eastAsia="Arial" w:hAnsi="Arial"/>
          <w:sz w:val="20"/>
          <w:szCs w:val="20"/>
          <w:b w:val="1"/>
          <w:bCs w:val="1"/>
          <w:i w:val="1"/>
          <w:iCs w:val="1"/>
          <w:color w:val="auto"/>
        </w:rPr>
      </w:pPr>
      <w:r>
        <w:rPr>
          <w:rFonts w:ascii="Arial" w:cs="Arial" w:eastAsia="Arial" w:hAnsi="Arial"/>
          <w:sz w:val="20"/>
          <w:szCs w:val="20"/>
          <w:color w:val="auto"/>
        </w:rPr>
        <w:t>Magma’s technology enables the manufacture of Thermoplastic Composite Pipe (TCP) using Polyether Ether Ketone (PEEK) polymer, which is highly resistive to corrosive compounds, such as CO</w:t>
      </w:r>
      <w:r>
        <w:rPr>
          <w:rFonts w:ascii="Arial" w:cs="Arial" w:eastAsia="Arial" w:hAnsi="Arial"/>
          <w:sz w:val="25"/>
          <w:szCs w:val="25"/>
          <w:color w:val="auto"/>
          <w:vertAlign w:val="subscript"/>
        </w:rPr>
        <w:t>2</w:t>
      </w:r>
      <w:r>
        <w:rPr>
          <w:rFonts w:ascii="Arial" w:cs="Arial" w:eastAsia="Arial" w:hAnsi="Arial"/>
          <w:sz w:val="20"/>
          <w:szCs w:val="20"/>
          <w:color w:val="auto"/>
        </w:rPr>
        <w:t>. When combined with TechnipFMC’s flexible pipe technology, this forms a Hybrid Flexible Pipe (HFP) that will be deployed in the Brazilian pre-salt fields.</w:t>
      </w:r>
    </w:p>
    <w:p>
      <w:pPr>
        <w:spacing w:after="0" w:line="169" w:lineRule="exact"/>
        <w:rPr>
          <w:rFonts w:ascii="Arial" w:cs="Arial" w:eastAsia="Arial" w:hAnsi="Arial"/>
          <w:sz w:val="20"/>
          <w:szCs w:val="20"/>
          <w:b w:val="1"/>
          <w:bCs w:val="1"/>
          <w:i w:val="1"/>
          <w:iCs w:val="1"/>
          <w:color w:val="auto"/>
        </w:rPr>
      </w:pPr>
    </w:p>
    <w:p>
      <w:pPr>
        <w:ind w:left="328" w:right="2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Manufactured by a fully automated robotic system, PEEK TCP will also be a critical enabler for both the carbon and hydrogen transportation and storage markets, and particularly offshore applications.</w:t>
      </w:r>
    </w:p>
    <w:p>
      <w:pPr>
        <w:spacing w:after="0" w:line="139" w:lineRule="exact"/>
        <w:rPr>
          <w:rFonts w:ascii="Arial" w:cs="Arial" w:eastAsia="Arial" w:hAnsi="Arial"/>
          <w:sz w:val="20"/>
          <w:szCs w:val="20"/>
          <w:b w:val="1"/>
          <w:bCs w:val="1"/>
          <w:i w:val="1"/>
          <w:iCs w:val="1"/>
          <w:color w:val="auto"/>
        </w:rPr>
      </w:pPr>
    </w:p>
    <w:p>
      <w:pPr>
        <w:ind w:left="308" w:hanging="308"/>
        <w:spacing w:after="0"/>
        <w:tabs>
          <w:tab w:leader="none" w:pos="30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Alliance with Talos Energy to Provide Carbon Capture and Storage</w:t>
      </w:r>
    </w:p>
    <w:p>
      <w:pPr>
        <w:spacing w:after="0" w:line="23" w:lineRule="exact"/>
        <w:rPr>
          <w:rFonts w:ascii="Arial" w:cs="Arial" w:eastAsia="Arial" w:hAnsi="Arial"/>
          <w:sz w:val="20"/>
          <w:szCs w:val="20"/>
          <w:b w:val="1"/>
          <w:bCs w:val="1"/>
          <w:color w:val="auto"/>
        </w:rPr>
      </w:pPr>
    </w:p>
    <w:p>
      <w:pPr>
        <w:jc w:val="both"/>
        <w:ind w:left="328"/>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Subsequent to the third quarter, TechnipFMC and Talos Energy entered into a long-term strategic alliance to develop and deliver technical and commercial solutions to Carbon Capture and Storage (CCS) projects along the United States Gulf Coast. The alliance combines Talos’s offshore operational strength and sub-surface expertise with TechnipFMC’s extended history in subsea engineering, system integration and automation and control.</w:t>
      </w:r>
    </w:p>
    <w:p>
      <w:pPr>
        <w:spacing w:after="0" w:line="183" w:lineRule="exact"/>
        <w:rPr>
          <w:rFonts w:ascii="Arial" w:cs="Arial" w:eastAsia="Arial" w:hAnsi="Arial"/>
          <w:sz w:val="20"/>
          <w:szCs w:val="20"/>
          <w:b w:val="1"/>
          <w:bCs w:val="1"/>
          <w:color w:val="auto"/>
        </w:rPr>
      </w:pPr>
    </w:p>
    <w:p>
      <w:pPr>
        <w:ind w:left="328"/>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Cultivated through a shared vision to responsibly deliver CCS solutions that will help to reduce the global carbon footprint, this innovative partnership will accelerate offshore CCS adoption with reliable, specialized systems.</w:t>
      </w:r>
    </w:p>
    <w:p>
      <w:pPr>
        <w:spacing w:after="0" w:line="163" w:lineRule="exact"/>
        <w:rPr>
          <w:rFonts w:ascii="Arial" w:cs="Arial" w:eastAsia="Arial" w:hAnsi="Arial"/>
          <w:sz w:val="20"/>
          <w:szCs w:val="20"/>
          <w:b w:val="1"/>
          <w:bCs w:val="1"/>
          <w:color w:val="auto"/>
        </w:rPr>
      </w:pPr>
    </w:p>
    <w:p>
      <w:pPr>
        <w:jc w:val="both"/>
        <w:ind w:left="328"/>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Under the alliance, the companies will collaborate to progress CCS opportunities through the full lifecycle of storage site characterization, front-end engineering and design (FEED), and first injection through life of field operations. This further advances the companies’ leadership in the emerging Gulf Coast CCS market, building on Talos’s recent successful award as the operator of the only major offshore carbon sequestration hub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08"/>
        <w:spacing w:after="0"/>
        <w:tabs>
          <w:tab w:leader="none" w:pos="10008"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28">
        <w:r>
          <w:rPr>
            <w:rFonts w:ascii="Arial" w:cs="Arial" w:eastAsia="Arial" w:hAnsi="Arial"/>
            <w:sz w:val="14"/>
            <w:szCs w:val="14"/>
            <w:b w:val="1"/>
            <w:bCs w:val="1"/>
            <w:color w:val="auto"/>
          </w:rPr>
          <w:t>25</w:t>
        </w:r>
      </w:hyperlink>
    </w:p>
    <w:p>
      <w:pPr>
        <w:sectPr>
          <w:pgSz w:w="11900" w:h="16838" w:orient="portrait"/>
          <w:cols w:equalWidth="0" w:num="1">
            <w:col w:w="10908"/>
          </w:cols>
          <w:pgMar w:left="652" w:top="1408" w:right="339" w:bottom="1440" w:gutter="0" w:footer="0" w:header="0"/>
        </w:sectPr>
      </w:pPr>
    </w:p>
    <w:bookmarkStart w:id="9" w:name="page10"/>
    <w:bookmarkEnd w:id="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458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360" w:type="dxa"/>
            <w:vAlign w:val="bottom"/>
            <w:tcBorders>
              <w:top w:val="single" w:sz="8" w:color="B8CCE4"/>
              <w:bottom w:val="single" w:sz="8" w:color="B8CCE4"/>
            </w:tcBorders>
          </w:tcPr>
          <w:p>
            <w:pPr>
              <w:spacing w:after="0"/>
              <w:rPr>
                <w:sz w:val="19"/>
                <w:szCs w:val="19"/>
                <w:color w:val="auto"/>
              </w:rPr>
            </w:pPr>
          </w:p>
        </w:tc>
        <w:tc>
          <w:tcPr>
            <w:tcW w:w="1600" w:type="dxa"/>
            <w:vAlign w:val="bottom"/>
            <w:tcBorders>
              <w:top w:val="single" w:sz="8" w:color="B8CCE4"/>
              <w:bottom w:val="single" w:sz="8" w:color="B8CCE4"/>
            </w:tcBorders>
            <w:gridSpan w:val="2"/>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top w:val="single" w:sz="8" w:color="B8CCE4"/>
              <w:bottom w:val="single" w:sz="8" w:color="B8CCE4"/>
              <w:right w:val="single" w:sz="8" w:color="B8CCE4"/>
            </w:tcBorders>
          </w:tcPr>
          <w:p>
            <w:pPr>
              <w:spacing w:after="0"/>
              <w:rPr>
                <w:sz w:val="19"/>
                <w:szCs w:val="19"/>
                <w:color w:val="auto"/>
              </w:rPr>
            </w:pPr>
          </w:p>
        </w:tc>
        <w:tc>
          <w:tcPr>
            <w:tcW w:w="2480" w:type="dxa"/>
            <w:vAlign w:val="bottom"/>
            <w:tcBorders>
              <w:top w:val="single" w:sz="8" w:color="B8CCE4"/>
              <w:bottom w:val="single" w:sz="8" w:color="B8CCE4"/>
              <w:right w:val="single" w:sz="8" w:color="B8CCE4"/>
            </w:tcBorders>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580" w:type="dxa"/>
            <w:vAlign w:val="bottom"/>
            <w:tcBorders>
              <w:left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right w:val="single" w:sz="8" w:color="B8CCE4"/>
            </w:tcBorders>
          </w:tcPr>
          <w:p>
            <w:pPr>
              <w:jc w:val="right"/>
              <w:ind w:right="335"/>
              <w:spacing w:after="0"/>
              <w:rPr>
                <w:sz w:val="20"/>
                <w:szCs w:val="20"/>
                <w:color w:val="auto"/>
              </w:rPr>
            </w:pPr>
            <w:r>
              <w:rPr>
                <w:rFonts w:ascii="Arial" w:cs="Arial" w:eastAsia="Arial" w:hAnsi="Arial"/>
                <w:sz w:val="14"/>
                <w:szCs w:val="14"/>
                <w:b w:val="1"/>
                <w:bCs w:val="1"/>
                <w:color w:val="auto"/>
              </w:rPr>
              <w:t>Sep. 30,</w:t>
            </w:r>
          </w:p>
        </w:tc>
        <w:tc>
          <w:tcPr>
            <w:tcW w:w="14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14"/>
                <w:szCs w:val="14"/>
                <w:color w:val="auto"/>
              </w:rPr>
            </w:pPr>
          </w:p>
        </w:tc>
        <w:tc>
          <w:tcPr>
            <w:tcW w:w="1180" w:type="dxa"/>
            <w:vAlign w:val="bottom"/>
            <w:tcBorders>
              <w:right w:val="single" w:sz="8" w:color="B8CCE4"/>
            </w:tcBorders>
          </w:tcPr>
          <w:p>
            <w:pPr>
              <w:jc w:val="right"/>
              <w:ind w:right="355"/>
              <w:spacing w:after="0"/>
              <w:rPr>
                <w:sz w:val="20"/>
                <w:szCs w:val="20"/>
                <w:color w:val="auto"/>
              </w:rPr>
            </w:pPr>
            <w:r>
              <w:rPr>
                <w:rFonts w:ascii="Arial" w:cs="Arial" w:eastAsia="Arial" w:hAnsi="Arial"/>
                <w:sz w:val="14"/>
                <w:szCs w:val="14"/>
                <w:b w:val="1"/>
                <w:bCs w:val="1"/>
                <w:color w:val="auto"/>
              </w:rPr>
              <w:t>Sep. 30,</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4580" w:type="dxa"/>
            <w:vAlign w:val="bottom"/>
            <w:tcBorders>
              <w:left w:val="single" w:sz="8" w:color="B8CCE4"/>
              <w:bottom w:val="single" w:sz="8" w:color="B8CCE4"/>
              <w:right w:val="single" w:sz="8" w:color="B8CCE4"/>
            </w:tcBorders>
          </w:tcPr>
          <w:p>
            <w:pPr>
              <w:spacing w:after="0"/>
              <w:rPr>
                <w:sz w:val="14"/>
                <w:szCs w:val="14"/>
                <w:color w:val="auto"/>
              </w:rPr>
            </w:pPr>
          </w:p>
        </w:tc>
        <w:tc>
          <w:tcPr>
            <w:tcW w:w="1360" w:type="dxa"/>
            <w:vAlign w:val="bottom"/>
            <w:tcBorders>
              <w:bottom w:val="single" w:sz="8" w:color="B8CCE4"/>
              <w:right w:val="single" w:sz="8" w:color="B8CCE4"/>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B8CCE4"/>
            </w:tcBorders>
          </w:tcPr>
          <w:p>
            <w:pPr>
              <w:spacing w:after="0"/>
              <w:rPr>
                <w:sz w:val="14"/>
                <w:szCs w:val="14"/>
                <w:color w:val="auto"/>
              </w:rPr>
            </w:pPr>
          </w:p>
        </w:tc>
        <w:tc>
          <w:tcPr>
            <w:tcW w:w="1180" w:type="dxa"/>
            <w:vAlign w:val="bottom"/>
            <w:tcBorders>
              <w:bottom w:val="single" w:sz="8" w:color="B8CCE4"/>
              <w:right w:val="single" w:sz="8" w:color="B8CCE4"/>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$267.3</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$274.5</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$225.7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18.4%</w:t>
            </w: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$12.1</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(6.2%)</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$28.4</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(6.0%)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64.2%</w:t>
            </w: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10.6 %</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11.0 %</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7.7 %</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(40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290 bps</w:t>
            </w:r>
          </w:p>
        </w:tc>
        <w:tc>
          <w:tcPr>
            <w:tcW w:w="0" w:type="dxa"/>
            <w:vAlign w:val="bottom"/>
          </w:tcPr>
          <w:p>
            <w:pPr>
              <w:spacing w:after="0"/>
              <w:rPr>
                <w:sz w:val="1"/>
                <w:szCs w:val="1"/>
                <w:color w:val="auto"/>
              </w:rPr>
            </w:pPr>
          </w:p>
        </w:tc>
      </w:tr>
      <w:tr>
        <w:trPr>
          <w:trHeight w:val="250"/>
        </w:trPr>
        <w:tc>
          <w:tcPr>
            <w:tcW w:w="4580" w:type="dxa"/>
            <w:vAlign w:val="bottom"/>
            <w:tcBorders>
              <w:left w:val="single" w:sz="8" w:color="B8CCE4"/>
              <w:bottom w:val="single" w:sz="8" w:color="B8CCE4"/>
            </w:tcBorders>
          </w:tcPr>
          <w:p>
            <w:pPr>
              <w:spacing w:after="0"/>
              <w:rPr>
                <w:sz w:val="21"/>
                <w:szCs w:val="21"/>
                <w:color w:val="auto"/>
              </w:rPr>
            </w:pPr>
          </w:p>
        </w:tc>
        <w:tc>
          <w:tcPr>
            <w:tcW w:w="136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200" w:type="dxa"/>
            <w:vAlign w:val="bottom"/>
            <w:tcBorders>
              <w:bottom w:val="single" w:sz="8" w:color="B8CCE4"/>
            </w:tcBorders>
          </w:tcPr>
          <w:p>
            <w:pPr>
              <w:spacing w:after="0"/>
              <w:rPr>
                <w:sz w:val="21"/>
                <w:szCs w:val="21"/>
                <w:color w:val="auto"/>
              </w:rPr>
            </w:pPr>
          </w:p>
        </w:tc>
        <w:tc>
          <w:tcPr>
            <w:tcW w:w="118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Inbound orders</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$249.9</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$268.2</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$207.5</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(6.8%)</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20.4%</w:t>
            </w:r>
          </w:p>
        </w:tc>
        <w:tc>
          <w:tcPr>
            <w:tcW w:w="0" w:type="dxa"/>
            <w:vAlign w:val="bottom"/>
          </w:tcPr>
          <w:p>
            <w:pPr>
              <w:spacing w:after="0"/>
              <w:rPr>
                <w:sz w:val="1"/>
                <w:szCs w:val="1"/>
                <w:color w:val="auto"/>
              </w:rPr>
            </w:pPr>
          </w:p>
        </w:tc>
      </w:tr>
      <w:tr>
        <w:trPr>
          <w:trHeight w:val="223"/>
        </w:trPr>
        <w:tc>
          <w:tcPr>
            <w:tcW w:w="45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Backlog</w:t>
            </w:r>
          </w:p>
        </w:tc>
        <w:tc>
          <w:tcPr>
            <w:tcW w:w="13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$341.0</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$360.4</w:t>
            </w:r>
          </w:p>
        </w:tc>
        <w:tc>
          <w:tcPr>
            <w:tcW w:w="20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$368.9</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(5.4%)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Surface Technologies reported third quarter revenue of $ 267.3 million, a decrease of 2.6 percent from the second quarter. Revenue decreased sequentially primarily due to the timing of large, multi-year international awards, partially offset by increased revenue in North America. The continued growth in North America was driven by higher drilling and completion activity.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Surface Technologies reported operating profit of $12.1 million. Sequentially, operating profit decreased primarily due to lower revenue.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Surface Technologies reported adjusted EBITDA of $28.4 million. Adjusted EBITDA decreased 6 percent when compared to the second quarter, primarily driven by lower revenue. Adjusted EBITDA margin decreased 40 basis points to 10.6 percent.</w:t>
      </w:r>
    </w:p>
    <w:p>
      <w:pPr>
        <w:spacing w:after="0" w:line="15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Inbound orders for the quarter were $249.9 million, a decrease of 6.8 percent sequentially. Book-to-bill was 0.9 in the period. We expect a significant increase in international order activity in the fourth quarter, driven by several multi-year awards.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Backlog ended the period at $341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 xml:space="preserve">Corporate and Other Items </w:t>
      </w:r>
      <w:r>
        <w:rPr>
          <w:rFonts w:ascii="Arial" w:cs="Arial" w:eastAsia="Arial" w:hAnsi="Arial"/>
          <w:sz w:val="20"/>
          <w:szCs w:val="20"/>
          <w:color w:val="auto"/>
        </w:rPr>
        <w:t>(three months ended, September 30,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Corporate expense was $29.3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loss was $6.2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Net interest expense was $39.3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provision for income taxes was $12.3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was $96.5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Cash provided by operating activities from continuing operations was $135.9 million. Capital expenditures were $47.3 million.</w:t>
      </w:r>
    </w:p>
    <w:p>
      <w:pPr>
        <w:spacing w:after="0"/>
        <w:rPr>
          <w:sz w:val="20"/>
          <w:szCs w:val="20"/>
          <w:color w:val="auto"/>
        </w:rPr>
      </w:pPr>
      <w:r>
        <w:rPr>
          <w:rFonts w:ascii="Arial" w:cs="Arial" w:eastAsia="Arial" w:hAnsi="Arial"/>
          <w:sz w:val="20"/>
          <w:szCs w:val="20"/>
          <w:color w:val="auto"/>
        </w:rPr>
        <w:t>Free cash flow from continuing operations was $88.6 million (Exhibit 11).</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period with cash and cash equivalents of $1,034 million; net debt was $1,221.8 million. Net debt declined $401.2 million from the second quarter due in part to a tender offer in September from which we purchased $164.1 million of 6.5% senior notes due 2026. Upon completion of the tender offer in October, we purchased an additional $2.8 million of the outstanding notes (Exhibit 10).</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in Technip Energies</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completed the partial spin-off of Technip Energies on February 16, 2021. Financial results for Technip Energies are reported as discontinued operations. The Company’s investment in Technip Energies is reflected in current assets at market value.</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July 29, 2021, the Company sold 16 million shares from its retained stake in Technip Energies for gross proceeds of $213.1 million.</w:t>
      </w:r>
    </w:p>
    <w:p>
      <w:pPr>
        <w:spacing w:after="0" w:line="15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On September 3, 2021, the Company announced the sale of 17.6 million shares of its retained stake in Technip Energies to HAL Holding, N.V. (HAL) for gross proceeds of approximately $230 million. The HAL sale was completed in two tranches. The first tranche of 8.6 million shares was sold and settled in September for gross proceeds of $114.4 million. The second tranche of 9.0 million shares was sold in September and is expected to settle before the end of October for gross proceeds of approximately $115 million.</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September 30, 2021, the Company’s ownership stake was 30.9 million shares, or approximately 17.2% of Technip Energies’ issued and outstanding share capital. Following the completion of the sale of the second tranche to HAL, the Company retains a direct stake of 21.9 million shares, representing 12.3% of Technip Energies’ issued and outstanding share capital.</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recognized a gain in the third quarter of $28.5 million from its equity ownership in Technip Energies. The gain was primarily related to the change in market value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Additional items</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During the quarter, the Company acquired the remaining 49% interest in TIOS AS, a joint venture between the Company and Island Offshore Management AS, for cash consideration of $48.7 million.</w:t>
      </w:r>
    </w:p>
    <w:p>
      <w:pPr>
        <w:spacing w:after="0" w:line="19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2018, we entered into a collaboration agreement with Magma Global Ltd. (“Magma Global”) to develop a new generation of hybrid flexible pipe for use in offshore applications. As part of the collaboration, we purchased a 25% ownership stake in Magma Global. In October 2021, we purchased the remaining 75% ownership stake for $64 million. The cash consideration will be paid to the shareholders of Magma Global in three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2021 Full-Year Financial Guidance</w:t>
      </w:r>
      <w:r>
        <w:rPr>
          <w:rFonts w:ascii="Arial" w:cs="Arial" w:eastAsia="Arial" w:hAnsi="Arial"/>
          <w:sz w:val="25"/>
          <w:szCs w:val="25"/>
          <w:b w:val="1"/>
          <w:bCs w:val="1"/>
          <w:color w:val="auto"/>
          <w:vertAlign w:val="superscript"/>
        </w:rPr>
        <w:t>1</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Company’s full-year guidance for 2021 can be found in the table below. No updates were made to the previous guidance that was issued on July 21, 2021.</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All segment guidance assumes no further material degradation from COVID-19-related impacts. Guidance is based on continuing operations and thus excludes the impact of Technip Energies, which is reported as discontinued operations.</w:t>
      </w:r>
    </w:p>
    <w:p>
      <w:pPr>
        <w:spacing w:after="0" w:line="369"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 xml:space="preserve">2021 Guidance </w:t>
      </w:r>
      <w:r>
        <w:rPr>
          <w:rFonts w:ascii="Arial" w:cs="Arial" w:eastAsia="Arial" w:hAnsi="Arial"/>
          <w:sz w:val="16"/>
          <w:szCs w:val="16"/>
          <w:b w:val="1"/>
          <w:bCs w:val="1"/>
          <w:i w:val="1"/>
          <w:iCs w:val="1"/>
          <w:color w:val="auto"/>
        </w:rPr>
        <w:t>(As of July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147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14745" cy="171450"/>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40" w:type="dxa"/>
            <w:vAlign w:val="bottom"/>
            <w:tcBorders>
              <w:top w:val="single" w:sz="8" w:color="auto"/>
              <w:left w:val="single" w:sz="8" w:color="auto"/>
              <w:bottom w:val="single" w:sz="8" w:color="auto"/>
            </w:tcBorders>
            <w:shd w:val="clear" w:color="auto" w:fill="00A3E0"/>
          </w:tcPr>
          <w:p>
            <w:pPr>
              <w:ind w:left="1980"/>
              <w:spacing w:after="0"/>
              <w:rPr>
                <w:sz w:val="20"/>
                <w:szCs w:val="20"/>
                <w:color w:val="auto"/>
              </w:rPr>
            </w:pPr>
            <w:r>
              <w:rPr>
                <w:rFonts w:ascii="Arial" w:cs="Arial" w:eastAsia="Arial" w:hAnsi="Arial"/>
                <w:sz w:val="20"/>
                <w:szCs w:val="20"/>
                <w:b w:val="1"/>
                <w:bCs w:val="1"/>
                <w:color w:val="FFFFFF"/>
              </w:rPr>
              <w:t>Subsea</w:t>
            </w:r>
          </w:p>
        </w:tc>
        <w:tc>
          <w:tcPr>
            <w:tcW w:w="520" w:type="dxa"/>
            <w:vAlign w:val="bottom"/>
            <w:tcBorders>
              <w:top w:val="single" w:sz="8" w:color="auto"/>
              <w:bottom w:val="single" w:sz="8" w:color="auto"/>
              <w:right w:val="single" w:sz="8" w:color="auto"/>
            </w:tcBorders>
            <w:shd w:val="clear" w:color="auto" w:fill="00A3E0"/>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4980" w:type="dxa"/>
            <w:vAlign w:val="bottom"/>
            <w:tcBorders>
              <w:top w:val="single" w:sz="8" w:color="auto"/>
              <w:bottom w:val="single" w:sz="8" w:color="auto"/>
            </w:tcBorders>
            <w:shd w:val="clear" w:color="auto" w:fill="7F7F7F"/>
          </w:tcPr>
          <w:p>
            <w:pPr>
              <w:ind w:left="1480"/>
              <w:spacing w:after="0"/>
              <w:rPr>
                <w:sz w:val="20"/>
                <w:szCs w:val="20"/>
                <w:color w:val="auto"/>
              </w:rPr>
            </w:pPr>
            <w:r>
              <w:rPr>
                <w:rFonts w:ascii="Arial" w:cs="Arial" w:eastAsia="Arial" w:hAnsi="Arial"/>
                <w:sz w:val="20"/>
                <w:szCs w:val="20"/>
                <w:b w:val="1"/>
                <w:bCs w:val="1"/>
                <w:color w:val="FFFFFF"/>
              </w:rPr>
              <w:t>Surface Technologies</w:t>
            </w:r>
          </w:p>
        </w:tc>
        <w:tc>
          <w:tcPr>
            <w:tcW w:w="20" w:type="dxa"/>
            <w:vAlign w:val="bottom"/>
            <w:tcBorders>
              <w:top w:val="single" w:sz="8" w:color="auto"/>
              <w:bottom w:val="single" w:sz="8" w:color="auto"/>
            </w:tcBorders>
            <w:shd w:val="clear" w:color="auto" w:fill="000000"/>
          </w:tcPr>
          <w:p>
            <w:pPr>
              <w:spacing w:after="0"/>
              <w:rPr>
                <w:sz w:val="22"/>
                <w:szCs w:val="22"/>
                <w:color w:val="auto"/>
              </w:rPr>
            </w:pPr>
          </w:p>
        </w:tc>
      </w:tr>
      <w:tr>
        <w:trPr>
          <w:trHeight w:val="223"/>
        </w:trPr>
        <w:tc>
          <w:tcPr>
            <w:tcW w:w="41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Revenue in a range of $5.2 - 5.5 billion</w:t>
            </w:r>
          </w:p>
        </w:tc>
        <w:tc>
          <w:tcPr>
            <w:tcW w:w="5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Revenue in a range of $1,050 - 1,250 million</w:t>
            </w:r>
          </w:p>
        </w:tc>
        <w:tc>
          <w:tcPr>
            <w:tcW w:w="20" w:type="dxa"/>
            <w:vAlign w:val="bottom"/>
            <w:shd w:val="clear" w:color="auto" w:fill="000000"/>
          </w:tcPr>
          <w:p>
            <w:pPr>
              <w:spacing w:after="0"/>
              <w:rPr>
                <w:sz w:val="19"/>
                <w:szCs w:val="19"/>
                <w:color w:val="auto"/>
              </w:rPr>
            </w:pPr>
          </w:p>
        </w:tc>
      </w:tr>
      <w:tr>
        <w:trPr>
          <w:trHeight w:val="242"/>
        </w:trPr>
        <w:tc>
          <w:tcPr>
            <w:tcW w:w="41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EBITDA margin in a range of 10 - 11% (excluding</w:t>
            </w:r>
          </w:p>
        </w:tc>
        <w:tc>
          <w:tcPr>
            <w:tcW w:w="52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EBITDA margin in a range of 10 - 12% (excluding charges</w:t>
            </w:r>
          </w:p>
        </w:tc>
        <w:tc>
          <w:tcPr>
            <w:tcW w:w="20" w:type="dxa"/>
            <w:vAlign w:val="bottom"/>
            <w:shd w:val="clear" w:color="auto" w:fill="000000"/>
          </w:tcPr>
          <w:p>
            <w:pPr>
              <w:spacing w:after="0"/>
              <w:rPr>
                <w:sz w:val="21"/>
                <w:szCs w:val="21"/>
                <w:color w:val="auto"/>
              </w:rPr>
            </w:pPr>
          </w:p>
        </w:tc>
      </w:tr>
      <w:tr>
        <w:trPr>
          <w:trHeight w:val="217"/>
        </w:trPr>
        <w:tc>
          <w:tcPr>
            <w:tcW w:w="4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charges and credits)</w:t>
            </w:r>
          </w:p>
        </w:tc>
        <w:tc>
          <w:tcPr>
            <w:tcW w:w="5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credits)</w:t>
            </w:r>
          </w:p>
        </w:tc>
        <w:tc>
          <w:tcPr>
            <w:tcW w:w="20" w:type="dxa"/>
            <w:vAlign w:val="bottom"/>
            <w:tcBorders>
              <w:bottom w:val="single" w:sz="8" w:color="auto"/>
            </w:tcBorders>
            <w:shd w:val="clear" w:color="auto" w:fill="000000"/>
          </w:tcPr>
          <w:p>
            <w:pPr>
              <w:spacing w:after="0"/>
              <w:rPr>
                <w:sz w:val="18"/>
                <w:szCs w:val="18"/>
                <w:color w:val="auto"/>
              </w:rPr>
            </w:pPr>
          </w:p>
        </w:tc>
      </w:tr>
      <w:tr>
        <w:trPr>
          <w:trHeight w:val="250"/>
        </w:trPr>
        <w:tc>
          <w:tcPr>
            <w:tcW w:w="4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7"/>
        </w:trPr>
        <w:tc>
          <w:tcPr>
            <w:tcW w:w="4140" w:type="dxa"/>
            <w:vAlign w:val="bottom"/>
            <w:tcBorders>
              <w:left w:val="single" w:sz="8" w:color="512D6D"/>
              <w:bottom w:val="single" w:sz="8" w:color="auto"/>
            </w:tcBorders>
            <w:shd w:val="clear" w:color="auto" w:fill="512D6D"/>
          </w:tcPr>
          <w:p>
            <w:pPr>
              <w:spacing w:after="0"/>
              <w:rPr>
                <w:sz w:val="20"/>
                <w:szCs w:val="20"/>
                <w:color w:val="auto"/>
              </w:rPr>
            </w:pPr>
          </w:p>
        </w:tc>
        <w:tc>
          <w:tcPr>
            <w:tcW w:w="5640" w:type="dxa"/>
            <w:vAlign w:val="bottom"/>
            <w:tcBorders>
              <w:bottom w:val="single" w:sz="8" w:color="auto"/>
            </w:tcBorders>
            <w:gridSpan w:val="3"/>
            <w:shd w:val="clear" w:color="auto" w:fill="512D6D"/>
          </w:tcPr>
          <w:p>
            <w:pPr>
              <w:ind w:left="180"/>
              <w:spacing w:after="0"/>
              <w:rPr>
                <w:sz w:val="20"/>
                <w:szCs w:val="20"/>
                <w:color w:val="auto"/>
              </w:rPr>
            </w:pPr>
            <w:r>
              <w:rPr>
                <w:rFonts w:ascii="Arial" w:cs="Arial" w:eastAsia="Arial" w:hAnsi="Arial"/>
                <w:sz w:val="20"/>
                <w:szCs w:val="20"/>
                <w:b w:val="1"/>
                <w:bCs w:val="1"/>
                <w:color w:val="FFFFFF"/>
              </w:rPr>
              <w:t>TechnipFMC</w:t>
            </w:r>
          </w:p>
        </w:tc>
        <w:tc>
          <w:tcPr>
            <w:tcW w:w="20" w:type="dxa"/>
            <w:vAlign w:val="bottom"/>
            <w:tcBorders>
              <w:bottom w:val="single" w:sz="8" w:color="auto"/>
            </w:tcBorders>
          </w:tcPr>
          <w:p>
            <w:pPr>
              <w:spacing w:after="0"/>
              <w:rPr>
                <w:sz w:val="20"/>
                <w:szCs w:val="20"/>
                <w:color w:val="auto"/>
              </w:rPr>
            </w:pPr>
          </w:p>
        </w:tc>
      </w:tr>
      <w:tr>
        <w:trPr>
          <w:trHeight w:val="252"/>
        </w:trPr>
        <w:tc>
          <w:tcPr>
            <w:tcW w:w="4140" w:type="dxa"/>
            <w:vAlign w:val="bottom"/>
          </w:tcPr>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$105 - 115 million</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6214745" cy="1877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14745" cy="18770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i w:val="1"/>
          <w:iCs w:val="1"/>
          <w:color w:val="auto"/>
        </w:rPr>
        <w:t>(includes depreciation and amortization of ~$5 million)</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$135 - 140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$85 - 95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$250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$120 - 220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171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30" w:lineRule="auto"/>
        <w:tabs>
          <w:tab w:leader="none" w:pos="8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Our guidance measures adjusted EBITDA margin, corporate expense, net, net interest expense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Analyst Day</w:t>
      </w:r>
    </w:p>
    <w:p>
      <w:pPr>
        <w:spacing w:after="0" w:line="19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Company will host an Analyst Day on Tuesday, November 16, 2021 in Houston, Texas. The general presentation session will be held from 8:30 a.m. to 12 p.m. Houston time and will be available via webcast (link to be made available prior to event).</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Throughout the day, we will share more on how we are leveraging and extending our core competencies of innovation, integration and collaboration to develop both new and novel energy resources offshore.</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Following the live webcast, those attending the event in-person will participate in a series of tours showcasing several of the innovative and disruptive technologies that demonstrate how TechnipFMC continues to drive change in the energy industry.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Teleconference</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October 21, 2021 to discuss the third quarter 2021 financial results. The call will begin at 1 p.m. London time (8 a.m. New York time). Webcast access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is a leading technology provider to the traditional and new energy industries; delivering fully integrated projects, products, and services.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808080"/>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Organized in two business segments — Subsea and Surface Technologies — we will continue to advance the industry with our pioneering integrated ecosystems (such as iEPCI™, iFEED™ and iComplete™), technology leadership and digital innovation.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Each of our approximately 20,000 employees is driven by a commitment to our clients’ success, and a culture of strong execution, purposeful innovation, and challenging industry conventions.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uses its website as a channel of distribution of material company information. To learn more about how we are driving change in the industry, go to www.TechnipFMC.com and follow us on Twitter @TechnipFMC.</w:t>
      </w: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Forward-looking statement usually relate to future events and anticipated revenues, earnings, cash flows, or other aspects of our operations or operating results. Forward-looking statements are often identified by words such as “guidance,” “confident,” “believe,” “expect,” “anticipate,” “plan,” “intend,” “foresee,” “should,” “would,” “could,” “may,” “will,” “likely,” “predicated,”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these forward-looking statements are reasonable as and when made, there can be no assurance that future developments affecting us will be those that we anticipate. All of our forward-looking statements involve risks and uncertainties (some of which are significant or beyond our control) and assumptions that could cause actual results to differ materially from our historical experience and our present expectations or projections, including unpredictable trends in the demand for and price of crude oil and natural gas; competition and unanticipated changes relating to competitive factors in our industry, including ongoing industry consolidation; the COVID-19 pandemic and its impact on the demand for our products and services; our inability to develop, implement and protect new technologies and services; the cumulative loss of major contracts, customers or alliances; disruptions in the political, regulatory, economic and social conditions of the countries in which we conduct business; the refusal of DTC and Euroclear to act as depository and clearing agencies for our shares; the United Kingdom’s withdrawal from the European Union; the impact of our existing and future indebtedness and the restrictions on our operations by terms of the agreements governing our existing indebtedness; the risks caused by our acquisition and divestiture activities; the risks caused by fixed-price contracts; any delays and cost overruns of new capital asset construction projects for vessels and manufacturing facilities; our failure to deliver our backlog; our reliance on subcontractors, suppliers and our joint venture partners; a failure or breach of our IT infrastructure or that of our subcontractors, suppliers or joint venture partners, including as a result of cyber-attacks; the risks of pirates endangering our maritime employees and assets; potential liabilities inherent in the industries in which we operate or have operated; our failure to comply with numerous laws and regulations, including those related to environmental protection, health and safety, labor and employment, import/export controls, currency exchange, bribery and corruption, taxation, privacy, data protection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08"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security; the additional restrictions on dividend payouts or share repurchases as an English public limited company; uninsured claims and litigation against us, including intellectual property litigation; tax laws, treaties and regulations and any unfavorable findings by relevant tax authorities; the uncertainties related to the anticipated benefits or our future liabilities in connection with the spin-off of Technip Energies (the “Spin-off”); any negative changes in Technip Energies’ results of operations, cash flows and financial position, which impact the value of our remaining investment therein; potential departure of our key managers and employees; adverse seasonal and weather conditions and unfavorable currency exchange rate and risk in connection with our defined benefit pension plan commitments and other risks as discussed in Part I, Item 1A, “Risk Factors” of our Annual Report on Form 10-K for the fiscal year ended December 31, 2020 and Part II, Item 1A, “Risk Factors” of our subsequently filed Quarterly Reports on Form 10-Q.</w:t>
      </w:r>
    </w:p>
    <w:p>
      <w:pPr>
        <w:spacing w:after="0" w:line="3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Contacts</w:t>
      </w:r>
    </w:p>
    <w:p>
      <w:pPr>
        <w:spacing w:after="0" w:line="211" w:lineRule="exact"/>
        <w:rPr>
          <w:sz w:val="20"/>
          <w:szCs w:val="20"/>
          <w:color w:val="auto"/>
        </w:rPr>
      </w:pPr>
    </w:p>
    <w:tbl>
      <w:tblPr>
        <w:tblLayout w:type="fixed"/>
        <w:tblInd w:w="740" w:type="dxa"/>
        <w:tblCellMar>
          <w:top w:w="0" w:type="dxa"/>
          <w:left w:w="0" w:type="dxa"/>
          <w:bottom w:w="0" w:type="dxa"/>
          <w:right w:w="0" w:type="dxa"/>
        </w:tblCellMar>
      </w:tblPr>
      <w:tr>
        <w:trPr>
          <w:trHeight w:val="261"/>
        </w:trPr>
        <w:tc>
          <w:tcPr>
            <w:tcW w:w="382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520" w:type="dxa"/>
            <w:vAlign w:val="bottom"/>
            <w:gridSpan w:val="4"/>
          </w:tcPr>
          <w:p>
            <w:pPr>
              <w:ind w:left="740"/>
              <w:spacing w:after="0"/>
              <w:rPr>
                <w:sz w:val="20"/>
                <w:szCs w:val="20"/>
                <w:color w:val="auto"/>
              </w:rPr>
            </w:pPr>
            <w:r>
              <w:rPr>
                <w:rFonts w:ascii="Arial" w:cs="Arial" w:eastAsia="Arial" w:hAnsi="Arial"/>
                <w:sz w:val="20"/>
                <w:szCs w:val="20"/>
                <w:b w:val="1"/>
                <w:bCs w:val="1"/>
                <w:color w:val="auto"/>
              </w:rPr>
              <w:t>Media relations</w:t>
            </w:r>
          </w:p>
        </w:tc>
      </w:tr>
      <w:tr>
        <w:trPr>
          <w:trHeight w:val="384"/>
        </w:trPr>
        <w:tc>
          <w:tcPr>
            <w:tcW w:w="382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520" w:type="dxa"/>
            <w:vAlign w:val="bottom"/>
            <w:gridSpan w:val="4"/>
          </w:tcPr>
          <w:p>
            <w:pPr>
              <w:ind w:left="740"/>
              <w:spacing w:after="0"/>
              <w:rPr>
                <w:sz w:val="20"/>
                <w:szCs w:val="20"/>
                <w:color w:val="auto"/>
              </w:rPr>
            </w:pPr>
            <w:r>
              <w:rPr>
                <w:rFonts w:ascii="Arial" w:cs="Arial" w:eastAsia="Arial" w:hAnsi="Arial"/>
                <w:sz w:val="20"/>
                <w:szCs w:val="20"/>
                <w:color w:val="auto"/>
              </w:rPr>
              <w:t>Nicola Cameron</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Vice President, Investor Relations</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w w:val="98"/>
              </w:rPr>
              <w:t>Vice President, Corporate Communications</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Tel: +44 383 742 297</w:t>
            </w:r>
          </w:p>
        </w:tc>
      </w:tr>
      <w:tr>
        <w:trPr>
          <w:trHeight w:val="193"/>
        </w:trPr>
        <w:tc>
          <w:tcPr>
            <w:tcW w:w="38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Matt Seinsheimer</w:t>
            </w:r>
          </w:p>
        </w:tc>
        <w:tc>
          <w:tcPr>
            <w:tcW w:w="4520" w:type="dxa"/>
            <w:vAlign w:val="bottom"/>
            <w:gridSpan w:val="4"/>
          </w:tcPr>
          <w:p>
            <w:pPr>
              <w:ind w:left="74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Nicola Cameron</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08"/>
        </w:trPr>
        <w:tc>
          <w:tcPr>
            <w:tcW w:w="382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4520" w:type="dxa"/>
            <w:vAlign w:val="bottom"/>
            <w:gridSpan w:val="4"/>
          </w:tcPr>
          <w:p>
            <w:pPr>
              <w:ind w:left="740"/>
              <w:spacing w:after="0"/>
              <w:rPr>
                <w:sz w:val="20"/>
                <w:szCs w:val="20"/>
                <w:color w:val="auto"/>
              </w:rPr>
            </w:pPr>
            <w:r>
              <w:rPr>
                <w:rFonts w:ascii="Arial" w:cs="Arial" w:eastAsia="Arial" w:hAnsi="Arial"/>
                <w:sz w:val="20"/>
                <w:szCs w:val="20"/>
                <w:color w:val="auto"/>
              </w:rPr>
              <w:t>Catie Tuley</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Senior Manager, Investor Relations</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Director, Public Relations</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Tel: +1 281 591 5405</w:t>
            </w:r>
          </w:p>
        </w:tc>
      </w:tr>
      <w:tr>
        <w:trPr>
          <w:trHeight w:val="193"/>
        </w:trPr>
        <w:tc>
          <w:tcPr>
            <w:tcW w:w="38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James Davis</w:t>
            </w:r>
          </w:p>
        </w:tc>
        <w:tc>
          <w:tcPr>
            <w:tcW w:w="4520" w:type="dxa"/>
            <w:vAlign w:val="bottom"/>
            <w:gridSpan w:val="4"/>
          </w:tcPr>
          <w:p>
            <w:pPr>
              <w:ind w:left="74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Catie Tuley</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12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41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3"/>
              </w:rPr>
              <w:t>(Unaudited)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9"/>
              </w:rPr>
              <w:t>Three Months Ended</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7"/>
                <w:szCs w:val="17"/>
                <w:color w:val="auto"/>
              </w:rPr>
            </w:pPr>
          </w:p>
        </w:tc>
        <w:tc>
          <w:tcPr>
            <w:tcW w:w="126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393"/>
        </w:trPr>
        <w:tc>
          <w:tcPr>
            <w:tcW w:w="3720" w:type="dxa"/>
            <w:vAlign w:val="bottom"/>
          </w:tcPr>
          <w:p>
            <w:pPr>
              <w:spacing w:after="0"/>
              <w:rPr>
                <w:sz w:val="20"/>
                <w:szCs w:val="20"/>
                <w:color w:val="auto"/>
              </w:rPr>
            </w:pPr>
            <w:r>
              <w:rPr>
                <w:rFonts w:ascii="Arial" w:cs="Arial" w:eastAsia="Arial" w:hAnsi="Arial"/>
                <w:sz w:val="15"/>
                <w:szCs w:val="15"/>
                <w:color w:val="auto"/>
              </w:rPr>
              <w:t>Revenue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1,579.4</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1,668.8</w:t>
            </w:r>
          </w:p>
        </w:tc>
        <w:tc>
          <w:tcPr>
            <w:tcW w:w="10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1,727.5</w:t>
            </w:r>
          </w:p>
        </w:tc>
        <w:tc>
          <w:tcPr>
            <w:tcW w:w="120" w:type="dxa"/>
            <w:vAlign w:val="bottom"/>
          </w:tcPr>
          <w:p>
            <w:pPr>
              <w:spacing w:after="0"/>
              <w:rPr>
                <w:sz w:val="24"/>
                <w:szCs w:val="24"/>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4,880.2</w:t>
            </w:r>
          </w:p>
        </w:tc>
        <w:tc>
          <w:tcPr>
            <w:tcW w:w="100" w:type="dxa"/>
            <w:vAlign w:val="bottom"/>
          </w:tcPr>
          <w:p>
            <w:pPr>
              <w:spacing w:after="0"/>
              <w:rPr>
                <w:sz w:val="24"/>
                <w:szCs w:val="24"/>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4,930.3</w:t>
            </w:r>
          </w:p>
        </w:tc>
        <w:tc>
          <w:tcPr>
            <w:tcW w:w="0" w:type="dxa"/>
            <w:vAlign w:val="bottom"/>
          </w:tcPr>
          <w:p>
            <w:pPr>
              <w:spacing w:after="0"/>
              <w:rPr>
                <w:sz w:val="1"/>
                <w:szCs w:val="1"/>
                <w:color w:val="auto"/>
              </w:rPr>
            </w:pPr>
          </w:p>
        </w:tc>
      </w:tr>
      <w:tr>
        <w:trPr>
          <w:trHeight w:val="207"/>
        </w:trPr>
        <w:tc>
          <w:tcPr>
            <w:tcW w:w="3720" w:type="dxa"/>
            <w:vAlign w:val="bottom"/>
          </w:tcPr>
          <w:p>
            <w:pPr>
              <w:spacing w:after="0"/>
              <w:rPr>
                <w:sz w:val="20"/>
                <w:szCs w:val="20"/>
                <w:color w:val="auto"/>
              </w:rPr>
            </w:pPr>
            <w:r>
              <w:rPr>
                <w:rFonts w:ascii="Arial" w:cs="Arial" w:eastAsia="Arial" w:hAnsi="Arial"/>
                <w:sz w:val="15"/>
                <w:szCs w:val="15"/>
                <w:color w:val="auto"/>
              </w:rPr>
              <w:t>Costs and expenses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1,543.4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1,774.9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4,810.5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8,336.0</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(3,405.7)</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Income (loss) from investment in Technip Energies</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w w:val="93"/>
              </w:rPr>
              <w:t>Income (loss) before net interest expense and income taxes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(3,376.3)</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Net interest expense</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Loss on early extinguishment of debt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rPr>
              <w:t>Income (loss) before income taxes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(3,449.0)</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rPr>
              <w:t>Income (loss) from continuing operations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220.5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(3,462.5)</w:t>
            </w: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5"/>
                <w:szCs w:val="15"/>
                <w:color w:val="auto"/>
                <w:w w:val="95"/>
              </w:rPr>
              <w:t>Net income from continuing operations attributable to non-</w:t>
            </w: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controlling interests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line="136" w:lineRule="exact"/>
              <w:rPr>
                <w:sz w:val="20"/>
                <w:szCs w:val="20"/>
                <w:color w:val="auto"/>
              </w:rPr>
            </w:pPr>
            <w:r>
              <w:rPr>
                <w:rFonts w:ascii="Arial" w:cs="Arial" w:eastAsia="Arial" w:hAnsi="Arial"/>
                <w:sz w:val="15"/>
                <w:szCs w:val="15"/>
                <w:color w:val="auto"/>
              </w:rPr>
              <w:t>Income (loss) from continuing operations attributable to</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(40.6)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(174.7)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(64.7)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215.0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(3,477.1)</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5"/>
                <w:szCs w:val="15"/>
                <w:color w:val="auto"/>
              </w:rPr>
              <w:t>TechnipFMC plc</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15"/>
                <w:szCs w:val="15"/>
                <w:color w:val="auto"/>
              </w:rPr>
              <w:t>Income (loss) from discontinued operations</w:t>
            </w:r>
          </w:p>
        </w:tc>
        <w:tc>
          <w:tcPr>
            <w:tcW w:w="16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238.5</w:t>
            </w: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5"/>
                <w:szCs w:val="15"/>
                <w:color w:val="auto"/>
                <w:w w:val="98"/>
              </w:rPr>
              <w:t>Income from discontinued operations attributable to non-</w:t>
            </w:r>
          </w:p>
        </w:tc>
        <w:tc>
          <w:tcPr>
            <w:tcW w:w="16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20"/>
                <w:szCs w:val="20"/>
                <w:color w:val="auto"/>
              </w:rPr>
            </w:pPr>
            <w:r>
              <w:rPr>
                <w:rFonts w:ascii="Arial" w:cs="Arial" w:eastAsia="Arial" w:hAnsi="Arial"/>
                <w:sz w:val="15"/>
                <w:szCs w:val="15"/>
                <w:color w:val="auto"/>
              </w:rPr>
              <w:t>controlling interests</w:t>
            </w: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5"/>
                <w:szCs w:val="15"/>
                <w:color w:val="auto"/>
              </w:rPr>
              <w:t>Net income (loss) attributable to TechnipFMC plc</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169.0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(3,248.3)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5"/>
                <w:szCs w:val="15"/>
                <w:color w:val="auto"/>
              </w:rPr>
              <w:t>Earnings (loss) per share from continuing operations</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(0.39)</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(0.14)</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0.48</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(0.39)</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(0.14)</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0.47</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Earnings (loss) per share from discontinued operations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0.14</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(0.10)</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364"/>
        </w:trPr>
        <w:tc>
          <w:tcPr>
            <w:tcW w:w="3720" w:type="dxa"/>
            <w:vAlign w:val="bottom"/>
          </w:tcPr>
          <w:p>
            <w:pPr>
              <w:spacing w:after="0"/>
              <w:rPr>
                <w:sz w:val="20"/>
                <w:szCs w:val="20"/>
                <w:color w:val="auto"/>
              </w:rPr>
            </w:pPr>
            <w:r>
              <w:rPr>
                <w:rFonts w:ascii="Arial" w:cs="Arial" w:eastAsia="Arial" w:hAnsi="Arial"/>
                <w:sz w:val="15"/>
                <w:szCs w:val="15"/>
                <w:color w:val="auto"/>
                <w:w w:val="98"/>
              </w:rPr>
              <w:t>Earnings (loss) per share attributable to TechnipFMC plc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Weighted average shares outstanding: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450.7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448.4</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450.7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448.4</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Cash dividends declared per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779"/>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ind w:left="1140"/>
              <w:spacing w:after="0"/>
              <w:rPr>
                <w:sz w:val="20"/>
                <w:szCs w:val="20"/>
                <w:color w:val="auto"/>
              </w:rPr>
            </w:pPr>
            <w:r>
              <w:rPr>
                <w:rFonts w:ascii="Arial" w:cs="Arial" w:eastAsia="Arial" w:hAnsi="Arial"/>
                <w:sz w:val="14"/>
                <w:szCs w:val="14"/>
                <w:b w:val="1"/>
                <w:bCs w:val="1"/>
                <w:color w:val="auto"/>
              </w:rPr>
              <w:t>TechnipFMC.com</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13 of </w:t>
            </w:r>
            <w:hyperlink w:anchor="page28">
              <w:r>
                <w:rPr>
                  <w:rFonts w:ascii="Arial" w:cs="Arial" w:eastAsia="Arial" w:hAnsi="Arial"/>
                  <w:sz w:val="14"/>
                  <w:szCs w:val="14"/>
                  <w:b w:val="1"/>
                  <w:bCs w:val="1"/>
                  <w:color w:val="auto"/>
                </w:rPr>
                <w:t>25</w:t>
              </w:r>
            </w:hyperlink>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tcPr>
          <w:p>
            <w:pPr>
              <w:spacing w:after="0" w:line="161" w:lineRule="exact"/>
              <w:rPr>
                <w:sz w:val="20"/>
                <w:szCs w:val="20"/>
                <w:color w:val="auto"/>
              </w:rPr>
            </w:pPr>
            <w:r>
              <w:rPr>
                <w:rFonts w:ascii="Arial" w:cs="Arial" w:eastAsia="Arial" w:hAnsi="Arial"/>
                <w:sz w:val="16"/>
                <w:szCs w:val="16"/>
                <w:b w:val="1"/>
                <w:bCs w:val="1"/>
                <w:color w:val="auto"/>
                <w:w w:val="86"/>
              </w:rPr>
              <w:t>Revenue</w:t>
            </w:r>
          </w:p>
        </w:tc>
        <w:tc>
          <w:tcPr>
            <w:tcW w:w="306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3660" w:type="dxa"/>
            <w:vAlign w:val="bottom"/>
            <w:gridSpan w:val="5"/>
          </w:tcPr>
          <w:p>
            <w:pPr>
              <w:spacing w:after="0"/>
              <w:rPr>
                <w:sz w:val="20"/>
                <w:szCs w:val="20"/>
                <w:color w:val="auto"/>
              </w:rPr>
            </w:pPr>
            <w:r>
              <w:rPr>
                <w:rFonts w:ascii="Arial" w:cs="Arial" w:eastAsia="Arial" w:hAnsi="Arial"/>
                <w:sz w:val="16"/>
                <w:szCs w:val="16"/>
                <w:color w:val="auto"/>
              </w:rPr>
              <w:t>Subsea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1,312.1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1,394.3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1,501.8</w:t>
            </w:r>
          </w:p>
        </w:tc>
        <w:tc>
          <w:tcPr>
            <w:tcW w:w="120" w:type="dxa"/>
            <w:vAlign w:val="bottom"/>
          </w:tcPr>
          <w:p>
            <w:pPr>
              <w:spacing w:after="0"/>
              <w:rPr>
                <w:sz w:val="24"/>
                <w:szCs w:val="24"/>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4,092.9</w:t>
            </w:r>
          </w:p>
        </w:tc>
        <w:tc>
          <w:tcPr>
            <w:tcW w:w="8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4,133.4</w:t>
            </w:r>
          </w:p>
        </w:tc>
        <w:tc>
          <w:tcPr>
            <w:tcW w:w="0" w:type="dxa"/>
            <w:vAlign w:val="bottom"/>
          </w:tcPr>
          <w:p>
            <w:pPr>
              <w:spacing w:after="0"/>
              <w:rPr>
                <w:sz w:val="1"/>
                <w:szCs w:val="1"/>
                <w:color w:val="auto"/>
              </w:rPr>
            </w:pPr>
          </w:p>
        </w:tc>
      </w:tr>
      <w:tr>
        <w:trPr>
          <w:trHeight w:val="219"/>
        </w:trPr>
        <w:tc>
          <w:tcPr>
            <w:tcW w:w="3660" w:type="dxa"/>
            <w:vAlign w:val="bottom"/>
            <w:gridSpan w:val="5"/>
          </w:tcPr>
          <w:p>
            <w:pPr>
              <w:spacing w:after="0"/>
              <w:rPr>
                <w:sz w:val="20"/>
                <w:szCs w:val="20"/>
                <w:color w:val="auto"/>
              </w:rPr>
            </w:pPr>
            <w:r>
              <w:rPr>
                <w:rFonts w:ascii="Arial" w:cs="Arial" w:eastAsia="Arial" w:hAnsi="Arial"/>
                <w:sz w:val="16"/>
                <w:szCs w:val="16"/>
                <w:color w:val="auto"/>
              </w:rPr>
              <w:t>Surface Technologies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787.3</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1,579.4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1,668.8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1,727.5</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4,880.2</w:t>
            </w:r>
          </w:p>
        </w:tc>
        <w:tc>
          <w:tcPr>
            <w:tcW w:w="8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4,930.3</w:t>
            </w:r>
          </w:p>
        </w:tc>
        <w:tc>
          <w:tcPr>
            <w:tcW w:w="0" w:type="dxa"/>
            <w:vAlign w:val="bottom"/>
          </w:tcPr>
          <w:p>
            <w:pPr>
              <w:spacing w:after="0"/>
              <w:rPr>
                <w:sz w:val="1"/>
                <w:szCs w:val="1"/>
                <w:color w:val="auto"/>
              </w:rPr>
            </w:pPr>
          </w:p>
        </w:tc>
      </w:tr>
      <w:tr>
        <w:trPr>
          <w:trHeight w:val="26"/>
        </w:trPr>
        <w:tc>
          <w:tcPr>
            <w:tcW w:w="36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66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Segment operating profit (loss)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Subsea</w:t>
            </w:r>
          </w:p>
        </w:tc>
        <w:tc>
          <w:tcPr>
            <w:tcW w:w="16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(2,806.0)</w:t>
            </w: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Surface Technologies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(444.4)</w:t>
            </w:r>
          </w:p>
        </w:tc>
        <w:tc>
          <w:tcPr>
            <w:tcW w:w="0" w:type="dxa"/>
            <w:vAlign w:val="bottom"/>
          </w:tcPr>
          <w:p>
            <w:pPr>
              <w:spacing w:after="0"/>
              <w:rPr>
                <w:sz w:val="1"/>
                <w:szCs w:val="1"/>
                <w:color w:val="auto"/>
              </w:rPr>
            </w:pPr>
          </w:p>
        </w:tc>
      </w:tr>
      <w:tr>
        <w:trPr>
          <w:trHeight w:val="210"/>
        </w:trPr>
        <w:tc>
          <w:tcPr>
            <w:tcW w:w="3660" w:type="dxa"/>
            <w:vAlign w:val="bottom"/>
            <w:gridSpan w:val="5"/>
          </w:tcPr>
          <w:p>
            <w:pPr>
              <w:ind w:left="340"/>
              <w:spacing w:after="0"/>
              <w:rPr>
                <w:sz w:val="20"/>
                <w:szCs w:val="20"/>
                <w:color w:val="auto"/>
              </w:rPr>
            </w:pPr>
            <w:r>
              <w:rPr>
                <w:rFonts w:ascii="Arial" w:cs="Arial" w:eastAsia="Arial" w:hAnsi="Arial"/>
                <w:sz w:val="16"/>
                <w:szCs w:val="16"/>
                <w:color w:val="auto"/>
              </w:rPr>
              <w:t>Total segment operating profit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(3,250.4)</w:t>
            </w:r>
          </w:p>
        </w:tc>
        <w:tc>
          <w:tcPr>
            <w:tcW w:w="0" w:type="dxa"/>
            <w:vAlign w:val="bottom"/>
          </w:tcPr>
          <w:p>
            <w:pPr>
              <w:spacing w:after="0"/>
              <w:rPr>
                <w:sz w:val="1"/>
                <w:szCs w:val="1"/>
                <w:color w:val="auto"/>
              </w:rPr>
            </w:pPr>
          </w:p>
        </w:tc>
      </w:tr>
      <w:tr>
        <w:trPr>
          <w:trHeight w:val="377"/>
        </w:trPr>
        <w:tc>
          <w:tcPr>
            <w:tcW w:w="3660" w:type="dxa"/>
            <w:vAlign w:val="bottom"/>
            <w:gridSpan w:val="5"/>
          </w:tcPr>
          <w:p>
            <w:pPr>
              <w:spacing w:after="0"/>
              <w:rPr>
                <w:sz w:val="20"/>
                <w:szCs w:val="20"/>
                <w:color w:val="auto"/>
              </w:rPr>
            </w:pPr>
            <w:r>
              <w:rPr>
                <w:rFonts w:ascii="Arial" w:cs="Arial" w:eastAsia="Arial" w:hAnsi="Arial"/>
                <w:sz w:val="16"/>
                <w:szCs w:val="16"/>
                <w:color w:val="auto"/>
              </w:rPr>
              <w:t>Corporate items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5"/>
          </w:tcPr>
          <w:p>
            <w:pPr>
              <w:spacing w:after="0" w:line="240" w:lineRule="exact"/>
              <w:rPr>
                <w:sz w:val="20"/>
                <w:szCs w:val="20"/>
                <w:color w:val="auto"/>
              </w:rPr>
            </w:pPr>
            <w:r>
              <w:rPr>
                <w:rFonts w:ascii="Arial" w:cs="Arial" w:eastAsia="Arial" w:hAnsi="Arial"/>
                <w:sz w:val="16"/>
                <w:szCs w:val="16"/>
                <w:color w:val="auto"/>
              </w:rPr>
              <w:t xml:space="preserve">Corporate expense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(88.4)</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62"/>
        </w:trPr>
        <w:tc>
          <w:tcPr>
            <w:tcW w:w="3660" w:type="dxa"/>
            <w:vAlign w:val="bottom"/>
            <w:gridSpan w:val="5"/>
          </w:tcPr>
          <w:p>
            <w:pPr>
              <w:spacing w:after="0" w:line="162" w:lineRule="exact"/>
              <w:rPr>
                <w:sz w:val="20"/>
                <w:szCs w:val="20"/>
                <w:color w:val="auto"/>
              </w:rPr>
            </w:pPr>
            <w:r>
              <w:rPr>
                <w:rFonts w:ascii="Arial" w:cs="Arial" w:eastAsia="Arial" w:hAnsi="Arial"/>
                <w:sz w:val="16"/>
                <w:szCs w:val="16"/>
                <w:color w:val="auto"/>
                <w:w w:val="94"/>
              </w:rPr>
              <w:t>Net interest expense and loss on early extinguishment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(148.5)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6"/>
        </w:trPr>
        <w:tc>
          <w:tcPr>
            <w:tcW w:w="3660" w:type="dxa"/>
            <w:vAlign w:val="bottom"/>
            <w:gridSpan w:val="5"/>
          </w:tcPr>
          <w:p>
            <w:pPr>
              <w:spacing w:after="0"/>
              <w:rPr>
                <w:sz w:val="20"/>
                <w:szCs w:val="20"/>
                <w:color w:val="auto"/>
              </w:rPr>
            </w:pPr>
            <w:r>
              <w:rPr>
                <w:rFonts w:ascii="Arial" w:cs="Arial" w:eastAsia="Arial" w:hAnsi="Arial"/>
                <w:sz w:val="16"/>
                <w:szCs w:val="16"/>
                <w:color w:val="auto"/>
              </w:rPr>
              <w:t>of debt</w:t>
            </w: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Income (loss) from investment in Technip Energies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Foreign exchange gains (losses)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9"/>
        </w:trPr>
        <w:tc>
          <w:tcPr>
            <w:tcW w:w="3660" w:type="dxa"/>
            <w:vAlign w:val="bottom"/>
            <w:gridSpan w:val="5"/>
          </w:tcPr>
          <w:p>
            <w:pPr>
              <w:spacing w:after="0"/>
              <w:rPr>
                <w:sz w:val="20"/>
                <w:szCs w:val="20"/>
                <w:color w:val="auto"/>
              </w:rPr>
            </w:pPr>
            <w:r>
              <w:rPr>
                <w:rFonts w:ascii="Arial" w:cs="Arial" w:eastAsia="Arial" w:hAnsi="Arial"/>
                <w:sz w:val="16"/>
                <w:szCs w:val="16"/>
                <w:color w:val="auto"/>
              </w:rPr>
              <w:t>Total corporate items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gridSpan w:val="5"/>
          </w:tcPr>
          <w:p>
            <w:pPr>
              <w:spacing w:after="0" w:line="210" w:lineRule="exact"/>
              <w:rPr>
                <w:sz w:val="20"/>
                <w:szCs w:val="20"/>
                <w:color w:val="auto"/>
              </w:rPr>
            </w:pPr>
            <w:r>
              <w:rPr>
                <w:rFonts w:ascii="Arial" w:cs="Arial" w:eastAsia="Arial" w:hAnsi="Arial"/>
                <w:sz w:val="16"/>
                <w:szCs w:val="16"/>
                <w:color w:val="auto"/>
              </w:rPr>
              <w:t xml:space="preserve">Income (loss) before income taxes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292.2</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(3,449.0)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share-based compensation expenses, and other employee benefits.</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14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053"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183"/>
        </w:trPr>
        <w:tc>
          <w:tcPr>
            <w:tcW w:w="3380" w:type="dxa"/>
            <w:vAlign w:val="bottom"/>
            <w:gridSpan w:val="2"/>
          </w:tcPr>
          <w:p>
            <w:pPr>
              <w:spacing w:after="0" w:line="183" w:lineRule="exact"/>
              <w:rPr>
                <w:sz w:val="20"/>
                <w:szCs w:val="20"/>
                <w:color w:val="auto"/>
              </w:rPr>
            </w:pPr>
            <w:r>
              <w:rPr>
                <w:rFonts w:ascii="Arial" w:cs="Arial" w:eastAsia="Arial" w:hAnsi="Arial"/>
                <w:sz w:val="17"/>
                <w:szCs w:val="17"/>
                <w:b w:val="1"/>
                <w:bCs w:val="1"/>
                <w:color w:val="auto"/>
              </w:rPr>
              <w:t xml:space="preserve">Inbound Orders </w:t>
            </w:r>
            <w:r>
              <w:rPr>
                <w:rFonts w:ascii="Arial" w:cs="Arial" w:eastAsia="Arial" w:hAnsi="Arial"/>
                <w:sz w:val="21"/>
                <w:szCs w:val="21"/>
                <w:b w:val="1"/>
                <w:bCs w:val="1"/>
                <w:color w:val="auto"/>
                <w:vertAlign w:val="superscript"/>
              </w:rPr>
              <w:t>(1)</w:t>
            </w:r>
          </w:p>
        </w:tc>
        <w:tc>
          <w:tcPr>
            <w:tcW w:w="200" w:type="dxa"/>
            <w:vAlign w:val="bottom"/>
          </w:tcPr>
          <w:p>
            <w:pPr>
              <w:spacing w:after="0"/>
              <w:rPr>
                <w:sz w:val="15"/>
                <w:szCs w:val="15"/>
                <w:color w:val="auto"/>
              </w:rPr>
            </w:pPr>
          </w:p>
        </w:tc>
        <w:tc>
          <w:tcPr>
            <w:tcW w:w="142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w w:val="94"/>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60"/>
              <w:spacing w:after="0" w:line="182"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5"/>
                <w:szCs w:val="15"/>
                <w:color w:val="auto"/>
              </w:rPr>
            </w:pPr>
          </w:p>
        </w:tc>
        <w:tc>
          <w:tcPr>
            <w:tcW w:w="144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right"/>
              <w:ind w:right="770"/>
              <w:spacing w:after="0" w:line="182" w:lineRule="exact"/>
              <w:rPr>
                <w:sz w:val="20"/>
                <w:szCs w:val="20"/>
                <w:color w:val="auto"/>
              </w:rPr>
            </w:pPr>
            <w:r>
              <w:rPr>
                <w:rFonts w:ascii="Arial" w:cs="Arial" w:eastAsia="Arial" w:hAnsi="Arial"/>
                <w:sz w:val="18"/>
                <w:szCs w:val="18"/>
                <w:b w:val="1"/>
                <w:bCs w:val="1"/>
                <w:color w:val="auto"/>
              </w:rPr>
              <w:t>September 30,</w:t>
            </w: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425"/>
        </w:trPr>
        <w:tc>
          <w:tcPr>
            <w:tcW w:w="338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1,116.0</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1,291.3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3,926.1</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3,290.9</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249.9</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760.9</w:t>
            </w: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4,051.8</w:t>
            </w:r>
          </w:p>
        </w:tc>
      </w:tr>
      <w:tr>
        <w:trPr>
          <w:trHeight w:val="21"/>
        </w:trPr>
        <w:tc>
          <w:tcPr>
            <w:tcW w:w="1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3"/>
                <w:szCs w:val="23"/>
                <w:b w:val="1"/>
                <w:bCs w:val="1"/>
                <w:color w:val="auto"/>
                <w:vertAlign w:val="superscript"/>
              </w:rPr>
              <w:t>(2)</w:t>
            </w:r>
          </w:p>
        </w:tc>
        <w:tc>
          <w:tcPr>
            <w:tcW w:w="18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2"/>
                <w:szCs w:val="22"/>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3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September 30, 2020</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25"/>
        </w:trPr>
        <w:tc>
          <w:tcPr>
            <w:tcW w:w="51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6,661.4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6,951.6</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7,218.0</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7,586.9</w:t>
            </w:r>
          </w:p>
        </w:tc>
      </w:tr>
      <w:tr>
        <w:trPr>
          <w:trHeight w:val="21"/>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15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05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760"/>
              <w:spacing w:after="0"/>
              <w:rPr>
                <w:sz w:val="20"/>
                <w:szCs w:val="20"/>
                <w:color w:val="auto"/>
              </w:rPr>
            </w:pPr>
            <w:r>
              <w:rPr>
                <w:rFonts w:ascii="Arial" w:cs="Arial" w:eastAsia="Arial" w:hAnsi="Arial"/>
                <w:sz w:val="13"/>
                <w:szCs w:val="13"/>
                <w:b w:val="1"/>
                <w:bCs w:val="1"/>
                <w:color w:val="auto"/>
                <w:w w:val="88"/>
              </w:rPr>
              <w:t>Exhibit 4</w:t>
            </w:r>
          </w:p>
        </w:tc>
      </w:tr>
      <w:tr>
        <w:trPr>
          <w:trHeight w:val="340"/>
        </w:trPr>
        <w:tc>
          <w:tcPr>
            <w:tcW w:w="3140" w:type="dxa"/>
            <w:vAlign w:val="bottom"/>
          </w:tcPr>
          <w:p>
            <w:pPr>
              <w:spacing w:after="0"/>
              <w:rPr>
                <w:sz w:val="24"/>
                <w:szCs w:val="24"/>
                <w:color w:val="auto"/>
              </w:rPr>
            </w:pPr>
          </w:p>
        </w:tc>
        <w:tc>
          <w:tcPr>
            <w:tcW w:w="5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TECHNIPFMC PLC AND CONSOLIDATED SUBSIDIARIES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5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5"/>
          </w:tcPr>
          <w:p>
            <w:pPr>
              <w:ind w:left="900"/>
              <w:spacing w:after="0"/>
              <w:rPr>
                <w:sz w:val="20"/>
                <w:szCs w:val="20"/>
                <w:color w:val="auto"/>
              </w:rPr>
            </w:pPr>
            <w:r>
              <w:rPr>
                <w:rFonts w:ascii="Arial" w:cs="Arial" w:eastAsia="Arial" w:hAnsi="Arial"/>
                <w:sz w:val="16"/>
                <w:szCs w:val="16"/>
                <w:b w:val="1"/>
                <w:bCs w:val="1"/>
                <w:color w:val="auto"/>
              </w:rPr>
              <w:t>(Unaudited)</w:t>
            </w:r>
          </w:p>
        </w:tc>
      </w:tr>
      <w:tr>
        <w:trPr>
          <w:trHeight w:val="158"/>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r>
      <w:tr>
        <w:trPr>
          <w:trHeight w:val="213"/>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427"/>
        </w:trPr>
        <w:tc>
          <w:tcPr>
            <w:tcW w:w="82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1,269.2</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Trade receivables,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886.8</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1,323.1</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Investment in Technip Energies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5,725.1</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11,444.7</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2,756.2</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851.3</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1,356.9</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3,283.5</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1"/>
        </w:trPr>
        <w:tc>
          <w:tcPr>
            <w:tcW w:w="8220" w:type="dxa"/>
            <w:vAlign w:val="bottom"/>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8220" w:type="dxa"/>
            <w:vAlign w:val="bottom"/>
            <w:gridSpan w:val="5"/>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624.7</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Accounts payable, trade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1,201.0</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1,446.2</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6,096.5</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10,415.2</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2,835.5</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1,102.6</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liabilities of discontinued operations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1,081.3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TechnipFMC plc stockholders’ equity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4,154.2</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 of discontinued operations</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TechnipFMC.com</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3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16 of </w:t>
            </w:r>
            <w:hyperlink w:anchor="page28">
              <w:r>
                <w:rPr>
                  <w:rFonts w:ascii="Arial" w:cs="Arial" w:eastAsia="Arial" w:hAnsi="Arial"/>
                  <w:sz w:val="14"/>
                  <w:szCs w:val="14"/>
                  <w:b w:val="1"/>
                  <w:bCs w:val="1"/>
                  <w:color w:val="auto"/>
                </w:rPr>
                <w:t>25</w:t>
              </w:r>
            </w:hyperlink>
          </w:p>
        </w:tc>
      </w:tr>
    </w:tbl>
    <w:p>
      <w:pPr>
        <w:sectPr>
          <w:pgSz w:w="11900" w:h="16838" w:orient="portrait"/>
          <w:cols w:equalWidth="0" w:num="1">
            <w:col w:w="11200"/>
          </w:cols>
          <w:pgMar w:left="360" w:top="1053"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Exhibit 5</w:t>
            </w: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4560" w:type="dxa"/>
            <w:vAlign w:val="bottom"/>
            <w:gridSpan w:val="7"/>
          </w:tcPr>
          <w:p>
            <w:pPr>
              <w:jc w:val="center"/>
              <w:ind w:right="1140"/>
              <w:spacing w:after="0"/>
              <w:rPr>
                <w:sz w:val="20"/>
                <w:szCs w:val="20"/>
                <w:color w:val="auto"/>
              </w:rPr>
            </w:pPr>
            <w:r>
              <w:rPr>
                <w:rFonts w:ascii="Arial" w:cs="Arial" w:eastAsia="Arial" w:hAnsi="Arial"/>
                <w:sz w:val="13"/>
                <w:szCs w:val="13"/>
                <w:b w:val="1"/>
                <w:bCs w:val="1"/>
                <w:color w:val="auto"/>
                <w:w w:val="97"/>
              </w:rPr>
              <w:t>TECHNIPFMC PLC AND CONSOLIDATED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3200" w:type="dxa"/>
            <w:vAlign w:val="bottom"/>
            <w:tcBorders>
              <w:top w:val="single" w:sz="8" w:color="auto"/>
            </w:tcBorders>
            <w:gridSpan w:val="4"/>
          </w:tcPr>
          <w:p>
            <w:pPr>
              <w:jc w:val="center"/>
              <w:ind w:left="137"/>
              <w:spacing w:after="0" w:line="129" w:lineRule="exact"/>
              <w:rPr>
                <w:sz w:val="20"/>
                <w:szCs w:val="20"/>
                <w:color w:val="auto"/>
              </w:rPr>
            </w:pPr>
            <w:r>
              <w:rPr>
                <w:rFonts w:ascii="Arial" w:cs="Arial" w:eastAsia="Arial" w:hAnsi="Arial"/>
                <w:sz w:val="13"/>
                <w:szCs w:val="13"/>
                <w:b w:val="1"/>
                <w:bCs w:val="1"/>
                <w:color w:val="auto"/>
                <w:w w:val="95"/>
              </w:rPr>
              <w:t>CONSOLIDATED STATEMENTS OF CASH FLOWS</w:t>
            </w:r>
          </w:p>
        </w:tc>
        <w:tc>
          <w:tcPr>
            <w:tcW w:w="220" w:type="dxa"/>
            <w:vAlign w:val="bottom"/>
            <w:tcBorders>
              <w:top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89"/>
              </w:rPr>
              <w:t>(In millions, unaudited)</w:t>
            </w: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9"/>
              </w:rPr>
              <w:t>Three Months Ended</w:t>
            </w:r>
          </w:p>
        </w:tc>
        <w:tc>
          <w:tcPr>
            <w:tcW w:w="280" w:type="dxa"/>
            <w:vAlign w:val="bottom"/>
          </w:tcPr>
          <w:p>
            <w:pPr>
              <w:spacing w:after="0"/>
              <w:rPr>
                <w:sz w:val="20"/>
                <w:szCs w:val="20"/>
                <w:color w:val="auto"/>
              </w:rPr>
            </w:pPr>
          </w:p>
        </w:tc>
        <w:tc>
          <w:tcPr>
            <w:tcW w:w="2480" w:type="dxa"/>
            <w:vAlign w:val="bottom"/>
            <w:gridSpan w:val="4"/>
            <w:vMerge w:val="restart"/>
          </w:tcPr>
          <w:p>
            <w:pPr>
              <w:jc w:val="right"/>
              <w:ind w:right="426"/>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8"/>
              </w:rPr>
              <w:t>September 30,</w:t>
            </w:r>
          </w:p>
        </w:tc>
        <w:tc>
          <w:tcPr>
            <w:tcW w:w="28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920" w:type="dxa"/>
            <w:vAlign w:val="bottom"/>
            <w:gridSpan w:val="3"/>
          </w:tcPr>
          <w:p>
            <w:pPr>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ind w:right="126"/>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692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Cash provided (required) by operating activities</w:t>
            </w: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rPr>
                <w:sz w:val="20"/>
                <w:szCs w:val="20"/>
                <w:color w:val="auto"/>
              </w:rPr>
            </w:pPr>
            <w:r>
              <w:rPr>
                <w:rFonts w:ascii="Arial" w:cs="Arial" w:eastAsia="Arial" w:hAnsi="Arial"/>
                <w:sz w:val="11"/>
                <w:szCs w:val="11"/>
                <w:color w:val="auto"/>
              </w:rPr>
              <w:t>Net income (loss) from continuing operations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(39.0)</w:t>
            </w:r>
          </w:p>
        </w:tc>
        <w:tc>
          <w:tcPr>
            <w:tcW w:w="10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220.5</w:t>
            </w:r>
          </w:p>
        </w:tc>
        <w:tc>
          <w:tcPr>
            <w:tcW w:w="12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(3,462.5)</w:t>
            </w:r>
          </w:p>
        </w:tc>
        <w:tc>
          <w:tcPr>
            <w:tcW w:w="0" w:type="dxa"/>
            <w:vAlign w:val="bottom"/>
          </w:tcPr>
          <w:p>
            <w:pPr>
              <w:spacing w:after="0"/>
              <w:rPr>
                <w:sz w:val="1"/>
                <w:szCs w:val="1"/>
                <w:color w:val="auto"/>
              </w:rPr>
            </w:pPr>
          </w:p>
        </w:tc>
      </w:tr>
      <w:tr>
        <w:trPr>
          <w:trHeight w:val="162"/>
        </w:trPr>
        <w:tc>
          <w:tcPr>
            <w:tcW w:w="6920" w:type="dxa"/>
            <w:vAlign w:val="bottom"/>
            <w:gridSpan w:val="3"/>
          </w:tcPr>
          <w:p>
            <w:pPr>
              <w:spacing w:after="0"/>
              <w:rPr>
                <w:sz w:val="20"/>
                <w:szCs w:val="20"/>
                <w:color w:val="auto"/>
              </w:rPr>
            </w:pPr>
            <w:r>
              <w:rPr>
                <w:rFonts w:ascii="Arial" w:cs="Arial" w:eastAsia="Arial" w:hAnsi="Arial"/>
                <w:sz w:val="11"/>
                <w:szCs w:val="11"/>
                <w:i w:val="1"/>
                <w:iCs w:val="1"/>
                <w:color w:val="auto"/>
              </w:rPr>
              <w:t>Adjustments to reconcile income (loss) from continuing operations to cash provided (required) by operating activities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Depreciation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73.3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222.3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Amortization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Impairments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3,244.7</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Employee benefit plan and share-based compensation costs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Deferred income tax benefit,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Income from investment in Technip Energies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(28.5)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(351.8)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Unrealized gains on derivative instruments and foreign exchange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(80.7)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(Income) loss from equity affiliates, net of dividends received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29.8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Loss on early extinguishment of debt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82"/>
        </w:trPr>
        <w:tc>
          <w:tcPr>
            <w:tcW w:w="6920" w:type="dxa"/>
            <w:vAlign w:val="bottom"/>
            <w:gridSpan w:val="3"/>
          </w:tcPr>
          <w:p>
            <w:pPr>
              <w:spacing w:after="0"/>
              <w:rPr>
                <w:sz w:val="20"/>
                <w:szCs w:val="20"/>
                <w:color w:val="auto"/>
              </w:rPr>
            </w:pPr>
            <w:r>
              <w:rPr>
                <w:rFonts w:ascii="Arial" w:cs="Arial" w:eastAsia="Arial" w:hAnsi="Arial"/>
                <w:sz w:val="13"/>
                <w:szCs w:val="13"/>
                <w:i w:val="1"/>
                <w:iCs w:val="1"/>
                <w:color w:val="auto"/>
              </w:rPr>
              <w:t>Changes in operating assets and liabilities, net of effects of acquisitions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Trade receivables, net and contract assets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33.5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(320.0)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Inventories,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43.3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165.9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Accounts payable, trade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(236.0)</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Contract liabilities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Income taxes payable (receivable),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Other current assets and liabilities,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644.9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Other non-current assets and liabilities,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22"/>
        </w:trPr>
        <w:tc>
          <w:tcPr>
            <w:tcW w:w="6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Cash provided by operating activities from continuing operations</w:t>
            </w: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6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135.9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231.5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289.7</w:t>
            </w:r>
          </w:p>
        </w:tc>
        <w:tc>
          <w:tcPr>
            <w:tcW w:w="0" w:type="dxa"/>
            <w:vAlign w:val="bottom"/>
          </w:tcPr>
          <w:p>
            <w:pPr>
              <w:spacing w:after="0"/>
              <w:rPr>
                <w:sz w:val="1"/>
                <w:szCs w:val="1"/>
                <w:color w:val="auto"/>
              </w:rPr>
            </w:pPr>
          </w:p>
        </w:tc>
      </w:tr>
      <w:tr>
        <w:trPr>
          <w:trHeight w:val="185"/>
        </w:trPr>
        <w:tc>
          <w:tcPr>
            <w:tcW w:w="6920" w:type="dxa"/>
            <w:vAlign w:val="bottom"/>
            <w:gridSpan w:val="3"/>
          </w:tcPr>
          <w:p>
            <w:pPr>
              <w:spacing w:after="0"/>
              <w:rPr>
                <w:sz w:val="20"/>
                <w:szCs w:val="20"/>
                <w:color w:val="auto"/>
              </w:rPr>
            </w:pPr>
            <w:r>
              <w:rPr>
                <w:rFonts w:ascii="Arial" w:cs="Arial" w:eastAsia="Arial" w:hAnsi="Arial"/>
                <w:sz w:val="13"/>
                <w:szCs w:val="13"/>
                <w:b w:val="1"/>
                <w:bCs w:val="1"/>
                <w:color w:val="auto"/>
              </w:rPr>
              <w:t>Cash provided (required) by operating activities from discontinued operations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(187.6)</w:t>
            </w: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Cash provided by operating activities</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135.9</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297.8</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102.1</w:t>
            </w:r>
          </w:p>
        </w:tc>
        <w:tc>
          <w:tcPr>
            <w:tcW w:w="0" w:type="dxa"/>
            <w:vAlign w:val="bottom"/>
          </w:tcPr>
          <w:p>
            <w:pPr>
              <w:spacing w:after="0"/>
              <w:rPr>
                <w:sz w:val="1"/>
                <w:szCs w:val="1"/>
                <w:color w:val="auto"/>
              </w:rPr>
            </w:pPr>
          </w:p>
        </w:tc>
      </w:tr>
      <w:tr>
        <w:trPr>
          <w:trHeight w:val="254"/>
        </w:trPr>
        <w:tc>
          <w:tcPr>
            <w:tcW w:w="6920" w:type="dxa"/>
            <w:vAlign w:val="bottom"/>
            <w:gridSpan w:val="3"/>
          </w:tcPr>
          <w:p>
            <w:pPr>
              <w:spacing w:after="0"/>
              <w:rPr>
                <w:sz w:val="20"/>
                <w:szCs w:val="20"/>
                <w:color w:val="auto"/>
              </w:rPr>
            </w:pPr>
            <w:r>
              <w:rPr>
                <w:rFonts w:ascii="Arial" w:cs="Arial" w:eastAsia="Arial" w:hAnsi="Arial"/>
                <w:sz w:val="13"/>
                <w:szCs w:val="13"/>
                <w:i w:val="1"/>
                <w:iCs w:val="1"/>
                <w:color w:val="auto"/>
              </w:rPr>
              <w:t>Cash provided (required) by investing activities</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Capital expenditures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(47.3)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(131.2)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(227.3)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Proceeds from redemption of debt 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Payment to acquire debt 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Proceeds from sales of assets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Cash received from divestiture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Proceeds from sale of investment in Technip Energies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326.4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Proceeds from repayment of advances to joint venture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6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Cash provided (required) by investing activities from continuing operations</w:t>
            </w: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289.3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759.8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(190.3)</w:t>
            </w:r>
          </w:p>
        </w:tc>
        <w:tc>
          <w:tcPr>
            <w:tcW w:w="0" w:type="dxa"/>
            <w:vAlign w:val="bottom"/>
          </w:tcPr>
          <w:p>
            <w:pPr>
              <w:spacing w:after="0"/>
              <w:rPr>
                <w:sz w:val="1"/>
                <w:szCs w:val="1"/>
                <w:color w:val="auto"/>
              </w:rPr>
            </w:pPr>
          </w:p>
        </w:tc>
      </w:tr>
      <w:tr>
        <w:trPr>
          <w:trHeight w:val="185"/>
        </w:trPr>
        <w:tc>
          <w:tcPr>
            <w:tcW w:w="6920" w:type="dxa"/>
            <w:vAlign w:val="bottom"/>
            <w:gridSpan w:val="3"/>
          </w:tcPr>
          <w:p>
            <w:pPr>
              <w:spacing w:after="0"/>
              <w:rPr>
                <w:sz w:val="20"/>
                <w:szCs w:val="20"/>
                <w:color w:val="auto"/>
              </w:rPr>
            </w:pPr>
            <w:r>
              <w:rPr>
                <w:rFonts w:ascii="Arial" w:cs="Arial" w:eastAsia="Arial" w:hAnsi="Arial"/>
                <w:sz w:val="13"/>
                <w:szCs w:val="13"/>
                <w:b w:val="1"/>
                <w:bCs w:val="1"/>
                <w:color w:val="auto"/>
              </w:rPr>
              <w:t>Cash required by investing activities from discontinued operations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55"/>
        </w:trPr>
        <w:tc>
          <w:tcPr>
            <w:tcW w:w="692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Cash provided (required) by investing activities</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289.3</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755.3</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(212.4)</w:t>
            </w:r>
          </w:p>
        </w:tc>
        <w:tc>
          <w:tcPr>
            <w:tcW w:w="0" w:type="dxa"/>
            <w:vAlign w:val="bottom"/>
          </w:tcPr>
          <w:p>
            <w:pPr>
              <w:spacing w:after="0"/>
              <w:rPr>
                <w:sz w:val="1"/>
                <w:szCs w:val="1"/>
                <w:color w:val="auto"/>
              </w:rPr>
            </w:pPr>
          </w:p>
        </w:tc>
      </w:tr>
      <w:tr>
        <w:trPr>
          <w:trHeight w:val="240"/>
        </w:trPr>
        <w:tc>
          <w:tcPr>
            <w:tcW w:w="6920" w:type="dxa"/>
            <w:vAlign w:val="bottom"/>
            <w:gridSpan w:val="3"/>
          </w:tcPr>
          <w:p>
            <w:pPr>
              <w:spacing w:after="0"/>
              <w:rPr>
                <w:sz w:val="20"/>
                <w:szCs w:val="20"/>
                <w:color w:val="auto"/>
              </w:rPr>
            </w:pPr>
            <w:r>
              <w:rPr>
                <w:rFonts w:ascii="Arial" w:cs="Arial" w:eastAsia="Arial" w:hAnsi="Arial"/>
                <w:sz w:val="13"/>
                <w:szCs w:val="13"/>
                <w:i w:val="1"/>
                <w:iCs w:val="1"/>
                <w:color w:val="auto"/>
              </w:rPr>
              <w:t>Cash provided (required) by financing activities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Net decrease in short-term debt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(31.3)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Net decrease in commercial paper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(974.3)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(251.3)</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Proceeds from issuance of long-term debt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1,164.4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223.2</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Repayments of long-term debt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(176.4)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(1,242.2)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(423.9)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Dividends paid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Payments for debt issuance costs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Acquisition of non-controlling 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Payments related to taxes withheld on share-based compensation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6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Cash required by financing activities from continuing operations</w:t>
            </w: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6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(233.5)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(1,189.3)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(519.6)</w:t>
            </w:r>
          </w:p>
        </w:tc>
        <w:tc>
          <w:tcPr>
            <w:tcW w:w="0" w:type="dxa"/>
            <w:vAlign w:val="bottom"/>
          </w:tcPr>
          <w:p>
            <w:pPr>
              <w:spacing w:after="0"/>
              <w:rPr>
                <w:sz w:val="1"/>
                <w:szCs w:val="1"/>
                <w:color w:val="auto"/>
              </w:rPr>
            </w:pPr>
          </w:p>
        </w:tc>
      </w:tr>
      <w:tr>
        <w:trPr>
          <w:trHeight w:val="185"/>
        </w:trPr>
        <w:tc>
          <w:tcPr>
            <w:tcW w:w="6920" w:type="dxa"/>
            <w:vAlign w:val="bottom"/>
            <w:gridSpan w:val="3"/>
          </w:tcPr>
          <w:p>
            <w:pPr>
              <w:spacing w:after="0"/>
              <w:rPr>
                <w:sz w:val="20"/>
                <w:szCs w:val="20"/>
                <w:color w:val="auto"/>
              </w:rPr>
            </w:pPr>
            <w:r>
              <w:rPr>
                <w:rFonts w:ascii="Arial" w:cs="Arial" w:eastAsia="Arial" w:hAnsi="Arial"/>
                <w:sz w:val="13"/>
                <w:szCs w:val="13"/>
                <w:b w:val="1"/>
                <w:bCs w:val="1"/>
                <w:color w:val="auto"/>
              </w:rPr>
              <w:t>Cash required by financing activities from discontinued operations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(392.2)</w:t>
            </w:r>
          </w:p>
        </w:tc>
        <w:tc>
          <w:tcPr>
            <w:tcW w:w="0" w:type="dxa"/>
            <w:vAlign w:val="bottom"/>
          </w:tcPr>
          <w:p>
            <w:pPr>
              <w:spacing w:after="0"/>
              <w:rPr>
                <w:sz w:val="1"/>
                <w:szCs w:val="1"/>
                <w:color w:val="auto"/>
              </w:rPr>
            </w:pPr>
          </w:p>
        </w:tc>
      </w:tr>
      <w:tr>
        <w:trPr>
          <w:trHeight w:val="140"/>
        </w:trPr>
        <w:tc>
          <w:tcPr>
            <w:tcW w:w="6920" w:type="dxa"/>
            <w:vAlign w:val="bottom"/>
            <w:gridSpan w:val="3"/>
          </w:tcPr>
          <w:p>
            <w:pPr>
              <w:spacing w:after="0"/>
              <w:rPr>
                <w:sz w:val="20"/>
                <w:szCs w:val="20"/>
                <w:color w:val="auto"/>
              </w:rPr>
            </w:pPr>
            <w:r>
              <w:rPr>
                <w:rFonts w:ascii="Arial" w:cs="Arial" w:eastAsia="Arial" w:hAnsi="Arial"/>
                <w:sz w:val="11"/>
                <w:szCs w:val="11"/>
                <w:b w:val="1"/>
                <w:bCs w:val="1"/>
                <w:color w:val="auto"/>
              </w:rPr>
              <w:t>Cash required by financing activities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(233.5)</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(1,268.4)</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(911.8)</w:t>
            </w:r>
          </w:p>
        </w:tc>
        <w:tc>
          <w:tcPr>
            <w:tcW w:w="0" w:type="dxa"/>
            <w:vAlign w:val="bottom"/>
          </w:tcPr>
          <w:p>
            <w:pPr>
              <w:spacing w:after="0"/>
              <w:rPr>
                <w:sz w:val="1"/>
                <w:szCs w:val="1"/>
                <w:color w:val="auto"/>
              </w:rPr>
            </w:pPr>
          </w:p>
        </w:tc>
      </w:tr>
      <w:tr>
        <w:trPr>
          <w:trHeight w:val="22"/>
        </w:trPr>
        <w:tc>
          <w:tcPr>
            <w:tcW w:w="69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Effect of changes in foreign exchange rates on cash and cash equivalents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75.9</w:t>
            </w:r>
          </w:p>
        </w:tc>
        <w:tc>
          <w:tcPr>
            <w:tcW w:w="0" w:type="dxa"/>
            <w:vAlign w:val="bottom"/>
          </w:tcPr>
          <w:p>
            <w:pPr>
              <w:spacing w:after="0"/>
              <w:rPr>
                <w:sz w:val="1"/>
                <w:szCs w:val="1"/>
                <w:color w:val="auto"/>
              </w:rPr>
            </w:pPr>
          </w:p>
        </w:tc>
      </w:tr>
      <w:tr>
        <w:trPr>
          <w:trHeight w:val="162"/>
        </w:trPr>
        <w:tc>
          <w:tcPr>
            <w:tcW w:w="6920" w:type="dxa"/>
            <w:vAlign w:val="bottom"/>
            <w:gridSpan w:val="3"/>
          </w:tcPr>
          <w:p>
            <w:pPr>
              <w:ind w:left="200"/>
              <w:spacing w:after="0"/>
              <w:rPr>
                <w:sz w:val="20"/>
                <w:szCs w:val="20"/>
                <w:color w:val="auto"/>
              </w:rPr>
            </w:pPr>
            <w:r>
              <w:rPr>
                <w:rFonts w:ascii="Arial" w:cs="Arial" w:eastAsia="Arial" w:hAnsi="Arial"/>
                <w:sz w:val="11"/>
                <w:szCs w:val="11"/>
                <w:color w:val="auto"/>
              </w:rPr>
              <w:t>Change in cash and cash equivalents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179.1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(946.2)</w:t>
            </w:r>
          </w:p>
        </w:tc>
        <w:tc>
          <w:tcPr>
            <w:tcW w:w="0" w:type="dxa"/>
            <w:vAlign w:val="bottom"/>
          </w:tcPr>
          <w:p>
            <w:pPr>
              <w:spacing w:after="0"/>
              <w:rPr>
                <w:sz w:val="1"/>
                <w:szCs w:val="1"/>
                <w:color w:val="auto"/>
              </w:rPr>
            </w:pPr>
          </w:p>
        </w:tc>
      </w:tr>
      <w:tr>
        <w:trPr>
          <w:trHeight w:val="162"/>
        </w:trPr>
        <w:tc>
          <w:tcPr>
            <w:tcW w:w="6920" w:type="dxa"/>
            <w:vAlign w:val="bottom"/>
            <w:gridSpan w:val="3"/>
          </w:tcPr>
          <w:p>
            <w:pPr>
              <w:spacing w:after="0"/>
              <w:rPr>
                <w:sz w:val="20"/>
                <w:szCs w:val="20"/>
                <w:color w:val="auto"/>
              </w:rPr>
            </w:pPr>
            <w:r>
              <w:rPr>
                <w:rFonts w:ascii="Arial" w:cs="Arial" w:eastAsia="Arial" w:hAnsi="Arial"/>
                <w:sz w:val="11"/>
                <w:szCs w:val="11"/>
                <w:color w:val="auto"/>
              </w:rPr>
              <w:t>Cash and cash equivalents, beginning of period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1"/>
                <w:szCs w:val="11"/>
                <w:color w:val="auto"/>
              </w:rPr>
              <w:t>854.9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1,269.2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5,190.2</w:t>
            </w:r>
          </w:p>
        </w:tc>
        <w:tc>
          <w:tcPr>
            <w:tcW w:w="0" w:type="dxa"/>
            <w:vAlign w:val="bottom"/>
          </w:tcPr>
          <w:p>
            <w:pPr>
              <w:spacing w:after="0"/>
              <w:rPr>
                <w:sz w:val="1"/>
                <w:szCs w:val="1"/>
                <w:color w:val="auto"/>
              </w:rPr>
            </w:pPr>
          </w:p>
        </w:tc>
      </w:tr>
      <w:tr>
        <w:trPr>
          <w:trHeight w:val="22"/>
        </w:trPr>
        <w:tc>
          <w:tcPr>
            <w:tcW w:w="69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920" w:type="dxa"/>
            <w:vAlign w:val="bottom"/>
            <w:gridSpan w:val="3"/>
          </w:tcPr>
          <w:p>
            <w:pPr>
              <w:spacing w:after="0"/>
              <w:rPr>
                <w:sz w:val="20"/>
                <w:szCs w:val="20"/>
                <w:color w:val="auto"/>
              </w:rPr>
            </w:pPr>
            <w:r>
              <w:rPr>
                <w:rFonts w:ascii="Arial" w:cs="Arial" w:eastAsia="Arial" w:hAnsi="Arial"/>
                <w:sz w:val="11"/>
                <w:szCs w:val="11"/>
                <w:color w:val="auto"/>
              </w:rPr>
              <w:t>Cash and cash equivalents, end of period</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1,034.0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1,034.0</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4,244.0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17 of </w:t>
      </w:r>
      <w:hyperlink w:anchor="page28">
        <w:r>
          <w:rPr>
            <w:rFonts w:ascii="Arial" w:cs="Arial" w:eastAsia="Arial" w:hAnsi="Arial"/>
            <w:sz w:val="14"/>
            <w:szCs w:val="14"/>
            <w:b w:val="1"/>
            <w:bCs w:val="1"/>
            <w:color w:val="auto"/>
          </w:rPr>
          <w:t>25</w:t>
        </w:r>
      </w:hyperlink>
    </w:p>
    <w:p>
      <w:pPr>
        <w:sectPr>
          <w:pgSz w:w="11900" w:h="16838" w:orient="portrait"/>
          <w:cols w:equalWidth="0" w:num="1">
            <w:col w:w="11220"/>
          </w:cols>
          <w:pgMar w:left="340" w:top="891" w:right="339" w:bottom="1440" w:gutter="0" w:footer="0" w:header="0"/>
        </w:sectPr>
      </w:pPr>
    </w:p>
    <w:bookmarkStart w:id="21" w:name="page22"/>
    <w:bookmarkEnd w:id="21"/>
    <w:p>
      <w:pPr>
        <w:ind w:left="10740"/>
        <w:spacing w:after="0"/>
        <w:rPr>
          <w:sz w:val="20"/>
          <w:szCs w:val="20"/>
          <w:color w:val="auto"/>
        </w:rPr>
      </w:pPr>
      <w:r>
        <w:rPr>
          <w:rFonts w:ascii="Arial" w:cs="Arial" w:eastAsia="Arial" w:hAnsi="Arial"/>
          <w:sz w:val="10"/>
          <w:szCs w:val="10"/>
          <w:b w:val="1"/>
          <w:bCs w:val="1"/>
          <w:color w:val="auto"/>
        </w:rPr>
        <w:t>Exhibit 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third quarter 2021 Earnings Release also includes non-GAAP financial measures (as defined in Item 10 of Regulation S-K of the Securities Exchange Act of 1934, as amended) and describes performance on a year-over-year basis against 2020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8"/>
              </w:rPr>
              <w:t>Three Months Ended</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September 30, 2021</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Loss from</w:t>
            </w: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6"/>
              </w:rPr>
              <w:t>Earnings before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 non-</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3"/>
              </w:rPr>
              <w:t>Net interest expense</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Income before net</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continuing</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2"/>
              </w:rPr>
              <w:t>expense, income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operations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and loss on early</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interest expense</w:t>
            </w:r>
          </w:p>
        </w:tc>
        <w:tc>
          <w:tcPr>
            <w:tcW w:w="8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extinguishment of</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and income taxes</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0"/>
              </w:rPr>
              <w:t>and amortization</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TechnipFMC plc</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debt</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(Operating profit)</w:t>
            </w: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337"/>
        </w:trPr>
        <w:tc>
          <w:tcPr>
            <w:tcW w:w="284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85"/>
        </w:trPr>
        <w:tc>
          <w:tcPr>
            <w:tcW w:w="2840" w:type="dxa"/>
            <w:vAlign w:val="bottom"/>
          </w:tcPr>
          <w:p>
            <w:pPr>
              <w:ind w:left="200"/>
              <w:spacing w:after="0"/>
              <w:rPr>
                <w:sz w:val="20"/>
                <w:szCs w:val="20"/>
                <w:color w:val="auto"/>
              </w:rPr>
            </w:pPr>
            <w:r>
              <w:rPr>
                <w:rFonts w:ascii="Arial" w:cs="Arial" w:eastAsia="Arial" w:hAnsi="Arial"/>
                <w:sz w:val="13"/>
                <w:szCs w:val="13"/>
                <w:color w:val="auto"/>
              </w:rPr>
              <w:t>Income from investment in Technip Energies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w w:val="99"/>
              </w:rPr>
              <w:t>Diluted loss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40" w:type="dxa"/>
            <w:vAlign w:val="bottom"/>
            <w:vMerge w:val="continue"/>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June 30, 2021</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Income (loss) from</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Income attributable</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Earnings before net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2"/>
              </w:rPr>
              <w:t>interest expense,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continuing</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to non-controlling</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Provision</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before net interest</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operations</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interests from</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expense and</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Depreciation and</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continuing</w:t>
            </w: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(benefit) for</w:t>
            </w: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2"/>
              </w:rPr>
              <w:t>Net interest expense</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income taxes</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69"/>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operations</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income taxes</w:t>
            </w:r>
          </w:p>
        </w:tc>
        <w:tc>
          <w:tcPr>
            <w:tcW w:w="1220" w:type="dxa"/>
            <w:vAlign w:val="bottom"/>
            <w:gridSpan w:val="3"/>
            <w:vMerge w:val="continue"/>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(Operating profit)</w:t>
            </w: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amortization</w:t>
            </w: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(174.7)</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337"/>
        </w:trPr>
        <w:tc>
          <w:tcPr>
            <w:tcW w:w="27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5"/>
        </w:trPr>
        <w:tc>
          <w:tcPr>
            <w:tcW w:w="276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5"/>
        </w:trPr>
        <w:tc>
          <w:tcPr>
            <w:tcW w:w="2760" w:type="dxa"/>
            <w:vAlign w:val="bottom"/>
          </w:tcPr>
          <w:p>
            <w:pPr>
              <w:ind w:left="200"/>
              <w:spacing w:after="0"/>
              <w:rPr>
                <w:sz w:val="20"/>
                <w:szCs w:val="20"/>
                <w:color w:val="auto"/>
              </w:rPr>
            </w:pPr>
            <w:r>
              <w:rPr>
                <w:rFonts w:ascii="Arial" w:cs="Arial" w:eastAsia="Arial" w:hAnsi="Arial"/>
                <w:sz w:val="13"/>
                <w:szCs w:val="13"/>
                <w:color w:val="auto"/>
              </w:rPr>
              <w:t>Loss from investment in Technip Energies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Arial" w:cs="Arial" w:eastAsia="Arial" w:hAnsi="Arial"/>
                <w:sz w:val="13"/>
                <w:szCs w:val="13"/>
                <w:color w:val="auto"/>
                <w:w w:val="96"/>
              </w:rPr>
              <w:t>Diluted loss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60" w:type="dxa"/>
            <w:vAlign w:val="bottom"/>
            <w:vMerge w:val="continue"/>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6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18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053" w:right="339" w:bottom="1440" w:gutter="0" w:footer="0" w:header="0"/>
        </w:sectPr>
      </w:pPr>
    </w:p>
    <w:bookmarkStart w:id="22" w:name="page23"/>
    <w:bookmarkEnd w:id="22"/>
    <w:p>
      <w:pPr>
        <w:spacing w:after="0" w:line="9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40"/>
        <w:spacing w:after="0"/>
        <w:rPr>
          <w:sz w:val="20"/>
          <w:szCs w:val="20"/>
          <w:color w:val="auto"/>
        </w:rPr>
      </w:pPr>
      <w:r>
        <w:rPr>
          <w:rFonts w:ascii="Arial" w:cs="Arial" w:eastAsia="Arial" w:hAnsi="Arial"/>
          <w:sz w:val="13"/>
          <w:szCs w:val="13"/>
          <w:b w:val="1"/>
          <w:bCs w:val="1"/>
          <w:color w:val="auto"/>
        </w:rPr>
        <w:t>(In millions, 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September 30, 2020</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Loss from</w:t>
            </w: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Income (loss)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 non-</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before net interest</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operations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140" w:type="dxa"/>
            <w:vAlign w:val="bottom"/>
          </w:tcPr>
          <w:p>
            <w:pPr>
              <w:spacing w:after="0"/>
              <w:rPr>
                <w:sz w:val="10"/>
                <w:szCs w:val="10"/>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2"/>
              </w:rPr>
              <w:t>Provision for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Net interest</w:t>
            </w: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3"/>
              </w:rPr>
              <w:t>expense and</w:t>
            </w:r>
          </w:p>
        </w:tc>
        <w:tc>
          <w:tcPr>
            <w:tcW w:w="8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Depreciation and</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income taxes</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and amortization</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TechnipFMC plc</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4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income taxes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(Operating profit)</w:t>
            </w: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amortization</w:t>
            </w:r>
          </w:p>
        </w:tc>
        <w:tc>
          <w:tcPr>
            <w:tcW w:w="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337"/>
        </w:trPr>
        <w:tc>
          <w:tcPr>
            <w:tcW w:w="288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76"/>
        </w:trPr>
        <w:tc>
          <w:tcPr>
            <w:tcW w:w="288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5"/>
        </w:trPr>
        <w:tc>
          <w:tcPr>
            <w:tcW w:w="28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3"/>
                <w:szCs w:val="13"/>
                <w:color w:val="auto"/>
              </w:rPr>
              <w:t>Diluted loss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80" w:type="dxa"/>
            <w:vAlign w:val="bottom"/>
            <w:vMerge w:val="continue"/>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5000"/>
        <w:spacing w:after="0"/>
        <w:tabs>
          <w:tab w:leader="none" w:pos="10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19 of </w:t>
      </w:r>
      <w:hyperlink w:anchor="page28">
        <w:r>
          <w:rPr>
            <w:rFonts w:ascii="Arial" w:cs="Arial" w:eastAsia="Arial" w:hAnsi="Arial"/>
            <w:sz w:val="14"/>
            <w:szCs w:val="14"/>
            <w:b w:val="1"/>
            <w:bCs w:val="1"/>
            <w:color w:val="auto"/>
          </w:rPr>
          <w:t>25</w:t>
        </w:r>
      </w:hyperlink>
    </w:p>
    <w:p>
      <w:pPr>
        <w:sectPr>
          <w:pgSz w:w="11900" w:h="16838" w:orient="portrait"/>
          <w:cols w:equalWidth="0" w:num="1">
            <w:col w:w="11200"/>
          </w:cols>
          <w:pgMar w:left="360" w:top="1440" w:right="339" w:bottom="1440" w:gutter="0" w:footer="0" w:header="0"/>
        </w:sectPr>
      </w:pPr>
    </w:p>
    <w:bookmarkStart w:id="23" w:name="page24"/>
    <w:bookmarkEnd w:id="23"/>
    <w:p>
      <w:pPr>
        <w:ind w:left="10740"/>
        <w:spacing w:after="0"/>
        <w:rPr>
          <w:sz w:val="20"/>
          <w:szCs w:val="20"/>
          <w:color w:val="auto"/>
        </w:rPr>
      </w:pPr>
      <w:r>
        <w:rPr>
          <w:rFonts w:ascii="Arial" w:cs="Arial" w:eastAsia="Arial" w:hAnsi="Arial"/>
          <w:sz w:val="10"/>
          <w:szCs w:val="10"/>
          <w:b w:val="1"/>
          <w:bCs w:val="1"/>
          <w:color w:val="auto"/>
        </w:rPr>
        <w:t>Exhibit 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third quarter 2021 Earnings Release also includes non-GAAP financial measures (as defined in Item 10 of Regulation S-K of the Securities Exchange Act of 1934, as amended) and describes performance on a year-over-year basis against 2020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87"/>
              </w:rPr>
              <w:t>Nine Months Ended</w:t>
            </w:r>
          </w:p>
        </w:tc>
        <w:tc>
          <w:tcPr>
            <w:tcW w:w="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7"/>
              </w:rPr>
              <w:t>September 30, 2021</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4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4"/>
              </w:rPr>
              <w:t>Income (loss)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6"/>
              </w:rPr>
              <w:t>Earnings before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84"/>
              </w:rPr>
              <w:t>Net interest expense</w:t>
            </w: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7"/>
              </w:rPr>
              <w:t>Income before net</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12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2"/>
              </w:rPr>
              <w:t>expense, income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operations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Provision for</w:t>
            </w:r>
          </w:p>
        </w:tc>
        <w:tc>
          <w:tcPr>
            <w:tcW w:w="60" w:type="dxa"/>
            <w:vAlign w:val="bottom"/>
          </w:tcPr>
          <w:p>
            <w:pPr>
              <w:spacing w:after="0"/>
              <w:rPr>
                <w:sz w:val="10"/>
                <w:szCs w:val="10"/>
                <w:color w:val="auto"/>
              </w:rPr>
            </w:pPr>
          </w:p>
        </w:tc>
        <w:tc>
          <w:tcPr>
            <w:tcW w:w="11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and loss on early</w:t>
            </w:r>
          </w:p>
        </w:tc>
        <w:tc>
          <w:tcPr>
            <w:tcW w:w="60" w:type="dxa"/>
            <w:vAlign w:val="bottom"/>
          </w:tcPr>
          <w:p>
            <w:pPr>
              <w:spacing w:after="0"/>
              <w:rPr>
                <w:sz w:val="10"/>
                <w:szCs w:val="10"/>
                <w:color w:val="auto"/>
              </w:rPr>
            </w:pPr>
          </w:p>
        </w:tc>
        <w:tc>
          <w:tcPr>
            <w:tcW w:w="108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interest expense</w:t>
            </w:r>
          </w:p>
        </w:tc>
        <w:tc>
          <w:tcPr>
            <w:tcW w:w="11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7"/>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85"/>
              </w:rPr>
              <w:t>extinguishment of</w:t>
            </w:r>
          </w:p>
        </w:tc>
        <w:tc>
          <w:tcPr>
            <w:tcW w:w="11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and income taxes</w:t>
            </w:r>
          </w:p>
        </w:tc>
        <w:tc>
          <w:tcPr>
            <w:tcW w:w="1160" w:type="dxa"/>
            <w:vAlign w:val="bottom"/>
            <w:gridSpan w:val="5"/>
            <w:vMerge w:val="continue"/>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and amortization</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TechnipFMC plc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87"/>
              </w:rPr>
              <w:t>debt</w:t>
            </w:r>
          </w:p>
        </w:tc>
        <w:tc>
          <w:tcPr>
            <w:tcW w:w="11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1"/>
              </w:rPr>
              <w:t>(Operating profit)</w:t>
            </w:r>
          </w:p>
        </w:tc>
        <w:tc>
          <w:tcPr>
            <w:tcW w:w="120" w:type="dxa"/>
            <w:vAlign w:val="bottom"/>
          </w:tcPr>
          <w:p>
            <w:pPr>
              <w:spacing w:after="0"/>
              <w:rPr>
                <w:sz w:val="14"/>
                <w:szCs w:val="14"/>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440.7</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289.7</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730.4</w:t>
            </w: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0"/>
                <w:szCs w:val="20"/>
                <w:color w:val="auto"/>
              </w:rPr>
            </w:pPr>
            <w:r>
              <w:rPr>
                <w:rFonts w:ascii="Arial" w:cs="Arial" w:eastAsia="Arial" w:hAnsi="Arial"/>
                <w:sz w:val="13"/>
                <w:szCs w:val="13"/>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85"/>
        </w:trPr>
        <w:tc>
          <w:tcPr>
            <w:tcW w:w="3200" w:type="dxa"/>
            <w:vAlign w:val="bottom"/>
          </w:tcPr>
          <w:p>
            <w:pPr>
              <w:ind w:left="200"/>
              <w:spacing w:after="0"/>
              <w:rPr>
                <w:sz w:val="20"/>
                <w:szCs w:val="20"/>
                <w:color w:val="auto"/>
              </w:rPr>
            </w:pPr>
            <w:r>
              <w:rPr>
                <w:rFonts w:ascii="Arial" w:cs="Arial" w:eastAsia="Arial" w:hAnsi="Arial"/>
                <w:sz w:val="13"/>
                <w:szCs w:val="13"/>
                <w:color w:val="auto"/>
              </w:rPr>
              <w:t>Income from investment in Technip Energies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(351.8)</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450.1</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auto"/>
              </w:rPr>
              <w:t>Diluted earnings per share from continuing operations</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0" w:type="dxa"/>
            <w:vAlign w:val="bottom"/>
            <w:vMerge w:val="continue"/>
          </w:tcPr>
          <w:p>
            <w:pPr>
              <w:spacing w:after="0"/>
              <w:rPr>
                <w:sz w:val="24"/>
                <w:szCs w:val="24"/>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0.47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line="137" w:lineRule="exact"/>
              <w:rPr>
                <w:sz w:val="20"/>
                <w:szCs w:val="20"/>
                <w:color w:val="auto"/>
              </w:rPr>
            </w:pPr>
            <w:r>
              <w:rPr>
                <w:rFonts w:ascii="Arial" w:cs="Arial" w:eastAsia="Arial" w:hAnsi="Arial"/>
                <w:sz w:val="13"/>
                <w:szCs w:val="13"/>
                <w:color w:val="auto"/>
                <w:w w:val="95"/>
              </w:rPr>
              <w:t>Adjusted diluted loss per share from continuing operations</w:t>
            </w: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(0.14)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w:t>
            </w:r>
          </w:p>
        </w:tc>
        <w:tc>
          <w:tcPr>
            <w:tcW w:w="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6"/>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Nine Months Ended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7"/>
              </w:rPr>
              <w:t>September 30, 2020</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5"/>
              </w:rPr>
              <w:t>Loss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w w:val="84"/>
              </w:rPr>
              <w:t>Loss before net</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Provision for</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86"/>
              </w:rPr>
              <w:t>Net interest</w:t>
            </w:r>
          </w:p>
        </w:tc>
        <w:tc>
          <w:tcPr>
            <w:tcW w:w="60" w:type="dxa"/>
            <w:vAlign w:val="bottom"/>
          </w:tcPr>
          <w:p>
            <w:pPr>
              <w:spacing w:after="0"/>
              <w:rPr>
                <w:sz w:val="10"/>
                <w:szCs w:val="10"/>
                <w:color w:val="auto"/>
              </w:rPr>
            </w:pPr>
          </w:p>
        </w:tc>
        <w:tc>
          <w:tcPr>
            <w:tcW w:w="1080" w:type="dxa"/>
            <w:vAlign w:val="bottom"/>
            <w:gridSpan w:val="4"/>
          </w:tcPr>
          <w:p>
            <w:pPr>
              <w:jc w:val="center"/>
              <w:ind w:right="200"/>
              <w:spacing w:after="0" w:line="122" w:lineRule="exact"/>
              <w:rPr>
                <w:sz w:val="20"/>
                <w:szCs w:val="20"/>
                <w:color w:val="auto"/>
              </w:rPr>
            </w:pPr>
            <w:r>
              <w:rPr>
                <w:rFonts w:ascii="Arial" w:cs="Arial" w:eastAsia="Arial" w:hAnsi="Arial"/>
                <w:sz w:val="13"/>
                <w:szCs w:val="13"/>
                <w:b w:val="1"/>
                <w:bCs w:val="1"/>
                <w:color w:val="auto"/>
                <w:w w:val="81"/>
              </w:rPr>
              <w:t>interest expense</w:t>
            </w: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9"/>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14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4"/>
              </w:rPr>
              <w:t>and income taxes</w:t>
            </w:r>
          </w:p>
        </w:tc>
        <w:tc>
          <w:tcPr>
            <w:tcW w:w="1160" w:type="dxa"/>
            <w:vAlign w:val="bottom"/>
            <w:gridSpan w:val="5"/>
            <w:vMerge w:val="continue"/>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and amortization</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0"/>
              </w:rPr>
              <w:t>expense</w:t>
            </w:r>
          </w:p>
        </w:tc>
        <w:tc>
          <w:tcPr>
            <w:tcW w:w="11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20" w:type="dxa"/>
            <w:vAlign w:val="bottom"/>
          </w:tcPr>
          <w:p>
            <w:pPr>
              <w:spacing w:after="0"/>
              <w:rPr>
                <w:sz w:val="13"/>
                <w:szCs w:val="13"/>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(3,477.1)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(3,376.3)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(3,078.0)</w:t>
            </w: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0"/>
                <w:szCs w:val="20"/>
                <w:color w:val="auto"/>
              </w:rPr>
            </w:pPr>
            <w:r>
              <w:rPr>
                <w:rFonts w:ascii="Arial" w:cs="Arial" w:eastAsia="Arial" w:hAnsi="Arial"/>
                <w:sz w:val="13"/>
                <w:szCs w:val="13"/>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3,244.7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3,244.7</w:t>
            </w:r>
          </w:p>
        </w:tc>
        <w:tc>
          <w:tcPr>
            <w:tcW w:w="0" w:type="dxa"/>
            <w:vAlign w:val="bottom"/>
          </w:tcPr>
          <w:p>
            <w:pPr>
              <w:spacing w:after="0"/>
              <w:rPr>
                <w:sz w:val="1"/>
                <w:szCs w:val="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75"/>
        </w:trPr>
        <w:tc>
          <w:tcPr>
            <w:tcW w:w="320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Arial" w:cs="Arial" w:eastAsia="Arial" w:hAnsi="Arial"/>
                <w:sz w:val="13"/>
                <w:szCs w:val="13"/>
                <w:color w:val="auto"/>
              </w:rPr>
              <w:t>Purchase price accounting adjustment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200" w:type="dxa"/>
            <w:vAlign w:val="bottom"/>
          </w:tcPr>
          <w:p>
            <w:pPr>
              <w:ind w:left="200"/>
              <w:spacing w:after="0"/>
              <w:rPr>
                <w:sz w:val="20"/>
                <w:szCs w:val="20"/>
                <w:color w:val="auto"/>
              </w:rPr>
            </w:pPr>
            <w:r>
              <w:rPr>
                <w:rFonts w:ascii="Arial" w:cs="Arial" w:eastAsia="Arial" w:hAnsi="Arial"/>
                <w:sz w:val="13"/>
                <w:szCs w:val="13"/>
                <w:color w:val="auto"/>
              </w:rPr>
              <w:t>Valuation allowance</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20" w:type="dxa"/>
            <w:vAlign w:val="bottom"/>
          </w:tcPr>
          <w:p>
            <w:pPr>
              <w:spacing w:after="0"/>
              <w:rPr>
                <w:sz w:val="15"/>
                <w:szCs w:val="15"/>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(141.2)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42.3</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278.2</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auto"/>
                <w:w w:val="90"/>
              </w:rPr>
              <w:t>Diluted loss per share from continuing operations attributable</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0" w:type="dxa"/>
            <w:vAlign w:val="bottom"/>
            <w:vMerge w:val="continue"/>
          </w:tcPr>
          <w:p>
            <w:pPr>
              <w:spacing w:after="0"/>
              <w:rPr>
                <w:sz w:val="24"/>
                <w:szCs w:val="24"/>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to TechnipFMC plc, as reported</w:t>
            </w:r>
          </w:p>
        </w:tc>
        <w:tc>
          <w:tcPr>
            <w:tcW w:w="1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line="137" w:lineRule="exact"/>
              <w:rPr>
                <w:sz w:val="20"/>
                <w:szCs w:val="20"/>
                <w:color w:val="auto"/>
              </w:rPr>
            </w:pPr>
            <w:r>
              <w:rPr>
                <w:rFonts w:ascii="Arial" w:cs="Arial" w:eastAsia="Arial" w:hAnsi="Arial"/>
                <w:sz w:val="13"/>
                <w:szCs w:val="13"/>
                <w:color w:val="auto"/>
                <w:w w:val="95"/>
              </w:rPr>
              <w:t>Adjusted diluted loss per share from continuing operations</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w:t>
            </w:r>
          </w:p>
        </w:tc>
        <w:tc>
          <w:tcPr>
            <w:tcW w:w="1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8"/>
          </w:tcPr>
          <w:p>
            <w:pPr>
              <w:ind w:left="540"/>
              <w:spacing w:after="0"/>
              <w:rPr>
                <w:sz w:val="20"/>
                <w:szCs w:val="20"/>
                <w:color w:val="auto"/>
              </w:rPr>
            </w:pPr>
            <w:r>
              <w:rPr>
                <w:rFonts w:ascii="Arial" w:cs="Arial" w:eastAsia="Arial" w:hAnsi="Arial"/>
                <w:sz w:val="14"/>
                <w:szCs w:val="14"/>
                <w:b w:val="1"/>
                <w:bCs w:val="1"/>
                <w:color w:val="auto"/>
              </w:rPr>
              <w:t>TechnipFMC.com</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20 of </w:t>
            </w:r>
            <w:hyperlink w:anchor="page28">
              <w:r>
                <w:rPr>
                  <w:rFonts w:ascii="Arial" w:cs="Arial" w:eastAsia="Arial" w:hAnsi="Arial"/>
                  <w:sz w:val="14"/>
                  <w:szCs w:val="14"/>
                  <w:b w:val="1"/>
                  <w:bCs w:val="1"/>
                  <w:color w:val="auto"/>
                </w:rPr>
                <w:t>25</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(loss), as reported (pre-tax)</w:t>
      </w:r>
    </w:p>
    <w:p>
      <w:pPr>
        <w:spacing w:after="0" w:line="202" w:lineRule="exact"/>
        <w:rPr>
          <w:sz w:val="20"/>
          <w:szCs w:val="20"/>
          <w:color w:val="auto"/>
        </w:rPr>
      </w:pPr>
    </w:p>
    <w:p>
      <w:pPr>
        <w:ind w:left="200" w:right="900" w:hanging="201"/>
        <w:spacing w:after="0" w:line="328" w:lineRule="auto"/>
        <w:rPr>
          <w:sz w:val="20"/>
          <w:szCs w:val="20"/>
          <w:color w:val="auto"/>
        </w:rPr>
      </w:pPr>
      <w:r>
        <w:rPr>
          <w:rFonts w:ascii="Arial" w:cs="Arial" w:eastAsia="Arial" w:hAnsi="Arial"/>
          <w:sz w:val="12"/>
          <w:szCs w:val="12"/>
          <w:color w:val="auto"/>
        </w:rPr>
        <w:t>Charges and (credits): Impairment and other charges Restructuring and other charges</w:t>
      </w:r>
    </w:p>
    <w:p>
      <w:pPr>
        <w:spacing w:after="0" w:line="1" w:lineRule="exact"/>
        <w:rPr>
          <w:sz w:val="20"/>
          <w:szCs w:val="20"/>
          <w:color w:val="auto"/>
        </w:rPr>
      </w:pPr>
    </w:p>
    <w:p>
      <w:pPr>
        <w:ind w:left="460" w:right="180" w:hanging="242"/>
        <w:spacing w:after="0" w:line="361" w:lineRule="auto"/>
        <w:rPr>
          <w:sz w:val="20"/>
          <w:szCs w:val="20"/>
          <w:color w:val="auto"/>
        </w:rPr>
      </w:pPr>
      <w:r>
        <w:rPr>
          <w:rFonts w:ascii="Arial" w:cs="Arial" w:eastAsia="Arial" w:hAnsi="Arial"/>
          <w:sz w:val="13"/>
          <w:szCs w:val="13"/>
          <w:color w:val="auto"/>
        </w:rPr>
        <w:t>Income from investment in Technip Energies Subtotal</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(loss)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margin, as reported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margin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173355</wp:posOffset>
            </wp:positionV>
            <wp:extent cx="3994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67"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September 30, 2021</w:t>
      </w:r>
    </w:p>
    <w:p>
      <w:pPr>
        <w:spacing w:after="0" w:line="25" w:lineRule="exact"/>
        <w:rPr>
          <w:sz w:val="20"/>
          <w:szCs w:val="20"/>
          <w:color w:val="auto"/>
        </w:rPr>
      </w:pPr>
    </w:p>
    <w:tbl>
      <w:tblPr>
        <w:tblLayout w:type="fixed"/>
        <w:tblInd w:w="1380" w:type="dxa"/>
        <w:tblCellMar>
          <w:top w:w="0" w:type="dxa"/>
          <w:left w:w="0" w:type="dxa"/>
          <w:bottom w:w="0" w:type="dxa"/>
          <w:right w:w="0" w:type="dxa"/>
        </w:tblCellMar>
      </w:tblPr>
      <w:tr>
        <w:trPr>
          <w:trHeight w:val="143"/>
        </w:trPr>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top w:val="single" w:sz="8" w:color="auto"/>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3"/>
                <w:szCs w:val="13"/>
                <w:b w:val="1"/>
                <w:bCs w:val="1"/>
                <w:color w:val="auto"/>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3"/>
                <w:szCs w:val="13"/>
                <w:b w:val="1"/>
                <w:bCs w:val="1"/>
                <w:color w:val="auto"/>
              </w:rPr>
              <w:t>Corporate</w:t>
            </w:r>
          </w:p>
        </w:tc>
        <w:tc>
          <w:tcPr>
            <w:tcW w:w="1340" w:type="dxa"/>
            <w:vAlign w:val="bottom"/>
            <w:tcBorders>
              <w:top w:val="single" w:sz="8" w:color="auto"/>
            </w:tcBorders>
            <w:gridSpan w:val="3"/>
          </w:tcPr>
          <w:p>
            <w:pPr>
              <w:ind w:left="80"/>
              <w:spacing w:after="0" w:line="143"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net and Other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1,312.1</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267.3</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1,579.4</w:t>
            </w:r>
          </w:p>
        </w:tc>
        <w:tc>
          <w:tcPr>
            <w:tcW w:w="0" w:type="dxa"/>
            <w:vAlign w:val="bottom"/>
          </w:tcPr>
          <w:p>
            <w:pPr>
              <w:spacing w:after="0"/>
              <w:rPr>
                <w:sz w:val="1"/>
                <w:szCs w:val="1"/>
                <w:color w:val="auto"/>
              </w:rPr>
            </w:pPr>
          </w:p>
        </w:tc>
      </w:tr>
      <w:tr>
        <w:trPr>
          <w:trHeight w:val="351"/>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67.1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323"/>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146.5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20" w:space="720"/>
            <w:col w:w="7680"/>
          </w:cols>
          <w:pgMar w:left="34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Three Months Ended</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June 30, 2021</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313"/>
              <w:spacing w:after="0" w:line="136" w:lineRule="exact"/>
              <w:rPr>
                <w:sz w:val="20"/>
                <w:szCs w:val="20"/>
                <w:color w:val="auto"/>
              </w:rPr>
            </w:pPr>
            <w:r>
              <w:rPr>
                <w:rFonts w:ascii="Arial" w:cs="Arial" w:eastAsia="Arial" w:hAnsi="Arial"/>
                <w:sz w:val="13"/>
                <w:szCs w:val="13"/>
                <w:b w:val="1"/>
                <w:bCs w:val="1"/>
                <w:color w:val="auto"/>
              </w:rPr>
              <w:t>Surface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6"/>
              </w:rPr>
              <w:t>Corporate</w:t>
            </w:r>
          </w:p>
        </w:tc>
        <w:tc>
          <w:tcPr>
            <w:tcW w:w="134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Pr>
          <w:p>
            <w:pPr>
              <w:spacing w:after="0"/>
              <w:rPr>
                <w:sz w:val="11"/>
                <w:szCs w:val="11"/>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Expense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net and Other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3"/>
                <w:szCs w:val="13"/>
                <w:color w:val="auto"/>
              </w:rPr>
              <w:t>Revenue</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1,394.3</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274.5</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1,668.8</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12.9</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(157.5)</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(102.5)</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9"/>
        </w:trPr>
        <w:tc>
          <w:tcPr>
            <w:tcW w:w="492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7"/>
        </w:trPr>
        <w:tc>
          <w:tcPr>
            <w:tcW w:w="4920" w:type="dxa"/>
            <w:vAlign w:val="bottom"/>
          </w:tcPr>
          <w:p>
            <w:pPr>
              <w:ind w:left="200"/>
              <w:spacing w:after="0"/>
              <w:rPr>
                <w:sz w:val="20"/>
                <w:szCs w:val="20"/>
                <w:color w:val="auto"/>
              </w:rPr>
            </w:pPr>
            <w:r>
              <w:rPr>
                <w:rFonts w:ascii="Arial" w:cs="Arial" w:eastAsia="Arial" w:hAnsi="Arial"/>
                <w:sz w:val="13"/>
                <w:szCs w:val="13"/>
                <w:color w:val="auto"/>
              </w:rPr>
              <w:t>Loss from investment in Technip Energies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75"/>
        </w:trPr>
        <w:tc>
          <w:tcPr>
            <w:tcW w:w="492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76"/>
        </w:trPr>
        <w:tc>
          <w:tcPr>
            <w:tcW w:w="4920" w:type="dxa"/>
            <w:vAlign w:val="bottom"/>
            <w:vMerge w:val="restart"/>
          </w:tcPr>
          <w:p>
            <w:pPr>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323"/>
        </w:trPr>
        <w:tc>
          <w:tcPr>
            <w:tcW w:w="49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154.1</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30.2</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920" w:type="dxa"/>
            <w:vAlign w:val="bottom"/>
          </w:tcPr>
          <w:p>
            <w:pPr>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Adjusted Operating profit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21 of </w:t>
      </w:r>
      <w:hyperlink w:anchor="page28">
        <w:r>
          <w:rPr>
            <w:rFonts w:ascii="Arial" w:cs="Arial" w:eastAsia="Arial" w:hAnsi="Arial"/>
            <w:sz w:val="14"/>
            <w:szCs w:val="14"/>
            <w:b w:val="1"/>
            <w:bCs w:val="1"/>
            <w:color w:val="auto"/>
          </w:rPr>
          <w:t>25</w:t>
        </w:r>
      </w:hyperlink>
    </w:p>
    <w:p>
      <w:pPr>
        <w:sectPr>
          <w:pgSz w:w="11900" w:h="16838" w:orient="portrait"/>
          <w:cols w:equalWidth="0" w:num="1">
            <w:col w:w="11220"/>
          </w:cols>
          <w:pgMar w:left="340" w:top="1053" w:right="33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(loss), as reported (pre-tax)</w:t>
      </w:r>
    </w:p>
    <w:p>
      <w:pPr>
        <w:spacing w:after="0" w:line="213" w:lineRule="exact"/>
        <w:rPr>
          <w:sz w:val="20"/>
          <w:szCs w:val="20"/>
          <w:color w:val="auto"/>
        </w:rPr>
      </w:pPr>
    </w:p>
    <w:p>
      <w:pPr>
        <w:ind w:left="200" w:right="900" w:hanging="201"/>
        <w:spacing w:after="0" w:line="334" w:lineRule="auto"/>
        <w:rPr>
          <w:sz w:val="20"/>
          <w:szCs w:val="20"/>
          <w:color w:val="auto"/>
        </w:rPr>
      </w:pPr>
      <w:r>
        <w:rPr>
          <w:rFonts w:ascii="Arial" w:cs="Arial" w:eastAsia="Arial" w:hAnsi="Arial"/>
          <w:sz w:val="12"/>
          <w:szCs w:val="12"/>
          <w:color w:val="auto"/>
        </w:rPr>
        <w:t>Charges and (credits): Impairment and other charges Restructuring and other charges Direct COVID-19 expenses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Subtotal</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(loss)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margin, as reported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margin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173355</wp:posOffset>
            </wp:positionV>
            <wp:extent cx="3994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67"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September 30, 2020</w:t>
      </w:r>
    </w:p>
    <w:p>
      <w:pPr>
        <w:spacing w:after="0" w:line="25" w:lineRule="exact"/>
        <w:rPr>
          <w:sz w:val="20"/>
          <w:szCs w:val="20"/>
          <w:color w:val="auto"/>
        </w:rPr>
      </w:pPr>
    </w:p>
    <w:tbl>
      <w:tblPr>
        <w:tblLayout w:type="fixed"/>
        <w:tblInd w:w="1380" w:type="dxa"/>
        <w:tblCellMar>
          <w:top w:w="0" w:type="dxa"/>
          <w:left w:w="0" w:type="dxa"/>
          <w:bottom w:w="0" w:type="dxa"/>
          <w:right w:w="0" w:type="dxa"/>
        </w:tblCellMar>
      </w:tblPr>
      <w:tr>
        <w:trPr>
          <w:trHeight w:val="143"/>
        </w:trPr>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top w:val="single" w:sz="8" w:color="auto"/>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3"/>
                <w:szCs w:val="13"/>
                <w:b w:val="1"/>
                <w:bCs w:val="1"/>
                <w:color w:val="auto"/>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3"/>
                <w:szCs w:val="13"/>
                <w:b w:val="1"/>
                <w:bCs w:val="1"/>
                <w:color w:val="auto"/>
              </w:rPr>
              <w:t>Corporate</w:t>
            </w:r>
          </w:p>
        </w:tc>
        <w:tc>
          <w:tcPr>
            <w:tcW w:w="1340" w:type="dxa"/>
            <w:vAlign w:val="bottom"/>
            <w:tcBorders>
              <w:top w:val="single" w:sz="8" w:color="auto"/>
            </w:tcBorders>
            <w:gridSpan w:val="3"/>
          </w:tcPr>
          <w:p>
            <w:pPr>
              <w:ind w:left="80"/>
              <w:spacing w:after="0" w:line="143"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1,501.8</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1,727.5</w:t>
            </w:r>
          </w:p>
        </w:tc>
        <w:tc>
          <w:tcPr>
            <w:tcW w:w="0" w:type="dxa"/>
            <w:vAlign w:val="bottom"/>
          </w:tcPr>
          <w:p>
            <w:pPr>
              <w:spacing w:after="0"/>
              <w:rPr>
                <w:sz w:val="1"/>
                <w:szCs w:val="1"/>
                <w:color w:val="auto"/>
              </w:rPr>
            </w:pPr>
          </w:p>
        </w:tc>
      </w:tr>
      <w:tr>
        <w:trPr>
          <w:trHeight w:val="351"/>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4"/>
                <w:szCs w:val="2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920" w:type="dxa"/>
            <w:vAlign w:val="bottom"/>
          </w:tcPr>
          <w:p>
            <w:pPr>
              <w:ind w:left="580"/>
              <w:spacing w:after="0"/>
              <w:rPr>
                <w:sz w:val="20"/>
                <w:szCs w:val="20"/>
                <w:color w:val="auto"/>
              </w:rPr>
            </w:pPr>
            <w:r>
              <w:rPr>
                <w:rFonts w:ascii="Arial" w:cs="Arial" w:eastAsia="Arial" w:hAnsi="Arial"/>
                <w:sz w:val="13"/>
                <w:szCs w:val="13"/>
                <w:color w:val="auto"/>
                <w:w w:val="94"/>
              </w:rPr>
              <w:t>(14.6)</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4"/>
              </w:rPr>
              <w:t>(14.6)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323"/>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82.3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146.0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4"/>
              </w:rPr>
              <w:t>(14.6)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ind w:left="1480"/>
        <w:spacing w:after="0"/>
        <w:tabs>
          <w:tab w:leader="none" w:pos="67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28">
        <w:r>
          <w:rPr>
            <w:rFonts w:ascii="Arial" w:cs="Arial" w:eastAsia="Arial" w:hAnsi="Arial"/>
            <w:sz w:val="14"/>
            <w:szCs w:val="14"/>
            <w:b w:val="1"/>
            <w:bCs w:val="1"/>
            <w:color w:val="auto"/>
          </w:rPr>
          <w:t>25</w:t>
        </w:r>
      </w:hyperlink>
    </w:p>
    <w:p>
      <w:pPr>
        <w:sectPr>
          <w:pgSz w:w="11900" w:h="16838" w:orient="portrait"/>
          <w:cols w:equalWidth="0" w:num="2">
            <w:col w:w="2820" w:space="720"/>
            <w:col w:w="7680"/>
          </w:cols>
          <w:pgMar w:left="340" w:top="1053"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9"/>
              </w:rPr>
              <w:t>Nine Months Ended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9"/>
              </w:rPr>
              <w:t>September 30, 2021</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Exchange, net</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Technologies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4,092.9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787.3</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4,880.2</w:t>
            </w:r>
          </w:p>
        </w:tc>
        <w:tc>
          <w:tcPr>
            <w:tcW w:w="0" w:type="dxa"/>
            <w:vAlign w:val="bottom"/>
          </w:tcPr>
          <w:p>
            <w:pPr>
              <w:spacing w:after="0"/>
              <w:rPr>
                <w:sz w:val="1"/>
                <w:szCs w:val="1"/>
                <w:color w:val="auto"/>
              </w:rPr>
            </w:pPr>
          </w:p>
        </w:tc>
      </w:tr>
      <w:tr>
        <w:trPr>
          <w:trHeight w:val="346"/>
        </w:trPr>
        <w:tc>
          <w:tcPr>
            <w:tcW w:w="5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89"/>
        </w:trPr>
        <w:tc>
          <w:tcPr>
            <w:tcW w:w="504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4"/>
        </w:trPr>
        <w:tc>
          <w:tcPr>
            <w:tcW w:w="5040" w:type="dxa"/>
            <w:vAlign w:val="bottom"/>
          </w:tcPr>
          <w:p>
            <w:pPr>
              <w:ind w:left="200"/>
              <w:spacing w:after="0"/>
              <w:rPr>
                <w:sz w:val="20"/>
                <w:szCs w:val="20"/>
                <w:color w:val="auto"/>
              </w:rPr>
            </w:pPr>
            <w:r>
              <w:rPr>
                <w:rFonts w:ascii="Arial" w:cs="Arial" w:eastAsia="Arial" w:hAnsi="Arial"/>
                <w:sz w:val="14"/>
                <w:szCs w:val="14"/>
                <w:color w:val="auto"/>
              </w:rPr>
              <w:t>Income from investment in Technip Energies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169"/>
        </w:trPr>
        <w:tc>
          <w:tcPr>
            <w:tcW w:w="504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322"/>
        </w:trPr>
        <w:tc>
          <w:tcPr>
            <w:tcW w:w="50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85.5</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720" w:type="dxa"/>
            <w:vAlign w:val="bottom"/>
          </w:tcPr>
          <w:p>
            <w:pPr>
              <w:jc w:val="right"/>
              <w:ind w:right="388"/>
              <w:spacing w:after="0"/>
              <w:rPr>
                <w:sz w:val="20"/>
                <w:szCs w:val="20"/>
                <w:color w:val="auto"/>
              </w:rPr>
            </w:pPr>
            <w:r>
              <w:rPr>
                <w:rFonts w:ascii="Arial" w:cs="Arial" w:eastAsia="Arial" w:hAnsi="Arial"/>
                <w:sz w:val="14"/>
                <w:szCs w:val="14"/>
                <w:color w:val="auto"/>
              </w:rPr>
              <w:t>3.2 %</w:t>
            </w:r>
          </w:p>
        </w:tc>
        <w:tc>
          <w:tcPr>
            <w:tcW w:w="2540" w:type="dxa"/>
            <w:vAlign w:val="bottom"/>
          </w:tcPr>
          <w:p>
            <w:pPr>
              <w:jc w:val="right"/>
              <w:ind w:right="1588"/>
              <w:spacing w:after="0"/>
              <w:rPr>
                <w:sz w:val="20"/>
                <w:szCs w:val="20"/>
                <w:color w:val="auto"/>
              </w:rPr>
            </w:pPr>
            <w:r>
              <w:rPr>
                <w:rFonts w:ascii="Arial" w:cs="Arial" w:eastAsia="Arial" w:hAnsi="Arial"/>
                <w:sz w:val="14"/>
                <w:szCs w:val="14"/>
                <w:color w:val="auto"/>
              </w:rPr>
              <w:t>4.2 %</w:t>
            </w:r>
          </w:p>
        </w:tc>
        <w:tc>
          <w:tcPr>
            <w:tcW w:w="2000" w:type="dxa"/>
            <w:vAlign w:val="bottom"/>
          </w:tcPr>
          <w:p>
            <w:pPr>
              <w:jc w:val="right"/>
              <w:spacing w:after="0"/>
              <w:rPr>
                <w:sz w:val="20"/>
                <w:szCs w:val="20"/>
                <w:color w:val="auto"/>
              </w:rPr>
            </w:pPr>
            <w:r>
              <w:rPr>
                <w:rFonts w:ascii="Arial" w:cs="Arial" w:eastAsia="Arial" w:hAnsi="Arial"/>
                <w:sz w:val="14"/>
                <w:szCs w:val="14"/>
                <w:color w:val="auto"/>
              </w:rPr>
              <w:t>9.0 %</w:t>
            </w:r>
          </w:p>
        </w:tc>
      </w:tr>
      <w:tr>
        <w:trPr>
          <w:trHeight w:val="351"/>
        </w:trPr>
        <w:tc>
          <w:tcPr>
            <w:tcW w:w="39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720" w:type="dxa"/>
            <w:vAlign w:val="bottom"/>
          </w:tcPr>
          <w:p>
            <w:pPr>
              <w:jc w:val="right"/>
              <w:ind w:right="388"/>
              <w:spacing w:after="0"/>
              <w:rPr>
                <w:sz w:val="20"/>
                <w:szCs w:val="20"/>
                <w:color w:val="auto"/>
              </w:rPr>
            </w:pPr>
            <w:r>
              <w:rPr>
                <w:rFonts w:ascii="Arial" w:cs="Arial" w:eastAsia="Arial" w:hAnsi="Arial"/>
                <w:sz w:val="14"/>
                <w:szCs w:val="14"/>
                <w:color w:val="auto"/>
              </w:rPr>
              <w:t>4.8 %</w:t>
            </w:r>
          </w:p>
        </w:tc>
        <w:tc>
          <w:tcPr>
            <w:tcW w:w="2540" w:type="dxa"/>
            <w:vAlign w:val="bottom"/>
          </w:tcPr>
          <w:p>
            <w:pPr>
              <w:jc w:val="right"/>
              <w:ind w:right="1588"/>
              <w:spacing w:after="0"/>
              <w:rPr>
                <w:sz w:val="20"/>
                <w:szCs w:val="20"/>
                <w:color w:val="auto"/>
              </w:rPr>
            </w:pPr>
            <w:r>
              <w:rPr>
                <w:rFonts w:ascii="Arial" w:cs="Arial" w:eastAsia="Arial" w:hAnsi="Arial"/>
                <w:sz w:val="14"/>
                <w:szCs w:val="14"/>
                <w:color w:val="auto"/>
              </w:rPr>
              <w:t>4.7 %</w:t>
            </w:r>
          </w:p>
        </w:tc>
        <w:tc>
          <w:tcPr>
            <w:tcW w:w="200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351"/>
        </w:trPr>
        <w:tc>
          <w:tcPr>
            <w:tcW w:w="39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720" w:type="dxa"/>
            <w:vAlign w:val="bottom"/>
          </w:tcPr>
          <w:p>
            <w:pPr>
              <w:jc w:val="right"/>
              <w:ind w:right="388"/>
              <w:spacing w:after="0"/>
              <w:rPr>
                <w:sz w:val="20"/>
                <w:szCs w:val="20"/>
                <w:color w:val="auto"/>
              </w:rPr>
            </w:pPr>
            <w:r>
              <w:rPr>
                <w:rFonts w:ascii="Arial" w:cs="Arial" w:eastAsia="Arial" w:hAnsi="Arial"/>
                <w:sz w:val="14"/>
                <w:szCs w:val="14"/>
                <w:color w:val="auto"/>
              </w:rPr>
              <w:t>10.6 %</w:t>
            </w:r>
          </w:p>
        </w:tc>
        <w:tc>
          <w:tcPr>
            <w:tcW w:w="2540" w:type="dxa"/>
            <w:vAlign w:val="bottom"/>
          </w:tcPr>
          <w:p>
            <w:pPr>
              <w:jc w:val="right"/>
              <w:ind w:right="1588"/>
              <w:spacing w:after="0"/>
              <w:rPr>
                <w:sz w:val="20"/>
                <w:szCs w:val="20"/>
                <w:color w:val="auto"/>
              </w:rPr>
            </w:pPr>
            <w:r>
              <w:rPr>
                <w:rFonts w:ascii="Arial" w:cs="Arial" w:eastAsia="Arial" w:hAnsi="Arial"/>
                <w:sz w:val="14"/>
                <w:szCs w:val="14"/>
                <w:color w:val="auto"/>
              </w:rPr>
              <w:t>10.9 %</w:t>
            </w:r>
          </w:p>
        </w:tc>
        <w:tc>
          <w:tcPr>
            <w:tcW w:w="2000" w:type="dxa"/>
            <w:vAlign w:val="bottom"/>
          </w:tcPr>
          <w:p>
            <w:pPr>
              <w:jc w:val="right"/>
              <w:spacing w:after="0"/>
              <w:rPr>
                <w:sz w:val="20"/>
                <w:szCs w:val="20"/>
                <w:color w:val="auto"/>
              </w:rPr>
            </w:pPr>
            <w:r>
              <w:rPr>
                <w:rFonts w:ascii="Arial" w:cs="Arial" w:eastAsia="Arial" w:hAnsi="Arial"/>
                <w:sz w:val="14"/>
                <w:szCs w:val="14"/>
                <w:color w:val="auto"/>
              </w:rPr>
              <w:t>9.2 %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w w:val="99"/>
              </w:rPr>
              <w:t>September 30, 2020</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Surface</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4,133.4</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796.9</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4,930.3</w:t>
            </w:r>
          </w:p>
        </w:tc>
        <w:tc>
          <w:tcPr>
            <w:tcW w:w="0" w:type="dxa"/>
            <w:vAlign w:val="bottom"/>
          </w:tcPr>
          <w:p>
            <w:pPr>
              <w:spacing w:after="0"/>
              <w:rPr>
                <w:sz w:val="1"/>
                <w:szCs w:val="1"/>
                <w:color w:val="auto"/>
              </w:rPr>
            </w:pPr>
          </w:p>
        </w:tc>
      </w:tr>
      <w:tr>
        <w:trPr>
          <w:trHeight w:val="332"/>
        </w:trPr>
        <w:tc>
          <w:tcPr>
            <w:tcW w:w="5020" w:type="dxa"/>
            <w:vAlign w:val="bottom"/>
          </w:tcPr>
          <w:p>
            <w:pPr>
              <w:spacing w:after="0"/>
              <w:rPr>
                <w:sz w:val="20"/>
                <w:szCs w:val="20"/>
                <w:color w:val="auto"/>
              </w:rPr>
            </w:pPr>
            <w:r>
              <w:rPr>
                <w:rFonts w:ascii="Arial" w:cs="Arial" w:eastAsia="Arial" w:hAnsi="Arial"/>
                <w:sz w:val="14"/>
                <w:szCs w:val="14"/>
                <w:color w:val="auto"/>
              </w:rPr>
              <w:t>Operating loss, as reported (pre-tax)</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(2,806.0)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620"/>
              <w:spacing w:after="0"/>
              <w:rPr>
                <w:sz w:val="20"/>
                <w:szCs w:val="20"/>
                <w:color w:val="auto"/>
              </w:rPr>
            </w:pPr>
            <w:r>
              <w:rPr>
                <w:rFonts w:ascii="Arial" w:cs="Arial" w:eastAsia="Arial" w:hAnsi="Arial"/>
                <w:sz w:val="14"/>
                <w:szCs w:val="14"/>
                <w:color w:val="auto"/>
                <w:w w:val="98"/>
              </w:rPr>
              <w:t>(53.8)</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(3,376.3)</w:t>
            </w: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2,826.6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418.1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3,244.7</w:t>
            </w: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5"/>
        </w:trPr>
        <w:tc>
          <w:tcPr>
            <w:tcW w:w="5020" w:type="dxa"/>
            <w:vAlign w:val="bottom"/>
          </w:tcPr>
          <w:p>
            <w:pPr>
              <w:ind w:left="200"/>
              <w:spacing w:after="0"/>
              <w:rPr>
                <w:sz w:val="20"/>
                <w:szCs w:val="20"/>
                <w:color w:val="auto"/>
              </w:rPr>
            </w:pPr>
            <w:r>
              <w:rPr>
                <w:rFonts w:ascii="Arial" w:cs="Arial" w:eastAsia="Arial" w:hAnsi="Arial"/>
                <w:sz w:val="14"/>
                <w:szCs w:val="14"/>
                <w:color w:val="auto"/>
              </w:rPr>
              <w:t>Purchase price accounting adjustment</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2,921.3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439.8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3,364.7</w:t>
            </w:r>
          </w:p>
        </w:tc>
        <w:tc>
          <w:tcPr>
            <w:tcW w:w="0" w:type="dxa"/>
            <w:vAlign w:val="bottom"/>
          </w:tcPr>
          <w:p>
            <w:pPr>
              <w:spacing w:after="0"/>
              <w:rPr>
                <w:sz w:val="1"/>
                <w:szCs w:val="1"/>
                <w:color w:val="auto"/>
              </w:rPr>
            </w:pPr>
          </w:p>
        </w:tc>
      </w:tr>
      <w:tr>
        <w:trPr>
          <w:trHeight w:val="155"/>
        </w:trPr>
        <w:tc>
          <w:tcPr>
            <w:tcW w:w="502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0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8"/>
              </w:rPr>
              <w:t>(53.8)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350.4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8"/>
              </w:rPr>
              <w:t>(53.8)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0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-55.8 %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-68.5 %</w:t>
            </w: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-0.6 %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23 of </w:t>
      </w:r>
      <w:hyperlink w:anchor="page28">
        <w:r>
          <w:rPr>
            <w:rFonts w:ascii="Arial" w:cs="Arial" w:eastAsia="Arial" w:hAnsi="Arial"/>
            <w:sz w:val="14"/>
            <w:szCs w:val="14"/>
            <w:b w:val="1"/>
            <w:bCs w:val="1"/>
            <w:color w:val="auto"/>
          </w:rPr>
          <w:t>25</w:t>
        </w:r>
      </w:hyperlink>
    </w:p>
    <w:p>
      <w:pPr>
        <w:sectPr>
          <w:pgSz w:w="11900" w:h="16838" w:orient="portrait"/>
          <w:cols w:equalWidth="0" w:num="1">
            <w:col w:w="11220"/>
          </w:cols>
          <w:pgMar w:left="340" w:top="1053" w:right="3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24 of </w:t>
      </w:r>
      <w:hyperlink w:anchor="page28">
        <w:r>
          <w:rPr>
            <w:rFonts w:ascii="Arial" w:cs="Arial" w:eastAsia="Arial" w:hAnsi="Arial"/>
            <w:sz w:val="14"/>
            <w:szCs w:val="14"/>
            <w:b w:val="1"/>
            <w:bCs w:val="1"/>
            <w:color w:val="auto"/>
          </w:rPr>
          <w:t>25</w:t>
        </w:r>
      </w:hyperlink>
    </w:p>
    <w:p>
      <w:pPr>
        <w:sectPr>
          <w:pgSz w:w="11900" w:h="16838" w:orient="portrait"/>
          <w:cols w:equalWidth="0" w:num="1">
            <w:col w:w="11240"/>
          </w:cols>
          <w:pgMar w:left="320" w:top="1053"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64"/>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ind w:left="560"/>
              <w:spacing w:after="0"/>
              <w:rPr>
                <w:sz w:val="20"/>
                <w:szCs w:val="20"/>
                <w:color w:val="auto"/>
              </w:rPr>
            </w:pPr>
            <w:r>
              <w:rPr>
                <w:rFonts w:ascii="Arial" w:cs="Arial" w:eastAsia="Arial" w:hAnsi="Arial"/>
                <w:sz w:val="13"/>
                <w:szCs w:val="13"/>
                <w:b w:val="1"/>
                <w:bCs w:val="1"/>
                <w:color w:val="auto"/>
                <w:w w:val="84"/>
              </w:rPr>
              <w:t>Exhibit 11</w:t>
            </w:r>
          </w:p>
        </w:tc>
        <w:tc>
          <w:tcPr>
            <w:tcW w:w="0" w:type="dxa"/>
            <w:vAlign w:val="bottom"/>
          </w:tcPr>
          <w:p>
            <w:pPr>
              <w:spacing w:after="0"/>
              <w:rPr>
                <w:sz w:val="1"/>
                <w:szCs w:val="1"/>
                <w:color w:val="auto"/>
              </w:rPr>
            </w:pPr>
          </w:p>
        </w:tc>
      </w:tr>
      <w:tr>
        <w:trPr>
          <w:trHeight w:val="340"/>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rPr>
              <w:t>TECHNIPFMC PLC AND CONSOLIDATED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gridSpan w:val="12"/>
          </w:tcPr>
          <w:p>
            <w:pPr>
              <w:jc w:val="center"/>
              <w:ind w:left="1330"/>
              <w:spacing w:after="0" w:line="196" w:lineRule="exact"/>
              <w:rPr>
                <w:sz w:val="20"/>
                <w:szCs w:val="20"/>
                <w:color w:val="auto"/>
              </w:rPr>
            </w:pPr>
            <w:r>
              <w:rPr>
                <w:rFonts w:ascii="Arial" w:cs="Arial" w:eastAsia="Arial" w:hAnsi="Arial"/>
                <w:sz w:val="18"/>
                <w:szCs w:val="18"/>
                <w:b w:val="1"/>
                <w:bCs w:val="1"/>
                <w:color w:val="auto"/>
              </w:rPr>
              <w:t>RECONCILIATION OF GAAP TO NON-GAAP FINANCIAL MEASURES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gridSpan w:val="5"/>
          </w:tcPr>
          <w:p>
            <w:pPr>
              <w:jc w:val="center"/>
              <w:ind w:right="1740"/>
              <w:spacing w:after="0"/>
              <w:rPr>
                <w:sz w:val="20"/>
                <w:szCs w:val="20"/>
                <w:color w:val="auto"/>
              </w:rPr>
            </w:pPr>
            <w:r>
              <w:rPr>
                <w:rFonts w:ascii="Arial" w:cs="Arial" w:eastAsia="Arial" w:hAnsi="Arial"/>
                <w:sz w:val="18"/>
                <w:szCs w:val="18"/>
                <w:b w:val="1"/>
                <w:bCs w:val="1"/>
                <w:color w:val="auto"/>
                <w:w w:val="92"/>
              </w:rPr>
              <w:t>(In millions, unaudited)</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2840" w:type="dxa"/>
            <w:vAlign w:val="bottom"/>
            <w:gridSpan w:val="5"/>
            <w:vMerge w:val="restart"/>
          </w:tcPr>
          <w:p>
            <w:pPr>
              <w:jc w:val="right"/>
              <w:ind w:right="55"/>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2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w w:val="91"/>
              </w:rPr>
              <w:t>Cash provided by operating activities from continuing operations</w:t>
            </w:r>
          </w:p>
        </w:tc>
        <w:tc>
          <w:tcPr>
            <w:tcW w:w="1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left="670"/>
              <w:spacing w:after="0"/>
              <w:rPr>
                <w:sz w:val="20"/>
                <w:szCs w:val="20"/>
                <w:color w:val="auto"/>
              </w:rPr>
            </w:pPr>
            <w:r>
              <w:rPr>
                <w:rFonts w:ascii="Arial" w:cs="Arial" w:eastAsia="Arial" w:hAnsi="Arial"/>
                <w:sz w:val="18"/>
                <w:szCs w:val="18"/>
                <w:color w:val="auto"/>
                <w:w w:val="88"/>
              </w:rPr>
              <w:t>231.5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91"/>
              </w:rPr>
              <w:t>(131.2)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(227.3)</w:t>
            </w:r>
          </w:p>
        </w:tc>
        <w:tc>
          <w:tcPr>
            <w:tcW w:w="0" w:type="dxa"/>
            <w:vAlign w:val="bottom"/>
          </w:tcPr>
          <w:p>
            <w:pPr>
              <w:spacing w:after="0"/>
              <w:rPr>
                <w:sz w:val="1"/>
                <w:szCs w:val="1"/>
                <w:color w:val="auto"/>
              </w:rPr>
            </w:pPr>
          </w:p>
        </w:tc>
      </w:tr>
      <w:tr>
        <w:trPr>
          <w:trHeight w:val="223"/>
        </w:trPr>
        <w:tc>
          <w:tcPr>
            <w:tcW w:w="4700" w:type="dxa"/>
            <w:vAlign w:val="bottom"/>
            <w:gridSpan w:val="3"/>
          </w:tcPr>
          <w:p>
            <w:pPr>
              <w:spacing w:after="0"/>
              <w:rPr>
                <w:sz w:val="20"/>
                <w:szCs w:val="20"/>
                <w:color w:val="auto"/>
              </w:rPr>
            </w:pPr>
            <w:r>
              <w:rPr>
                <w:rFonts w:ascii="Arial" w:cs="Arial" w:eastAsia="Arial" w:hAnsi="Arial"/>
                <w:sz w:val="18"/>
                <w:szCs w:val="18"/>
                <w:color w:val="auto"/>
              </w:rPr>
              <w:t>Free cash flow from continuing operations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88"/>
              </w:rPr>
              <w:t>100.3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(deficit) from continuing operations, is a non-GAAP financial measure and is defined as cash provided by operating activities less capital expenditures. Management uses this non-GAAP financial measure to evaluate our financial condition. We believe from continuing operations, free cash flow (deficit) from continuing operations is a meaningful financial measure that may assist investors in understanding our financial condition and results of operations.</w:t>
      </w:r>
    </w:p>
    <w:p>
      <w:pPr>
        <w:spacing w:after="0" w:line="200" w:lineRule="exact"/>
        <w:rPr>
          <w:sz w:val="20"/>
          <w:szCs w:val="20"/>
          <w:color w:val="auto"/>
        </w:rPr>
      </w:pPr>
    </w:p>
    <w:p>
      <w:pPr>
        <w:spacing w:after="0" w:line="271"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25 of </w:t>
      </w:r>
      <w:hyperlink w:anchor="page28">
        <w:r>
          <w:rPr>
            <w:rFonts w:ascii="Arial" w:cs="Arial" w:eastAsia="Arial" w:hAnsi="Arial"/>
            <w:sz w:val="14"/>
            <w:szCs w:val="14"/>
            <w:b w:val="1"/>
            <w:bCs w:val="1"/>
            <w:color w:val="auto"/>
          </w:rPr>
          <w:t>25</w:t>
        </w:r>
      </w:hyperlink>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2021-10-20T15:20:36Z</dcterms:created>
  <dcterms:modified xsi:type="dcterms:W3CDTF">2021-10-20T15:20:36Z</dcterms:modified>
</cp:coreProperties>
</file>