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3332" w:hAnchor="page" w:vAnchor="page" w:x="280" w:y="197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Schedule 13G. </w:t>
      </w:r>
    </w:p>
    <w:p>
      <w:pPr>
        <w:pStyle w:val="Normal"/>
        <w:framePr w:w="10218" w:hAnchor="page" w:vAnchor="page" w:x="280" w:y="195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4: Reference is made to Items 5-11 on the preceding pages of this </w:t>
      </w:r>
    </w:p>
    <w:p>
      <w:pPr>
        <w:pStyle w:val="Normal"/>
        <w:framePr w:w="3753" w:hAnchor="page" w:vAnchor="page" w:x="280" w:y="190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Advisers Act of 1940 </w:t>
      </w:r>
    </w:p>
    <w:p>
      <w:pPr>
        <w:pStyle w:val="Normal"/>
        <w:framePr w:w="10078" w:hAnchor="page" w:vAnchor="page" w:x="280" w:y="188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X   Investment Adviser registered under Section 203 of the Investment </w:t>
      </w:r>
    </w:p>
    <w:p>
      <w:pPr>
        <w:pStyle w:val="Normal"/>
        <w:framePr w:w="7408" w:hAnchor="page" w:vAnchor="page" w:x="280" w:y="186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3: The person filing this Schedule 13G is an: </w:t>
      </w:r>
    </w:p>
    <w:p>
      <w:pPr>
        <w:pStyle w:val="Normal"/>
        <w:framePr w:w="5018" w:hAnchor="page" w:vAnchor="page" w:x="280" w:y="181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2(e) Cusip Number: G87110105 </w:t>
      </w:r>
    </w:p>
    <w:p>
      <w:pPr>
        <w:pStyle w:val="Normal"/>
        <w:framePr w:w="7688" w:hAnchor="page" w:vAnchor="page" w:x="280" w:y="177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2(d) Title of Class of Securities: COMMON STOCK </w:t>
      </w:r>
    </w:p>
    <w:p>
      <w:pPr>
        <w:pStyle w:val="Normal"/>
        <w:framePr w:w="2067" w:hAnchor="page" w:vAnchor="page" w:x="280" w:y="172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Maryland </w:t>
      </w:r>
    </w:p>
    <w:p>
      <w:pPr>
        <w:pStyle w:val="Normal"/>
        <w:framePr w:w="6986" w:hAnchor="page" w:vAnchor="page" w:x="280" w:y="170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2(c) Citizenship or Place of Organization: </w:t>
      </w:r>
    </w:p>
    <w:p>
      <w:pPr>
        <w:pStyle w:val="Normal"/>
        <w:framePr w:w="6002" w:hAnchor="page" w:vAnchor="page" w:x="280" w:y="166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100 E. Pratt Street, Baltimore, MD 21202 </w:t>
      </w:r>
    </w:p>
    <w:p>
      <w:pPr>
        <w:pStyle w:val="Normal"/>
        <w:framePr w:w="6986" w:hAnchor="page" w:vAnchor="page" w:x="280" w:y="163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2(b) Address of Principal Business Office: </w:t>
      </w:r>
    </w:p>
    <w:p>
      <w:pPr>
        <w:pStyle w:val="Normal"/>
        <w:framePr w:w="7829" w:hAnchor="page" w:vAnchor="page" w:x="280" w:y="159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T. ROWE PRICE ASSOCIATES, INC. (Price Associates) </w:t>
      </w:r>
    </w:p>
    <w:p>
      <w:pPr>
        <w:pStyle w:val="Normal"/>
        <w:framePr w:w="5299" w:hAnchor="page" w:vAnchor="page" w:x="280" w:y="157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2(a) Name of Person(s) Filing: </w:t>
      </w:r>
    </w:p>
    <w:p>
      <w:pPr>
        <w:pStyle w:val="Normal"/>
        <w:framePr w:w="10921" w:hAnchor="page" w:vAnchor="page" w:x="280" w:y="152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HADRIAN HOUSE, WINCOMBLEE ROAD, NEWCASTLE UPON TYNE, UNITED KINGDOM NE6 3PL </w:t>
      </w:r>
    </w:p>
    <w:p>
      <w:pPr>
        <w:pStyle w:val="Normal"/>
        <w:framePr w:w="8532" w:hAnchor="page" w:vAnchor="page" w:x="280" w:y="150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1(b) Address of Issuer's Principal Executive Offices: </w:t>
      </w:r>
    </w:p>
    <w:p>
      <w:pPr>
        <w:pStyle w:val="Normal"/>
        <w:framePr w:w="2348" w:hAnchor="page" w:vAnchor="page" w:x="280" w:y="145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3894" w:hAnchor="page" w:vAnchor="page" w:x="280" w:y="143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1(a) Name of Issuer: </w:t>
      </w:r>
    </w:p>
    <w:p>
      <w:pPr>
        <w:pStyle w:val="Normal"/>
        <w:framePr w:w="9656" w:hAnchor="page" w:vAnchor="page" w:x="280" w:y="138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*Any shares reported in Items 5 and 6 are also reported in Item 7. </w:t>
      </w:r>
    </w:p>
    <w:p>
      <w:pPr>
        <w:pStyle w:val="Normal"/>
        <w:framePr w:w="521" w:hAnchor="page" w:vAnchor="page" w:x="1217" w:y="134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IA</w:t>
      </w:r>
    </w:p>
    <w:p>
      <w:pPr>
        <w:pStyle w:val="Normal"/>
        <w:framePr w:w="4315" w:hAnchor="page" w:vAnchor="page" w:x="280" w:y="132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12. Type of Reporting Person </w:t>
      </w:r>
    </w:p>
    <w:p>
      <w:pPr>
        <w:pStyle w:val="Normal"/>
        <w:framePr w:w="1083" w:hAnchor="page" w:vAnchor="page" w:x="1217" w:y="127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10.4% </w:t>
      </w:r>
    </w:p>
    <w:p>
      <w:pPr>
        <w:pStyle w:val="Normal"/>
        <w:framePr w:w="7548" w:hAnchor="page" w:vAnchor="page" w:x="280" w:y="125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11. Percent of Class Represented by Amount in Row 9 </w:t>
      </w:r>
    </w:p>
    <w:p>
      <w:pPr>
        <w:pStyle w:val="Normal"/>
        <w:framePr w:w="2348" w:hAnchor="page" w:vAnchor="page" w:x="1217" w:y="120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10499" w:hAnchor="page" w:vAnchor="page" w:x="280" w:y="118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10. Check Box if the Aggregate Amount in Row (9) Excludes Certain Shares </w:t>
      </w:r>
    </w:p>
    <w:p>
      <w:pPr>
        <w:pStyle w:val="Normal"/>
        <w:framePr w:w="2207" w:hAnchor="page" w:vAnchor="page" w:x="280" w:y="114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44,644,232 </w:t>
      </w:r>
    </w:p>
    <w:p>
      <w:pPr>
        <w:pStyle w:val="Normal"/>
        <w:framePr w:w="9234" w:hAnchor="page" w:vAnchor="page" w:x="280" w:y="111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9. Aggregate Amount Beneficially Owned by Each Reporting Person </w:t>
      </w:r>
    </w:p>
    <w:p>
      <w:pPr>
        <w:pStyle w:val="Normal"/>
        <w:framePr w:w="4737" w:hAnchor="page" w:vAnchor="page" w:x="280" w:y="107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8. Shared Dispositive Power   0 </w:t>
      </w:r>
    </w:p>
    <w:p>
      <w:pPr>
        <w:pStyle w:val="Normal"/>
        <w:framePr w:w="6002" w:hAnchor="page" w:vAnchor="page" w:x="280" w:y="102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7. Sole Dispositive Power*    44,644,232 </w:t>
      </w:r>
    </w:p>
    <w:p>
      <w:pPr>
        <w:pStyle w:val="Normal"/>
        <w:framePr w:w="4737" w:hAnchor="page" w:vAnchor="page" w:x="280" w:y="98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6. Shared Voting Power*       0 </w:t>
      </w:r>
    </w:p>
    <w:p>
      <w:pPr>
        <w:pStyle w:val="Normal"/>
        <w:framePr w:w="6002" w:hAnchor="page" w:vAnchor="page" w:x="280" w:y="93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5. Sole Voting Power*         43,662,336 </w:t>
      </w:r>
    </w:p>
    <w:p>
      <w:pPr>
        <w:pStyle w:val="Normal"/>
        <w:framePr w:w="9516" w:hAnchor="page" w:vAnchor="page" w:x="280" w:y="89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Number of Shares Beneficially Owned by Each Reporting Person With </w:t>
      </w:r>
    </w:p>
    <w:p>
      <w:pPr>
        <w:pStyle w:val="Normal"/>
        <w:framePr w:w="1926" w:hAnchor="page" w:vAnchor="page" w:x="280" w:y="84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Maryland </w:t>
      </w:r>
    </w:p>
    <w:p>
      <w:pPr>
        <w:pStyle w:val="Normal"/>
        <w:framePr w:w="5861" w:hAnchor="page" w:vAnchor="page" w:x="280" w:y="82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4. Citizenship or Place of Organization </w:t>
      </w:r>
    </w:p>
    <w:p>
      <w:pPr>
        <w:pStyle w:val="Normal"/>
        <w:framePr w:w="2489" w:hAnchor="page" w:vAnchor="page" w:x="280" w:y="78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3. SEC Use Only </w:t>
      </w:r>
    </w:p>
    <w:p>
      <w:pPr>
        <w:pStyle w:val="Normal"/>
        <w:framePr w:w="2770" w:hAnchor="page" w:vAnchor="page" w:x="280" w:y="73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NOT APPLICABLE </w:t>
      </w:r>
    </w:p>
    <w:p>
      <w:pPr>
        <w:pStyle w:val="Normal"/>
        <w:framePr w:w="7548" w:hAnchor="page" w:vAnchor="page" w:x="280" w:y="71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2. Check the Appropriate Box if a Member of a Group </w:t>
      </w:r>
    </w:p>
    <w:p>
      <w:pPr>
        <w:pStyle w:val="Normal"/>
        <w:framePr w:w="2207" w:hAnchor="page" w:vAnchor="page" w:x="280" w:y="66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52-0556948 </w:t>
      </w:r>
    </w:p>
    <w:p>
      <w:pPr>
        <w:pStyle w:val="Normal"/>
        <w:framePr w:w="5018" w:hAnchor="page" w:vAnchor="page" w:x="280" w:y="64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T. ROWE PRICE ASSOCIATES, INC. </w:t>
      </w:r>
    </w:p>
    <w:p>
      <w:pPr>
        <w:pStyle w:val="Normal"/>
        <w:framePr w:w="4175" w:hAnchor="page" w:vAnchor="page" w:x="280" w:y="62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1. Name of Reporting Person </w:t>
      </w:r>
    </w:p>
    <w:p>
      <w:pPr>
        <w:pStyle w:val="Normal"/>
        <w:framePr w:w="3191" w:hAnchor="page" w:vAnchor="page" w:x="280" w:y="57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Rule 13d - 1(d) </w:t>
      </w:r>
    </w:p>
    <w:p>
      <w:pPr>
        <w:pStyle w:val="Normal"/>
        <w:framePr w:w="3191" w:hAnchor="page" w:vAnchor="page" w:x="280" w:y="556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Rule 13d - 1(c) </w:t>
      </w:r>
    </w:p>
    <w:p>
      <w:pPr>
        <w:pStyle w:val="Normal"/>
        <w:framePr w:w="3191" w:hAnchor="page" w:vAnchor="page" w:x="280" w:y="534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[x]  Rule 13d - 1(b) </w:t>
      </w:r>
    </w:p>
    <w:p>
      <w:pPr>
        <w:pStyle w:val="Normal"/>
        <w:framePr w:w="2910" w:hAnchor="page" w:vAnchor="page" w:x="280" w:y="511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is filed: </w:t>
      </w:r>
    </w:p>
    <w:p>
      <w:pPr>
        <w:pStyle w:val="Normal"/>
        <w:framePr w:w="10218" w:hAnchor="page" w:vAnchor="page" w:x="280" w:y="48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Check the appropriate box to designate the Rule pursuant to which this </w:t>
      </w:r>
    </w:p>
    <w:p>
      <w:pPr>
        <w:pStyle w:val="Normal"/>
        <w:framePr w:w="7408" w:hAnchor="page" w:vAnchor="page" w:x="280" w:y="44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(Date of Event which Requires Filing of Statement) </w:t>
      </w:r>
    </w:p>
    <w:p>
      <w:pPr>
        <w:pStyle w:val="Normal"/>
        <w:framePr w:w="2348" w:hAnchor="page" w:vAnchor="page" w:x="280" w:y="421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April 30, 2024 </w:t>
      </w:r>
    </w:p>
    <w:p>
      <w:pPr>
        <w:pStyle w:val="Normal"/>
        <w:framePr w:w="2348" w:hAnchor="page" w:vAnchor="page" w:x="280" w:y="376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(CUSIP NUMBER) </w:t>
      </w:r>
    </w:p>
    <w:p>
      <w:pPr>
        <w:pStyle w:val="Normal"/>
        <w:framePr w:w="1645" w:hAnchor="page" w:vAnchor="page" w:x="280" w:y="35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G87110105 </w:t>
      </w:r>
    </w:p>
    <w:p>
      <w:pPr>
        <w:pStyle w:val="Normal"/>
        <w:framePr w:w="4597" w:hAnchor="page" w:vAnchor="page" w:x="280" w:y="309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(Title of Class of Securities) </w:t>
      </w:r>
    </w:p>
    <w:p>
      <w:pPr>
        <w:pStyle w:val="Normal"/>
        <w:framePr w:w="2067" w:hAnchor="page" w:vAnchor="page" w:x="280" w:y="286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 </w:t>
      </w:r>
    </w:p>
    <w:p>
      <w:pPr>
        <w:pStyle w:val="Normal"/>
        <w:framePr w:w="2629" w:hAnchor="page" w:vAnchor="page" w:x="280" w:y="241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(Name of Issuer) </w:t>
      </w:r>
    </w:p>
    <w:p>
      <w:pPr>
        <w:pStyle w:val="Normal"/>
        <w:framePr w:w="2348" w:hAnchor="page" w:vAnchor="page" w:x="280" w:y="21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2770" w:hAnchor="page" w:vAnchor="page" w:x="280" w:y="173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(Amendment No. 4) </w:t>
      </w:r>
    </w:p>
    <w:p>
      <w:pPr>
        <w:pStyle w:val="Normal"/>
        <w:framePr w:w="6143" w:hAnchor="page" w:vAnchor="page" w:x="280" w:y="12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Under the Securities Exchange Act of 1934 </w:t>
      </w:r>
    </w:p>
    <w:p>
      <w:pPr>
        <w:pStyle w:val="Normal"/>
        <w:framePr w:w="2067" w:hAnchor="page" w:vAnchor="page" w:x="280" w:y="83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13G </w:t>
      </w:r>
    </w:p>
    <w:p>
      <w:pPr>
        <w:pStyle w:val="Normal"/>
        <w:framePr w:w="3472" w:hAnchor="page" w:vAnchor="page" w:x="280" w:y="61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Washington, D.C. 20549 </w:t>
      </w:r>
    </w:p>
    <w:p>
      <w:pPr>
        <w:pStyle w:val="Normal"/>
        <w:framePr w:w="5159" w:hAnchor="page" w:vAnchor="page" w:x="280" w:y="38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SECURITIES AND EXCHANGE COMMISSION </w:t>
      </w:r>
    </w:p>
    <w:p>
      <w:pPr>
        <w:pStyle w:val="Normal"/>
        <w:framePr w:w="2207" w:hAnchor="page" w:vAnchor="page" w:x="280" w:y="16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</w:p>
    <w:p>
      <w:pPr>
        <w:pStyle w:val="Normal"/>
        <w:framePr w:w="1645" w:hAnchor="page" w:vAnchor="page" w:x="280" w:y="142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04/30/2024</w:t>
      </w:r>
    </w:p>
    <w:p>
      <w:pPr>
        <w:pStyle w:val="Normal"/>
        <w:framePr w:w="6705" w:hAnchor="page" w:vAnchor="page" w:x="280" w:y="137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Name &amp; Title: Armando Capasso, Vice President </w:t>
      </w:r>
    </w:p>
    <w:p>
      <w:pPr>
        <w:pStyle w:val="Normal"/>
        <w:framePr w:w="4597" w:hAnchor="page" w:vAnchor="page" w:x="280" w:y="135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Signature: /s/ Armando Capasso </w:t>
      </w:r>
    </w:p>
    <w:p>
      <w:pPr>
        <w:pStyle w:val="Normal"/>
        <w:framePr w:w="2910" w:hAnchor="page" w:vAnchor="page" w:x="280" w:y="133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Date: May 10, 2024 </w:t>
      </w:r>
    </w:p>
    <w:p>
      <w:pPr>
        <w:pStyle w:val="Normal"/>
        <w:framePr w:w="4597" w:hAnchor="page" w:vAnchor="page" w:x="280" w:y="131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T. ROWE PRICE ASSOCIATES, INC. </w:t>
      </w:r>
    </w:p>
    <w:p>
      <w:pPr>
        <w:pStyle w:val="Normal"/>
        <w:framePr w:w="4597" w:hAnchor="page" w:vAnchor="page" w:x="280" w:y="126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complete and correct. </w:t>
      </w:r>
    </w:p>
    <w:p>
      <w:pPr>
        <w:pStyle w:val="Normal"/>
        <w:framePr w:w="11062" w:hAnchor="page" w:vAnchor="page" w:x="280" w:y="124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 certify that the information set forth in this statement is true, </w:t>
      </w:r>
    </w:p>
    <w:p>
      <w:pPr>
        <w:pStyle w:val="Normal"/>
        <w:framePr w:w="11202" w:hAnchor="page" w:vAnchor="page" w:x="280" w:y="122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After reasonable inquiry and to the best of my knowledge and belief, </w:t>
      </w:r>
    </w:p>
    <w:p>
      <w:pPr>
        <w:pStyle w:val="Normal"/>
        <w:framePr w:w="3051" w:hAnchor="page" w:vAnchor="page" w:x="280" w:y="117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Signature. </w:t>
      </w:r>
    </w:p>
    <w:p>
      <w:pPr>
        <w:pStyle w:val="Normal"/>
        <w:framePr w:w="2629" w:hAnchor="page" w:vAnchor="page" w:x="280" w:y="113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denied. </w:t>
      </w:r>
    </w:p>
    <w:p>
      <w:pPr>
        <w:pStyle w:val="Normal"/>
        <w:framePr w:w="10499" w:hAnchor="page" w:vAnchor="page" w:x="280" w:y="110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securities referred to, which beneficial ownership is expressly </w:t>
      </w:r>
    </w:p>
    <w:p>
      <w:pPr>
        <w:pStyle w:val="Normal"/>
        <w:framePr w:w="8953" w:hAnchor="page" w:vAnchor="page" w:x="280" w:y="108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that Price Associates is the beneficial owner of the </w:t>
      </w:r>
    </w:p>
    <w:p>
      <w:pPr>
        <w:pStyle w:val="Normal"/>
        <w:framePr w:w="11483" w:hAnchor="page" w:vAnchor="page" w:x="280" w:y="106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that the filing of Schedule 13G shall not be construed as an admission </w:t>
      </w:r>
    </w:p>
    <w:p>
      <w:pPr>
        <w:pStyle w:val="Normal"/>
        <w:framePr w:w="9797" w:hAnchor="page" w:vAnchor="page" w:x="280" w:y="104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T. Rowe Price Associates, Inc. hereby declares and affirms </w:t>
      </w:r>
    </w:p>
    <w:p>
      <w:pPr>
        <w:pStyle w:val="Normal"/>
        <w:framePr w:w="8532" w:hAnchor="page" w:vAnchor="page" w:x="280" w:y="101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in any transaction having that purpose or effect. </w:t>
      </w:r>
    </w:p>
    <w:p>
      <w:pPr>
        <w:pStyle w:val="Normal"/>
        <w:framePr w:w="11202" w:hAnchor="page" w:vAnchor="page" w:x="280" w:y="99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not acquired and are not held in connection with or as a participant </w:t>
      </w:r>
    </w:p>
    <w:p>
      <w:pPr>
        <w:pStyle w:val="Normal"/>
        <w:framePr w:w="10640" w:hAnchor="page" w:vAnchor="page" w:x="280" w:y="97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influencing the control of the issuer of the securities and were </w:t>
      </w:r>
    </w:p>
    <w:p>
      <w:pPr>
        <w:pStyle w:val="Normal"/>
        <w:framePr w:w="9656" w:hAnchor="page" w:vAnchor="page" w:x="280" w:y="95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held for the purpose of or with the effect of changing or </w:t>
      </w:r>
    </w:p>
    <w:p>
      <w:pPr>
        <w:pStyle w:val="Normal"/>
        <w:framePr w:w="10218" w:hAnchor="page" w:vAnchor="page" w:x="280" w:y="92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ordinary course of business and were not acquired and are not </w:t>
      </w:r>
    </w:p>
    <w:p>
      <w:pPr>
        <w:pStyle w:val="Normal"/>
        <w:framePr w:w="10218" w:hAnchor="page" w:vAnchor="page" w:x="280" w:y="90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belief, the securities referred to above were acquired in the </w:t>
      </w:r>
    </w:p>
    <w:p>
      <w:pPr>
        <w:pStyle w:val="Normal"/>
        <w:framePr w:w="10640" w:hAnchor="page" w:vAnchor="page" w:x="280" w:y="88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By signing below I certify that, to the best of my knowledge and </w:t>
      </w:r>
    </w:p>
    <w:p>
      <w:pPr>
        <w:pStyle w:val="Normal"/>
        <w:framePr w:w="3472" w:hAnchor="page" w:vAnchor="page" w:x="280" w:y="860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10: Certification </w:t>
      </w:r>
    </w:p>
    <w:p>
      <w:pPr>
        <w:pStyle w:val="Normal"/>
        <w:framePr w:w="3472" w:hAnchor="page" w:vAnchor="page" w:x="280" w:y="81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5721" w:hAnchor="page" w:vAnchor="page" w:x="280" w:y="79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9: Notice of Dissolution of Group </w:t>
      </w:r>
    </w:p>
    <w:p>
      <w:pPr>
        <w:pStyle w:val="Normal"/>
        <w:framePr w:w="3472" w:hAnchor="page" w:vAnchor="page" w:x="280" w:y="747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9516" w:hAnchor="page" w:vAnchor="page" w:x="280" w:y="72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8: Identification and Classification of Members of the Group </w:t>
      </w:r>
    </w:p>
    <w:p>
      <w:pPr>
        <w:pStyle w:val="Normal"/>
        <w:framePr w:w="3472" w:hAnchor="page" w:vAnchor="page" w:x="280" w:y="67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9516" w:hAnchor="page" w:vAnchor="page" w:x="280" w:y="65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Security Being Reported on By the Parent Holding Company. </w:t>
      </w:r>
    </w:p>
    <w:p>
      <w:pPr>
        <w:pStyle w:val="Normal"/>
        <w:framePr w:w="11342" w:hAnchor="page" w:vAnchor="page" w:x="280" w:y="63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7: Identification and Classification of the Subsidiary Which Acquired the </w:t>
      </w:r>
    </w:p>
    <w:p>
      <w:pPr>
        <w:pStyle w:val="Normal"/>
        <w:framePr w:w="8953" w:hAnchor="page" w:vAnchor="page" w:x="280" w:y="56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subject to the investment advice of Price Associates. </w:t>
      </w:r>
    </w:p>
    <w:p>
      <w:pPr>
        <w:pStyle w:val="Normal"/>
        <w:framePr w:w="10780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than 5% of the class of such securities is owned by any one client </w:t>
      </w:r>
    </w:p>
    <w:p>
      <w:pPr>
        <w:pStyle w:val="Normal"/>
        <w:framePr w:w="8813" w:hAnchor="page" w:vAnchor="page" w:x="280" w:y="52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investment adviser ("T. Rowe Price Funds"), not more </w:t>
      </w:r>
    </w:p>
    <w:p>
      <w:pPr>
        <w:pStyle w:val="Normal"/>
        <w:framePr w:w="7126" w:hAnchor="page" w:vAnchor="page" w:x="280" w:y="49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Associates which it also serves as </w:t>
      </w:r>
    </w:p>
    <w:p>
      <w:pPr>
        <w:pStyle w:val="Normal"/>
        <w:framePr w:w="7688" w:hAnchor="page" w:vAnchor="page" w:x="280" w:y="47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registered investment companies sponsored by </w:t>
      </w:r>
    </w:p>
    <w:p>
      <w:pPr>
        <w:pStyle w:val="Normal"/>
        <w:framePr w:w="11062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Except as may be indicated if this is a joint filing with one of the </w:t>
      </w:r>
    </w:p>
    <w:p>
      <w:pPr>
        <w:pStyle w:val="Normal"/>
        <w:framePr w:w="6002" w:hAnchor="page" w:vAnchor="page" w:x="280" w:y="40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 whole or in part at any time. </w:t>
      </w:r>
    </w:p>
    <w:p>
      <w:pPr>
        <w:pStyle w:val="Normal"/>
        <w:framePr w:w="5861" w:hAnchor="page" w:vAnchor="page" w:x="280" w:y="38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Associates may be revoked </w:t>
      </w:r>
    </w:p>
    <w:p>
      <w:pPr>
        <w:pStyle w:val="Normal"/>
        <w:framePr w:w="10359" w:hAnchor="page" w:vAnchor="page" w:x="280" w:y="36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Any and all discretionary authority which has been delegated to </w:t>
      </w:r>
    </w:p>
    <w:p>
      <w:pPr>
        <w:pStyle w:val="Normal"/>
        <w:framePr w:w="7970" w:hAnchor="page" w:vAnchor="page" w:x="280" w:y="34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Associates serves as investment adviser. </w:t>
      </w:r>
    </w:p>
    <w:p>
      <w:pPr>
        <w:pStyle w:val="Normal"/>
        <w:framePr w:w="9375" w:hAnchor="page" w:vAnchor="page" w:x="280" w:y="31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vested in the individual and institutional clients which </w:t>
      </w:r>
    </w:p>
    <w:p>
      <w:pPr>
        <w:pStyle w:val="Normal"/>
        <w:framePr w:w="10780" w:hAnchor="page" w:vAnchor="page" w:x="280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respect to, and the proceeds from the sale of, such securities, is </w:t>
      </w:r>
    </w:p>
    <w:p>
      <w:pPr>
        <w:pStyle w:val="Normal"/>
        <w:framePr w:w="10359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The ultimate power to direct the receipt of dividends paid with </w:t>
      </w:r>
    </w:p>
    <w:p>
      <w:pPr>
        <w:pStyle w:val="Normal"/>
        <w:framePr w:w="9797" w:hAnchor="page" w:vAnchor="page" w:x="280" w:y="22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respect to, and proceeds from the sale of, such securities. </w:t>
      </w:r>
    </w:p>
    <w:p>
      <w:pPr>
        <w:pStyle w:val="Normal"/>
        <w:framePr w:w="9516" w:hAnchor="page" w:vAnchor="page" w:x="280" w:y="20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trustee bank has the right to receive dividends paid with </w:t>
      </w:r>
    </w:p>
    <w:p>
      <w:pPr>
        <w:pStyle w:val="Normal"/>
        <w:framePr w:w="8953" w:hAnchor="page" w:vAnchor="page" w:x="280" w:y="18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instance only the client or the client's custodian or </w:t>
      </w:r>
    </w:p>
    <w:p>
      <w:pPr>
        <w:pStyle w:val="Normal"/>
        <w:framePr w:w="9516" w:hAnchor="page" w:vAnchor="page" w:x="280" w:y="16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of the assets of any of its clients; accordingly, in each </w:t>
      </w:r>
    </w:p>
    <w:p>
      <w:pPr>
        <w:pStyle w:val="Normal"/>
        <w:framePr w:w="7688" w:hAnchor="page" w:vAnchor="page" w:x="280" w:y="13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    Price Associates does not serve as custodian </w:t>
      </w:r>
    </w:p>
    <w:p>
      <w:pPr>
        <w:pStyle w:val="Normal"/>
        <w:framePr w:w="10359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6: Ownership of More than Five Percent on Behalf of Another Person </w:t>
      </w:r>
    </w:p>
    <w:p>
      <w:pPr>
        <w:pStyle w:val="Normal"/>
        <w:framePr w:w="2348" w:hAnchor="page" w:vAnchor="page" w:x="1217" w:y="4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7688" w:hAnchor="page" w:vAnchor="page" w:x="280" w:y="2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5: Ownership of Five Percent or Less of a Class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7pt;margin-top:1pt;z-index:-16777208;width:598pt;height:732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Relationship Id="rId3" Target="styles.xml" Type="http://schemas.openxmlformats.org/officeDocument/2006/relationships/styles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webSettings.xml" Type="http://schemas.openxmlformats.org/officeDocument/2006/relationships/webSetting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717</Words>
  <Characters>3596</Characters>
  <Application>e-iceblue</Application>
  <DocSecurity>0</DocSecurity>
  <Lines>108</Lines>
  <Paragraphs>108</Paragraphs>
  <ScaleCrop>false</ScaleCrop>
  <Company>e-iceblue</Company>
  <LinksUpToDate>false</LinksUpToDate>
  <CharactersWithSpaces>4686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2024-05-10T16:41:56Z</dcterms:created>
  <dc:creator>root</dc:creator>
  <cp:lastModifiedBy>root</cp:lastModifiedBy>
  <dcterms:modified xsi:type="dcterms:W3CDTF">2024-05-10T16:41:56Z</dcterms:modified>
  <cp:revision>1</cp:revision>
</cp:coreProperties>
</file>