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008" w:hAnchor="page" w:vAnchor="page" w:x="276" w:y="14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new or revised financial accounting standards provided pursuant to Section 13(a) of the Exchange Act.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4016" w:hAnchor="page" w:vAnchor="page" w:x="276" w:y="145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If an emerging growth company, indicate by check mark if the registrant has elected not to use the extended transition period for complying with any</w:t>
      </w:r>
    </w:p>
    <w:p>
      <w:pPr>
        <w:pStyle w:val="Normal"/>
        <w:framePr w:w="3021" w:hAnchor="page" w:vAnchor="page" w:x="276" w:y="1406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735" w:hAnchor="page" w:vAnchor="page" w:x="276" w:y="136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chapter) or Rule 12b-2 of the Securities Exchange Act of 1934 (§240.12b-2 of this chapter).</w:t>
      </w:r>
    </w:p>
    <w:p>
      <w:pPr>
        <w:pStyle w:val="Normal"/>
        <w:framePr w:w="14012" w:hAnchor="page" w:vAnchor="page" w:x="276" w:y="133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Indicate by check mark whether the registrant is an emerging growth company as defined in Rule 405 of the Securities Act of 1933 (§230.405 of this</w:t>
      </w:r>
    </w:p>
    <w:p>
      <w:pPr>
        <w:pStyle w:val="Normal"/>
        <w:framePr w:w="4147" w:hAnchor="page" w:vAnchor="page" w:x="646" w:y="129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Ordinary shares, $1.00 par value per share</w:t>
      </w:r>
    </w:p>
    <w:p>
      <w:pPr>
        <w:pStyle w:val="Normal"/>
        <w:framePr w:w="575" w:hAnchor="page" w:vAnchor="page" w:x="6156" w:y="129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FTI</w:t>
      </w:r>
    </w:p>
    <w:p>
      <w:pPr>
        <w:pStyle w:val="Normal"/>
        <w:framePr w:w="2730" w:hAnchor="page" w:vAnchor="page" w:x="9150" w:y="129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New York Stock Exchange</w:t>
      </w:r>
    </w:p>
    <w:p>
      <w:pPr>
        <w:pStyle w:val="Normal"/>
        <w:framePr w:w="1662" w:hAnchor="page" w:vAnchor="page" w:x="1662" w:y="1271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Title of Each Class</w:t>
      </w:r>
    </w:p>
    <w:p>
      <w:pPr>
        <w:pStyle w:val="Normal"/>
        <w:framePr w:w="776" w:hAnchor="page" w:vAnchor="page" w:x="6052" w:y="1271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Symbol</w:t>
      </w:r>
    </w:p>
    <w:p>
      <w:pPr>
        <w:pStyle w:val="Normal"/>
        <w:framePr w:w="1831" w:hAnchor="page" w:vAnchor="page" w:x="9504" w:y="1271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on Which Registered</w:t>
      </w:r>
    </w:p>
    <w:p>
      <w:pPr>
        <w:pStyle w:val="Normal"/>
        <w:framePr w:w="814" w:hAnchor="page" w:vAnchor="page" w:x="6037" w:y="1256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Trading</w:t>
      </w:r>
    </w:p>
    <w:p>
      <w:pPr>
        <w:pStyle w:val="Normal"/>
        <w:framePr w:w="2107" w:hAnchor="page" w:vAnchor="page" w:x="9389" w:y="1256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Name of Each Exchange</w:t>
      </w:r>
    </w:p>
    <w:p>
      <w:pPr>
        <w:pStyle w:val="Normal"/>
        <w:framePr w:w="5561" w:hAnchor="page" w:vAnchor="page" w:x="276" w:y="120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registered pursuant to Section 12(b) of the Act:</w:t>
      </w:r>
    </w:p>
    <w:p>
      <w:pPr>
        <w:pStyle w:val="Normal"/>
        <w:framePr w:w="435" w:hAnchor="page" w:vAnchor="page" w:x="276" w:y="1160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0566" w:hAnchor="page" w:vAnchor="page" w:x="739" w:y="116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Pre-commencement communications pursuant to Rule 13e-4(c) under the Exchange Act (17 CFR 240.13e-4(c))</w:t>
      </w:r>
    </w:p>
    <w:p>
      <w:pPr>
        <w:pStyle w:val="Normal"/>
        <w:framePr w:w="435" w:hAnchor="page" w:vAnchor="page" w:x="276" w:y="112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0618" w:hAnchor="page" w:vAnchor="page" w:x="739" w:y="112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Pre-commencement communications pursuant to Rule 14d-2(b) under the Exchange Act (17 CFR 240.14d-2(b))</w:t>
      </w:r>
    </w:p>
    <w:p>
      <w:pPr>
        <w:pStyle w:val="Normal"/>
        <w:framePr w:w="435" w:hAnchor="page" w:vAnchor="page" w:x="276" w:y="108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562" w:hAnchor="page" w:vAnchor="page" w:x="739" w:y="1089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Soliciting material pursuant to Rule 14a-12 under the Exchange Act (17 CFR 240.14a-12)</w:t>
      </w:r>
    </w:p>
    <w:p>
      <w:pPr>
        <w:pStyle w:val="Normal"/>
        <w:framePr w:w="435" w:hAnchor="page" w:vAnchor="page" w:x="276" w:y="105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540" w:hAnchor="page" w:vAnchor="page" w:x="739" w:y="105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Written communications pursuant to Rule 425 under the Securities Act (17 CFR 230.425)</w:t>
      </w:r>
    </w:p>
    <w:p>
      <w:pPr>
        <w:pStyle w:val="Normal"/>
        <w:framePr w:w="2214" w:hAnchor="page" w:vAnchor="page" w:x="276" w:y="10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following provisions:</w:t>
      </w:r>
    </w:p>
    <w:p>
      <w:pPr>
        <w:pStyle w:val="Normal"/>
        <w:framePr w:w="13785" w:hAnchor="page" w:vAnchor="page" w:x="276" w:y="9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Check the appropriate box below if the Form 8-K filing is intended to simultaneously satisfy the filing obligation of the registrant under any of the</w:t>
      </w:r>
    </w:p>
    <w:p>
      <w:pPr>
        <w:pStyle w:val="Normal"/>
        <w:framePr w:w="5074" w:hAnchor="page" w:vAnchor="page" w:x="4139" w:y="914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(Former name or former address, if changed since last report)</w:t>
      </w:r>
    </w:p>
    <w:p>
      <w:pPr>
        <w:pStyle w:val="Normal"/>
        <w:framePr w:w="1713" w:hAnchor="page" w:vAnchor="page" w:x="5559" w:y="8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4356" w:hAnchor="page" w:vAnchor="page" w:x="4438" w:y="852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(Registrant’s telephone number, including area code)</w:t>
      </w:r>
    </w:p>
    <w:p>
      <w:pPr>
        <w:pStyle w:val="Normal"/>
        <w:framePr w:w="1844" w:hAnchor="page" w:vAnchor="page" w:x="5505" w:y="83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+1 281-591-4000</w:t>
      </w:r>
    </w:p>
    <w:p>
      <w:pPr>
        <w:pStyle w:val="Normal"/>
        <w:framePr w:w="3239" w:hAnchor="page" w:vAnchor="page" w:x="1981" w:y="790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(Address of principal executive offices)</w:t>
      </w:r>
    </w:p>
    <w:p>
      <w:pPr>
        <w:pStyle w:val="Normal"/>
        <w:framePr w:w="1038" w:hAnchor="page" w:vAnchor="page" w:x="8858" w:y="790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(Zip Code)</w:t>
      </w:r>
    </w:p>
    <w:p>
      <w:pPr>
        <w:pStyle w:val="Normal"/>
        <w:framePr w:w="2702" w:hAnchor="page" w:vAnchor="page" w:x="2225" w:y="76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United States of America</w:t>
      </w:r>
    </w:p>
    <w:p>
      <w:pPr>
        <w:pStyle w:val="Normal"/>
        <w:framePr w:w="806" w:hAnchor="page" w:vAnchor="page" w:x="8975" w:y="76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77044</w:t>
      </w:r>
    </w:p>
    <w:p>
      <w:pPr>
        <w:pStyle w:val="Normal"/>
        <w:framePr w:w="1736" w:hAnchor="page" w:vAnchor="page" w:x="2627" w:y="74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Houston, Texas</w:t>
      </w:r>
    </w:p>
    <w:p>
      <w:pPr>
        <w:pStyle w:val="Normal"/>
        <w:framePr w:w="1951" w:hAnchor="page" w:vAnchor="page" w:x="2538" w:y="72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One Subsea Lane</w:t>
      </w:r>
    </w:p>
    <w:p>
      <w:pPr>
        <w:pStyle w:val="Normal"/>
        <w:framePr w:w="1531" w:hAnchor="page" w:vAnchor="page" w:x="1716" w:y="677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of incorporation)</w:t>
      </w:r>
    </w:p>
    <w:p>
      <w:pPr>
        <w:pStyle w:val="Normal"/>
        <w:framePr w:w="1243" w:hAnchor="page" w:vAnchor="page" w:x="5858" w:y="677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File Number)</w:t>
      </w:r>
    </w:p>
    <w:p>
      <w:pPr>
        <w:pStyle w:val="Normal"/>
        <w:framePr w:w="1629" w:hAnchor="page" w:vAnchor="page" w:x="9588" w:y="674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Identification No .)</w:t>
      </w:r>
    </w:p>
    <w:p>
      <w:pPr>
        <w:pStyle w:val="Normal"/>
        <w:framePr w:w="2292" w:hAnchor="page" w:vAnchor="page" w:x="1400" w:y="661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(State or other jurisdiction</w:t>
      </w:r>
    </w:p>
    <w:p>
      <w:pPr>
        <w:pStyle w:val="Normal"/>
        <w:framePr w:w="1218" w:hAnchor="page" w:vAnchor="page" w:x="5868" w:y="661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(Commission</w:t>
      </w:r>
    </w:p>
    <w:p>
      <w:pPr>
        <w:pStyle w:val="Normal"/>
        <w:framePr w:w="1377" w:hAnchor="page" w:vAnchor="page" w:x="9693" w:y="661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(IRS Employer</w:t>
      </w:r>
    </w:p>
    <w:p>
      <w:pPr>
        <w:pStyle w:val="Normal"/>
        <w:framePr w:w="1880" w:hAnchor="page" w:vAnchor="page" w:x="1591" w:y="63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United Kingdom</w:t>
      </w:r>
    </w:p>
    <w:p>
      <w:pPr>
        <w:pStyle w:val="Normal"/>
        <w:framePr w:w="1231" w:hAnchor="page" w:vAnchor="page" w:x="5883" w:y="63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001-37983</w:t>
      </w:r>
    </w:p>
    <w:p>
      <w:pPr>
        <w:pStyle w:val="Normal"/>
        <w:framePr w:w="1346" w:hAnchor="page" w:vAnchor="page" w:x="9726" w:y="63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98-1283037</w:t>
      </w:r>
    </w:p>
    <w:p>
      <w:pPr>
        <w:pStyle w:val="Normal"/>
        <w:framePr w:w="5338" w:hAnchor="page" w:vAnchor="page" w:x="4049" w:y="54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(Exact name of registrant as specified in its charter)</w:t>
      </w:r>
    </w:p>
    <w:p>
      <w:pPr>
        <w:pStyle w:val="Normal"/>
        <w:framePr w:w="4179" w:hAnchor="page" w:vAnchor="page" w:x="4508" w:y="4937"/>
        <w:widowControl w:val="off"/>
        <w:autoSpaceDE w:val="off"/>
        <w:autoSpaceDN w:val="off"/>
        <w:spacing w:before="0" w:after="0" w:line="51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  <w:t>TechnipFMC plc</w:t>
      </w:r>
    </w:p>
    <w:p>
      <w:pPr>
        <w:pStyle w:val="Normal"/>
        <w:framePr w:w="5388" w:hAnchor="page" w:vAnchor="page" w:x="3844" w:y="4029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Date of Report (Date of earliest event reported)</w:t>
      </w:r>
    </w:p>
    <w:p>
      <w:pPr>
        <w:pStyle w:val="Normal"/>
        <w:framePr w:w="2310" w:hAnchor="page" w:vAnchor="page" w:x="5243" w:y="3769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December 13, 2023</w:t>
      </w:r>
    </w:p>
    <w:p>
      <w:pPr>
        <w:pStyle w:val="Normal"/>
        <w:framePr w:w="8089" w:hAnchor="page" w:vAnchor="page" w:x="2616" w:y="3277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Pursuant to Section 13 OR 15(d) of The Securities Exchange Act of 1934</w:t>
      </w:r>
    </w:p>
    <w:p>
      <w:pPr>
        <w:pStyle w:val="Normal"/>
        <w:framePr w:w="2628" w:hAnchor="page" w:vAnchor="page" w:x="5099" w:y="3016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CURRENT REPORT</w:t>
      </w:r>
    </w:p>
    <w:p>
      <w:pPr>
        <w:pStyle w:val="Normal"/>
        <w:framePr w:w="2262" w:hAnchor="page" w:vAnchor="page" w:x="5325" w:y="2002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FORM 8-K</w:t>
      </w:r>
    </w:p>
    <w:p>
      <w:pPr>
        <w:pStyle w:val="Normal"/>
        <w:framePr w:w="2877" w:hAnchor="page" w:vAnchor="page" w:x="4985" w:y="1121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Washington, D.C. 20549</w:t>
      </w:r>
    </w:p>
    <w:p>
      <w:pPr>
        <w:pStyle w:val="Normal"/>
        <w:framePr w:w="8608" w:hAnchor="page" w:vAnchor="page" w:x="2440" w:y="729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SECURITIES AND EXCHANGE COMMISSION</w:t>
      </w:r>
    </w:p>
    <w:p>
      <w:pPr>
        <w:pStyle w:val="Normal"/>
        <w:framePr w:w="3374" w:hAnchor="page" w:vAnchor="page" w:x="4819" w:y="338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2.8pt;margin-top:7.5pt;z-index:-1677720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.8pt;margin-top:11.15pt;z-index:-1677720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45.7pt;margin-top:87.05pt;z-index:-16777200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45.7pt;margin-top:137.7pt;z-index:-16777196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45.7pt;margin-top:233.2pt;z-index:-16777192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45.7pt;margin-top:302.6pt;z-index:-16777188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245.7pt;margin-top:483.45pt;z-index:-16777184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14.2pt;margin-top:644pt;z-index:-16777180;width:19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19.65pt;margin-top:644pt;z-index:-16777176;width:19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2.8pt;margin-top:644pt;z-index:-16777172;width:20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.8pt;margin-top:761.2pt;z-index:-1677716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2.8pt;margin-top:764.8pt;z-index:-1677716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</w:p>
    <w:p>
      <w:pPr>
        <w:pStyle w:val="Normal"/>
        <w:framePr w:w="10881" w:hAnchor="page" w:vAnchor="page" w:x="276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Management Information Systems, both from Texas A&amp;M University and is a certified public accountant in Texas.</w:t>
      </w:r>
    </w:p>
    <w:p>
      <w:pPr>
        <w:pStyle w:val="Normal"/>
        <w:framePr w:w="14193" w:hAnchor="page" w:vAnchor="page" w:x="276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Light was a director at PricewaterhouseCoopers LLP’s assurance practice. Mr. Light holds a Bachelor’s degree in Accounting and a Master’s degree in</w:t>
      </w:r>
    </w:p>
    <w:p>
      <w:pPr>
        <w:pStyle w:val="Normal"/>
        <w:framePr w:w="14229" w:hAnchor="page" w:vAnchor="page" w:x="276" w:y="24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Audit and Controls, Vice President, Integrated Internal Controls and Director, IT Governance, Risk and Compliance. Prior to joining the Company, Mr.</w:t>
      </w:r>
    </w:p>
    <w:p>
      <w:pPr>
        <w:pStyle w:val="Normal"/>
        <w:framePr w:w="13842" w:hAnchor="page" w:vAnchor="page" w:x="276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David Light, age 39, has been with the Company since 2018 and has held multiple senior management positions, including Vice President, Internal</w:t>
      </w:r>
    </w:p>
    <w:p>
      <w:pPr>
        <w:pStyle w:val="Normal"/>
        <w:framePr w:w="6852" w:hAnchor="page" w:vAnchor="page" w:x="276" w:y="17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any matter relating to the Company’s operations, policies and practices.</w:t>
      </w:r>
    </w:p>
    <w:p>
      <w:pPr>
        <w:pStyle w:val="Normal"/>
        <w:framePr w:w="14209" w:hAnchor="page" w:vAnchor="page" w:x="276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Company, also effective December 21, 2023. Ms. Doroghazi’s departure is not the result of any disagreement Ms. Doroghazi has with the Company on</w:t>
      </w:r>
    </w:p>
    <w:p>
      <w:pPr>
        <w:pStyle w:val="Normal"/>
        <w:framePr w:w="13703" w:hAnchor="page" w:vAnchor="page" w:x="276" w:y="12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leaving the Company to pursue an identified opportunity and will resign as Senior Vice President, Controller and Chief Accounting Officer of the</w:t>
      </w:r>
    </w:p>
    <w:p>
      <w:pPr>
        <w:pStyle w:val="Normal"/>
        <w:framePr w:w="14267" w:hAnchor="page" w:vAnchor="page" w:x="276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Company, effective December 21, 2023. Mr. Light will succeed Krisztina Doroghazi, who informed the Company on December 13, 2023 that she is</w:t>
      </w:r>
    </w:p>
    <w:p>
      <w:pPr>
        <w:pStyle w:val="Normal"/>
        <w:framePr w:w="14336" w:hAnchor="page" w:vAnchor="page" w:x="276" w:y="8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 December 15, 2023, TechnipFMC plc (the “Company”) appointed David Light as Senior Vice President, Controller and Chief Accounting Officer of</w:t>
      </w:r>
    </w:p>
    <w:p>
      <w:pPr>
        <w:pStyle w:val="Normal"/>
        <w:framePr w:w="3633" w:hAnchor="page" w:vAnchor="page" w:x="1563" w:y="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Arrangements of Certain Officers.</w:t>
      </w:r>
    </w:p>
    <w:p>
      <w:pPr>
        <w:pStyle w:val="Normal"/>
        <w:framePr w:w="1153" w:hAnchor="page" w:vAnchor="page" w:x="276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Item 5.02</w:t>
      </w:r>
    </w:p>
    <w:p>
      <w:pPr>
        <w:pStyle w:val="Normal"/>
        <w:framePr w:w="11555" w:hAnchor="page" w:vAnchor="page" w:x="1563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Departure of Directors or Certain Officers; Election of Directors; Appointment of Certain Officers; Compensatory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pt;margin-top:1pt;z-index:-1677716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2.8pt;margin-top:1pt;z-index:-1677715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2.8pt;margin-top:3.9pt;z-index:-167771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597.95pt;margin-top:1pt;z-index:-16777148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2.8pt;margin-top:1pt;z-index:-16777144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</w:p>
    <w:p>
      <w:pPr>
        <w:pStyle w:val="Normal"/>
        <w:framePr w:w="5708" w:hAnchor="page" w:vAnchor="page" w:x="6655" w:y="23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Title: Executive Vice President and Chief Financial Officer</w:t>
      </w:r>
    </w:p>
    <w:p>
      <w:pPr>
        <w:pStyle w:val="Normal"/>
        <w:framePr w:w="2721" w:hAnchor="page" w:vAnchor="page" w:x="276" w:y="21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Dated: December 18, 2023</w:t>
      </w:r>
    </w:p>
    <w:p>
      <w:pPr>
        <w:pStyle w:val="Normal"/>
        <w:framePr w:w="1821" w:hAnchor="page" w:vAnchor="page" w:x="6655" w:y="21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Name: Alf Melin</w:t>
      </w:r>
    </w:p>
    <w:p>
      <w:pPr>
        <w:pStyle w:val="Normal"/>
        <w:framePr w:w="1815" w:hAnchor="page" w:vAnchor="page" w:x="6655" w:y="18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By: /s/ Alf Melin</w:t>
      </w:r>
    </w:p>
    <w:p>
      <w:pPr>
        <w:pStyle w:val="Normal"/>
        <w:framePr w:w="1897" w:hAnchor="page" w:vAnchor="page" w:x="6655" w:y="14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plc</w:t>
      </w:r>
    </w:p>
    <w:p>
      <w:pPr>
        <w:pStyle w:val="Normal"/>
        <w:framePr w:w="3787" w:hAnchor="page" w:vAnchor="page" w:x="276" w:y="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undersigned hereunto duly authorized.</w:t>
      </w:r>
    </w:p>
    <w:p>
      <w:pPr>
        <w:pStyle w:val="Normal"/>
        <w:framePr w:w="13438" w:hAnchor="page" w:vAnchor="page" w:x="276" w:y="6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Pursuant to the requirements of the Securities Exchange Act of 1934, the registrant has duly caused this report to be signed on its behalf by the</w:t>
      </w:r>
    </w:p>
    <w:p>
      <w:pPr>
        <w:pStyle w:val="Normal"/>
        <w:framePr w:w="1715" w:hAnchor="page" w:vAnchor="page" w:x="5558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7pt;margin-top:1pt;z-index:-16777140;width:598pt;height:13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2.8pt;margin-top:1pt;z-index:-1677713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2.8pt;margin-top:3.9pt;z-index:-1677713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597.95pt;margin-top:1pt;z-index:-16777128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8pt;margin-top:1pt;z-index:-16777124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31.75pt;margin-top:104.45pt;z-index:-16777120;width:273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styles.xml" Type="http://schemas.openxmlformats.org/officeDocument/2006/relationships/styles"/><Relationship Id="rId26" Target="fontTable.xml" Type="http://schemas.openxmlformats.org/officeDocument/2006/relationships/fontTable"/><Relationship Id="rId27" Target="settings.xml" Type="http://schemas.openxmlformats.org/officeDocument/2006/relationships/settings"/><Relationship Id="rId28" Target="webSettings.xml" Type="http://schemas.openxmlformats.org/officeDocument/2006/relationships/webSettings"/><Relationship Id="rId3" Target="media/image3.png" Type="http://schemas.openxmlformats.org/officeDocument/2006/relationships/image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558</Words>
  <Characters>3122</Characters>
  <Application>e-iceblue</Application>
  <DocSecurity>0</DocSecurity>
  <Lines>73</Lines>
  <Paragraphs>73</Paragraphs>
  <ScaleCrop>false</ScaleCrop>
  <Company>e-iceblue</Company>
  <LinksUpToDate>false</LinksUpToDate>
  <CharactersWithSpaces>3607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2023-12-18T21:41:24Z</dcterms:created>
  <dc:creator>root</dc:creator>
  <cp:lastModifiedBy>root</cp:lastModifiedBy>
  <dcterms:modified xsi:type="dcterms:W3CDTF">2023-12-18T21:41:24Z</dcterms:modified>
  <cp:revision>1</cp:revision>
</cp:coreProperties>
</file>