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20, 2019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w w:val="99"/>
              </w:rPr>
              <w:t>England and Wales</w:t>
            </w:r>
          </w:p>
        </w:tc>
        <w:tc>
          <w:tcPr>
            <w:tcW w:w="460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001-37983</w:t>
            </w:r>
          </w:p>
        </w:tc>
        <w:tc>
          <w:tcPr>
            <w:tcW w:w="2620" w:type="dxa"/>
            <w:vAlign w:val="bottom"/>
          </w:tcPr>
          <w:p>
            <w:pPr>
              <w:jc w:val="right"/>
              <w:ind w:right="539"/>
              <w:spacing w:after="0"/>
              <w:rPr>
                <w:sz w:val="20"/>
                <w:szCs w:val="20"/>
                <w:color w:val="auto"/>
              </w:rPr>
            </w:pPr>
            <w:r>
              <w:rPr>
                <w:rFonts w:ascii="Arial" w:cs="Arial" w:eastAsia="Arial" w:hAnsi="Arial"/>
                <w:sz w:val="18"/>
                <w:szCs w:val="18"/>
                <w:b w:val="1"/>
                <w:bCs w:val="1"/>
                <w:color w:val="auto"/>
              </w:rPr>
              <w:t>98-1283037</w:t>
            </w:r>
          </w:p>
        </w:tc>
      </w:tr>
      <w:tr>
        <w:trPr>
          <w:trHeight w:val="272"/>
        </w:trPr>
        <w:tc>
          <w:tcPr>
            <w:tcW w:w="3000" w:type="dxa"/>
            <w:vAlign w:val="bottom"/>
          </w:tcPr>
          <w:p>
            <w:pPr>
              <w:jc w:val="center"/>
              <w:ind w:right="197"/>
              <w:spacing w:after="0"/>
              <w:rPr>
                <w:sz w:val="20"/>
                <w:szCs w:val="20"/>
                <w:color w:val="auto"/>
              </w:rPr>
            </w:pPr>
            <w:r>
              <w:rPr>
                <w:rFonts w:ascii="Arial" w:cs="Arial" w:eastAsia="Arial" w:hAnsi="Arial"/>
                <w:sz w:val="14"/>
                <w:szCs w:val="14"/>
                <w:color w:val="auto"/>
              </w:rPr>
              <w:t>(State or other jurisdiction of incorporation)</w:t>
            </w:r>
          </w:p>
        </w:tc>
        <w:tc>
          <w:tcPr>
            <w:tcW w:w="4600" w:type="dxa"/>
            <w:vAlign w:val="bottom"/>
          </w:tcPr>
          <w:p>
            <w:pPr>
              <w:jc w:val="center"/>
              <w:ind w:right="22"/>
              <w:spacing w:after="0"/>
              <w:rPr>
                <w:sz w:val="20"/>
                <w:szCs w:val="20"/>
                <w:color w:val="auto"/>
              </w:rPr>
            </w:pPr>
            <w:r>
              <w:rPr>
                <w:rFonts w:ascii="Arial" w:cs="Arial" w:eastAsia="Arial" w:hAnsi="Arial"/>
                <w:sz w:val="14"/>
                <w:szCs w:val="14"/>
                <w:color w:val="auto"/>
              </w:rPr>
              <w:t>(Commission File Number)</w:t>
            </w:r>
          </w:p>
        </w:tc>
        <w:tc>
          <w:tcPr>
            <w:tcW w:w="2620" w:type="dxa"/>
            <w:vAlign w:val="bottom"/>
          </w:tcPr>
          <w:p>
            <w:pPr>
              <w:jc w:val="center"/>
              <w:ind w:left="319"/>
              <w:spacing w:after="0"/>
              <w:rPr>
                <w:sz w:val="20"/>
                <w:szCs w:val="20"/>
                <w:color w:val="auto"/>
              </w:rPr>
            </w:pPr>
            <w:r>
              <w:rPr>
                <w:rFonts w:ascii="Arial" w:cs="Arial" w:eastAsia="Arial" w:hAnsi="Arial"/>
                <w:sz w:val="14"/>
                <w:szCs w:val="14"/>
                <w:color w:val="auto"/>
              </w:rPr>
              <w:t>(I.R.S. Employer Identification No.)</w:t>
            </w:r>
          </w:p>
        </w:tc>
      </w:tr>
      <w:tr>
        <w:trPr>
          <w:trHeight w:val="570"/>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One St. Paul’s Churchyard</w:t>
            </w:r>
          </w:p>
        </w:tc>
        <w:tc>
          <w:tcPr>
            <w:tcW w:w="46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9"/>
        </w:trPr>
        <w:tc>
          <w:tcPr>
            <w:tcW w:w="3000" w:type="dxa"/>
            <w:vAlign w:val="bottom"/>
          </w:tcPr>
          <w:p>
            <w:pPr>
              <w:jc w:val="center"/>
              <w:ind w:right="197"/>
              <w:spacing w:after="0"/>
              <w:rPr>
                <w:sz w:val="20"/>
                <w:szCs w:val="20"/>
                <w:color w:val="auto"/>
              </w:rPr>
            </w:pPr>
            <w:r>
              <w:rPr>
                <w:rFonts w:ascii="Arial" w:cs="Arial" w:eastAsia="Arial" w:hAnsi="Arial"/>
                <w:sz w:val="18"/>
                <w:szCs w:val="18"/>
                <w:b w:val="1"/>
                <w:bCs w:val="1"/>
                <w:color w:val="auto"/>
              </w:rPr>
              <w:t>London, United Kingdom</w:t>
            </w:r>
          </w:p>
        </w:tc>
        <w:tc>
          <w:tcPr>
            <w:tcW w:w="4600" w:type="dxa"/>
            <w:vAlign w:val="bottom"/>
          </w:tcPr>
          <w:p>
            <w:pPr>
              <w:spacing w:after="0"/>
              <w:rPr>
                <w:sz w:val="20"/>
                <w:szCs w:val="20"/>
                <w:color w:val="auto"/>
              </w:rPr>
            </w:pPr>
          </w:p>
        </w:tc>
        <w:tc>
          <w:tcPr>
            <w:tcW w:w="2620" w:type="dxa"/>
            <w:vAlign w:val="bottom"/>
          </w:tcPr>
          <w:p>
            <w:pPr>
              <w:jc w:val="center"/>
              <w:ind w:left="319"/>
              <w:spacing w:after="0"/>
              <w:rPr>
                <w:sz w:val="20"/>
                <w:szCs w:val="20"/>
                <w:color w:val="auto"/>
              </w:rPr>
            </w:pPr>
            <w:r>
              <w:rPr>
                <w:rFonts w:ascii="Arial" w:cs="Arial" w:eastAsia="Arial" w:hAnsi="Arial"/>
                <w:sz w:val="18"/>
                <w:szCs w:val="18"/>
                <w:b w:val="1"/>
                <w:bCs w:val="1"/>
                <w:color w:val="auto"/>
                <w:w w:val="99"/>
              </w:rPr>
              <w:t>EC4M 8AP</w:t>
            </w:r>
          </w:p>
        </w:tc>
      </w:tr>
      <w:tr>
        <w:trPr>
          <w:trHeight w:val="272"/>
        </w:trPr>
        <w:tc>
          <w:tcPr>
            <w:tcW w:w="3000" w:type="dxa"/>
            <w:vAlign w:val="bottom"/>
          </w:tcPr>
          <w:p>
            <w:pPr>
              <w:jc w:val="center"/>
              <w:ind w:right="217"/>
              <w:spacing w:after="0"/>
              <w:rPr>
                <w:sz w:val="20"/>
                <w:szCs w:val="20"/>
                <w:color w:val="auto"/>
              </w:rPr>
            </w:pPr>
            <w:r>
              <w:rPr>
                <w:rFonts w:ascii="Arial" w:cs="Arial" w:eastAsia="Arial" w:hAnsi="Arial"/>
                <w:sz w:val="14"/>
                <w:szCs w:val="14"/>
                <w:color w:val="auto"/>
              </w:rPr>
              <w:t>(Address of principal executive offices)</w:t>
            </w:r>
          </w:p>
        </w:tc>
        <w:tc>
          <w:tcPr>
            <w:tcW w:w="4600" w:type="dxa"/>
            <w:vAlign w:val="bottom"/>
          </w:tcPr>
          <w:p>
            <w:pPr>
              <w:spacing w:after="0"/>
              <w:rPr>
                <w:sz w:val="23"/>
                <w:szCs w:val="23"/>
                <w:color w:val="auto"/>
              </w:rPr>
            </w:pPr>
          </w:p>
        </w:tc>
        <w:tc>
          <w:tcPr>
            <w:tcW w:w="2620" w:type="dxa"/>
            <w:vAlign w:val="bottom"/>
          </w:tcPr>
          <w:p>
            <w:pPr>
              <w:jc w:val="center"/>
              <w:ind w:left="339"/>
              <w:spacing w:after="0"/>
              <w:rPr>
                <w:sz w:val="20"/>
                <w:szCs w:val="20"/>
                <w:color w:val="auto"/>
              </w:rPr>
            </w:pPr>
            <w:r>
              <w:rPr>
                <w:rFonts w:ascii="Arial" w:cs="Arial" w:eastAsia="Arial" w:hAnsi="Arial"/>
                <w:sz w:val="14"/>
                <w:szCs w:val="14"/>
                <w:color w:val="auto"/>
              </w:rPr>
              <w:t>(Zip Code)</w:t>
            </w:r>
          </w:p>
        </w:tc>
      </w:tr>
      <w:tr>
        <w:trPr>
          <w:trHeight w:val="297"/>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b w:val="1"/>
                <w:bCs w:val="1"/>
                <w:color w:val="auto"/>
              </w:rPr>
              <w:t>+44 203-429-3950</w:t>
            </w:r>
          </w:p>
        </w:tc>
        <w:tc>
          <w:tcPr>
            <w:tcW w:w="2620" w:type="dxa"/>
            <w:vAlign w:val="bottom"/>
          </w:tcPr>
          <w:p>
            <w:pPr>
              <w:spacing w:after="0"/>
              <w:rPr>
                <w:sz w:val="24"/>
                <w:szCs w:val="24"/>
                <w:color w:val="auto"/>
              </w:rPr>
            </w:pPr>
          </w:p>
        </w:tc>
      </w:tr>
      <w:tr>
        <w:trPr>
          <w:trHeight w:val="203"/>
        </w:trPr>
        <w:tc>
          <w:tcPr>
            <w:tcW w:w="3000" w:type="dxa"/>
            <w:vAlign w:val="bottom"/>
          </w:tcPr>
          <w:p>
            <w:pPr>
              <w:spacing w:after="0"/>
              <w:rPr>
                <w:sz w:val="17"/>
                <w:szCs w:val="17"/>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(Registrant's telephone number, including area code)</w:t>
            </w:r>
          </w:p>
        </w:tc>
        <w:tc>
          <w:tcPr>
            <w:tcW w:w="2620" w:type="dxa"/>
            <w:vAlign w:val="bottom"/>
          </w:tcPr>
          <w:p>
            <w:pPr>
              <w:spacing w:after="0"/>
              <w:rPr>
                <w:sz w:val="17"/>
                <w:szCs w:val="17"/>
                <w:color w:val="auto"/>
              </w:rPr>
            </w:pPr>
          </w:p>
        </w:tc>
      </w:tr>
      <w:tr>
        <w:trPr>
          <w:trHeight w:val="363"/>
        </w:trPr>
        <w:tc>
          <w:tcPr>
            <w:tcW w:w="3000" w:type="dxa"/>
            <w:vAlign w:val="bottom"/>
          </w:tcPr>
          <w:p>
            <w:pPr>
              <w:spacing w:after="0"/>
              <w:rPr>
                <w:sz w:val="24"/>
                <w:szCs w:val="24"/>
                <w:color w:val="auto"/>
              </w:rPr>
            </w:pPr>
          </w:p>
        </w:tc>
        <w:tc>
          <w:tcPr>
            <w:tcW w:w="4600" w:type="dxa"/>
            <w:vAlign w:val="bottom"/>
          </w:tcPr>
          <w:p>
            <w:pPr>
              <w:jc w:val="center"/>
              <w:ind w:right="62"/>
              <w:spacing w:after="0"/>
              <w:rPr>
                <w:sz w:val="20"/>
                <w:szCs w:val="20"/>
                <w:color w:val="auto"/>
              </w:rPr>
            </w:pPr>
            <w:r>
              <w:rPr>
                <w:rFonts w:ascii="Arial" w:cs="Arial" w:eastAsia="Arial" w:hAnsi="Arial"/>
                <w:sz w:val="18"/>
                <w:szCs w:val="18"/>
                <w:b w:val="1"/>
                <w:bCs w:val="1"/>
                <w:color w:val="auto"/>
                <w:w w:val="99"/>
              </w:rPr>
              <w:t>Not Applicable</w:t>
            </w:r>
          </w:p>
        </w:tc>
        <w:tc>
          <w:tcPr>
            <w:tcW w:w="2620" w:type="dxa"/>
            <w:vAlign w:val="bottom"/>
          </w:tcPr>
          <w:p>
            <w:pPr>
              <w:spacing w:after="0"/>
              <w:rPr>
                <w:sz w:val="24"/>
                <w:szCs w:val="24"/>
                <w:color w:val="auto"/>
              </w:rPr>
            </w:pPr>
          </w:p>
        </w:tc>
      </w:tr>
      <w:tr>
        <w:trPr>
          <w:trHeight w:val="177"/>
        </w:trPr>
        <w:tc>
          <w:tcPr>
            <w:tcW w:w="3000" w:type="dxa"/>
            <w:vAlign w:val="bottom"/>
          </w:tcPr>
          <w:p>
            <w:pPr>
              <w:spacing w:after="0"/>
              <w:rPr>
                <w:sz w:val="15"/>
                <w:szCs w:val="15"/>
                <w:color w:val="auto"/>
              </w:rPr>
            </w:pPr>
          </w:p>
        </w:tc>
        <w:tc>
          <w:tcPr>
            <w:tcW w:w="4600" w:type="dxa"/>
            <w:vAlign w:val="bottom"/>
          </w:tcPr>
          <w:p>
            <w:pPr>
              <w:jc w:val="center"/>
              <w:ind w:right="62"/>
              <w:spacing w:after="0"/>
              <w:rPr>
                <w:sz w:val="20"/>
                <w:szCs w:val="20"/>
                <w:color w:val="auto"/>
              </w:rPr>
            </w:pPr>
            <w:r>
              <w:rPr>
                <w:rFonts w:ascii="Arial" w:cs="Arial" w:eastAsia="Arial" w:hAnsi="Arial"/>
                <w:sz w:val="14"/>
                <w:szCs w:val="14"/>
                <w:color w:val="auto"/>
              </w:rPr>
              <w:t>(Former name or former address, if changed since last report)</w:t>
            </w:r>
          </w:p>
        </w:tc>
        <w:tc>
          <w:tcPr>
            <w:tcW w:w="2620" w:type="dxa"/>
            <w:vAlign w:val="bottom"/>
          </w:tcPr>
          <w:p>
            <w:pPr>
              <w:spacing w:after="0"/>
              <w:rPr>
                <w:sz w:val="15"/>
                <w:szCs w:val="15"/>
                <w:color w:val="auto"/>
              </w:rPr>
            </w:pPr>
          </w:p>
        </w:tc>
      </w:tr>
    </w:tbl>
    <w:p>
      <w:pPr>
        <w:spacing w:after="0" w:line="20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2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20, 2019, TechnipFMC plc ("TechnipFMC") issued a news release announcing its financial results for the fiscal quarter ended December 31, 2018. A copy of the news release is furnished as Exhibit 99.1 to this report and is incorporated herein by reference.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3"/>
        </w:trPr>
        <w:tc>
          <w:tcPr>
            <w:tcW w:w="130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82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44"/>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4240" w:type="dxa"/>
            <w:vAlign w:val="bottom"/>
          </w:tcPr>
          <w:p>
            <w:pPr>
              <w:spacing w:after="0"/>
              <w:rPr>
                <w:sz w:val="24"/>
                <w:szCs w:val="24"/>
                <w:color w:val="auto"/>
              </w:rPr>
            </w:pPr>
          </w:p>
        </w:tc>
      </w:tr>
      <w:tr>
        <w:trPr>
          <w:trHeight w:val="43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9"/>
              </w:rPr>
              <w:t>News Release issued by TechnipFMC dated February 20, 2019</w:t>
            </w:r>
          </w:p>
        </w:tc>
      </w:tr>
    </w:tbl>
    <w:p>
      <w:pPr>
        <w:sectPr>
          <w:pgSz w:w="11900" w:h="16838" w:orient="portrait"/>
          <w:cols w:equalWidth="0" w:num="1">
            <w:col w:w="11400"/>
          </w:cols>
          <w:pgMar w:left="240" w:top="576"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520" w:type="dxa"/>
            <w:vAlign w:val="bottom"/>
          </w:tcPr>
          <w:p>
            <w:pPr>
              <w:ind w:left="294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Exhibit No.</w:t>
            </w:r>
          </w:p>
        </w:tc>
        <w:tc>
          <w:tcPr>
            <w:tcW w:w="5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Description</w:t>
            </w:r>
          </w:p>
        </w:tc>
        <w:tc>
          <w:tcPr>
            <w:tcW w:w="4520" w:type="dxa"/>
            <w:vAlign w:val="bottom"/>
          </w:tcPr>
          <w:p>
            <w:pPr>
              <w:spacing w:after="0"/>
              <w:rPr>
                <w:sz w:val="24"/>
                <w:szCs w:val="24"/>
                <w:color w:val="auto"/>
              </w:rPr>
            </w:pPr>
          </w:p>
        </w:tc>
      </w:tr>
      <w:tr>
        <w:trPr>
          <w:trHeight w:val="399"/>
        </w:trPr>
        <w:tc>
          <w:tcPr>
            <w:tcW w:w="80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53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News Release issued by TechnipFMC plc dated February 20, 2019</w:t>
              </w:r>
            </w:hyperlink>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14605</wp:posOffset>
            </wp:positionV>
            <wp:extent cx="3353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color w:val="auto"/>
        </w:rPr>
        <w:t>Dated:  February 20, 2019</w:t>
      </w:r>
      <w:r>
        <w:rPr>
          <w:sz w:val="20"/>
          <w:szCs w:val="20"/>
          <w:color w:val="auto"/>
        </w:rPr>
        <w:tab/>
      </w:r>
      <w:r>
        <w:rPr>
          <w:rFonts w:ascii="Arial" w:cs="Arial" w:eastAsia="Arial" w:hAnsi="Arial"/>
          <w:sz w:val="17"/>
          <w:szCs w:val="17"/>
          <w:color w:val="auto"/>
        </w:rPr>
        <w:t>Name: Maryann T. Mannen</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00"/>
          </w:cols>
          <w:pgMar w:left="240" w:top="576" w:right="2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Fourth Quarter 2018 Results</w:t>
      </w:r>
    </w:p>
    <w:p>
      <w:pPr>
        <w:spacing w:after="0" w:line="15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Full-year Company orders of $14.3 billion, up 40 percent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Strong project execution drives early delivery of Yamal LNG Train 3</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Non-cash after-tax asset impairment charges of $1.7 billion</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Full-year distributions of $681 million from dividends and share repurchase</w:t>
      </w:r>
    </w:p>
    <w:p>
      <w:pPr>
        <w:spacing w:after="0" w:line="200" w:lineRule="exact"/>
        <w:rPr>
          <w:sz w:val="20"/>
          <w:szCs w:val="20"/>
          <w:color w:val="auto"/>
        </w:rPr>
      </w:pPr>
    </w:p>
    <w:p>
      <w:pPr>
        <w:spacing w:after="0" w:line="208"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b w:val="1"/>
          <w:bCs w:val="1"/>
          <w:color w:val="auto"/>
        </w:rPr>
        <w:t xml:space="preserve">LONDON, PARIS, HOUSTON, February 20, 2019 - </w:t>
      </w:r>
      <w:r>
        <w:rPr>
          <w:rFonts w:ascii="Arial" w:cs="Arial" w:eastAsia="Arial" w:hAnsi="Arial"/>
          <w:sz w:val="20"/>
          <w:szCs w:val="20"/>
          <w:color w:val="auto"/>
        </w:rPr>
        <w:t>TechnipFMC plc (NYSE: FTI) (Paris: FTI) today reported fourth quarter 2018</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Total Company revenue was $3,323 million. The Company reported a net loss of $2,259.3 million, or $5.00 per diluted share. These results included total after-tax charges and credits of $2,220.3 million, or $4.91 per diluted share. Adjusted net loss was $39 million, or $0.09 per diluted share.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Total after-tax charges and credits in the quarter of $2,220.3 million were as follows:</w:t>
      </w:r>
    </w:p>
    <w:p>
      <w:pPr>
        <w:spacing w:after="0" w:line="1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After-tax charges and credits impacting operating results of $2,006.1 million, which included the following (Exhibit 8):</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20"/>
          <w:szCs w:val="20"/>
          <w:color w:val="auto"/>
        </w:rPr>
        <w:t>Asset impairments totaling $1,688.8 million for goodwill and other fixed assets;</w:t>
      </w:r>
    </w:p>
    <w:p>
      <w:pPr>
        <w:ind w:left="1300" w:hanging="320"/>
        <w:spacing w:after="0" w:line="239"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20"/>
          <w:szCs w:val="20"/>
          <w:color w:val="auto"/>
        </w:rPr>
        <w:t>A provision of $280 million as a probable estimate for the aggregate settlement of investigations regarding historical projects; and</w:t>
      </w:r>
    </w:p>
    <w:p>
      <w:pPr>
        <w:spacing w:after="0" w:line="1" w:lineRule="exact"/>
        <w:rPr>
          <w:rFonts w:ascii="Arial" w:cs="Arial" w:eastAsia="Arial" w:hAnsi="Arial"/>
          <w:sz w:val="18"/>
          <w:szCs w:val="18"/>
          <w:color w:val="auto"/>
        </w:rPr>
      </w:pPr>
    </w:p>
    <w:p>
      <w:pPr>
        <w:ind w:left="1300" w:hanging="320"/>
        <w:spacing w:after="0" w:line="24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20"/>
          <w:szCs w:val="20"/>
          <w:color w:val="auto"/>
        </w:rPr>
        <w:t>Restructuring charges, business combination costs, and purchase price accounting adjustments totaling $37.3 million.</w:t>
      </w:r>
    </w:p>
    <w:p>
      <w:pPr>
        <w:spacing w:after="0" w:line="37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Charges and credits impacting the tax provision of $214.2 million, which included the following (Exhibit 8):</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20"/>
          <w:szCs w:val="20"/>
          <w:color w:val="auto"/>
        </w:rPr>
        <w:t>A tax provision for the true-up of U.S. tax reform of $11.8 million; and</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20"/>
          <w:szCs w:val="20"/>
          <w:color w:val="auto"/>
        </w:rPr>
        <w:t>A tax provision for valuation allowances of $202.4 million.</w:t>
      </w:r>
    </w:p>
    <w:p>
      <w:pPr>
        <w:spacing w:after="0" w:line="22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Adjusted EBITDA, which excludes pre-tax charges and credits, was $342.4 million; adjusted EBITDA margin was 10.3 percent (Exhibit 9).</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quarter, for which we do not provide guidance, included the following:</w:t>
      </w:r>
    </w:p>
    <w:p>
      <w:pPr>
        <w:spacing w:after="0" w:line="108" w:lineRule="exact"/>
        <w:rPr>
          <w:sz w:val="20"/>
          <w:szCs w:val="20"/>
          <w:color w:val="auto"/>
        </w:rPr>
      </w:pPr>
    </w:p>
    <w:p>
      <w:pPr>
        <w:ind w:left="66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$38.7 million of foreign exchange losses included in corporate expense, or $0.05 per diluted share on an after-tax basis; and</w:t>
      </w:r>
    </w:p>
    <w:p>
      <w:pPr>
        <w:spacing w:after="0" w:line="1" w:lineRule="exact"/>
        <w:rPr>
          <w:rFonts w:ascii="Arial" w:cs="Arial" w:eastAsia="Arial" w:hAnsi="Arial"/>
          <w:sz w:val="18"/>
          <w:szCs w:val="18"/>
          <w:color w:val="auto"/>
        </w:rPr>
      </w:pPr>
    </w:p>
    <w:p>
      <w:pPr>
        <w:ind w:left="660" w:hanging="328"/>
        <w:spacing w:after="0" w:line="24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$108.8 million of increased liability payable to joint venture partners included in interest expense, or $0.24 per diluted share on an after-tax basis.</w:t>
      </w:r>
    </w:p>
    <w:p>
      <w:pPr>
        <w:sectPr>
          <w:pgSz w:w="11900" w:h="16838" w:orient="portrait"/>
          <w:cols w:equalWidth="0" w:num="1">
            <w:col w:w="11420"/>
          </w:cols>
          <w:pgMar w:left="240" w:top="1216"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Summary Financial Statements - Fourth Quarter 2018</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Borders>
              <w:top w:val="single" w:sz="8" w:color="B8CCE4"/>
              <w:right w:val="single" w:sz="8" w:color="B8CCE4"/>
            </w:tcBorders>
            <w:shd w:val="clear" w:color="auto" w:fill="B8CCE4"/>
          </w:tcPr>
          <w:p>
            <w:pPr>
              <w:spacing w:after="0"/>
              <w:rPr>
                <w:sz w:val="16"/>
                <w:szCs w:val="16"/>
                <w:color w:val="auto"/>
              </w:rPr>
            </w:pPr>
          </w:p>
        </w:tc>
        <w:tc>
          <w:tcPr>
            <w:tcW w:w="5940" w:type="dxa"/>
            <w:vAlign w:val="bottom"/>
            <w:tcBorders>
              <w:top w:val="single" w:sz="8" w:color="B8CCE4"/>
              <w:right w:val="single" w:sz="8" w:color="B8CCE4"/>
            </w:tcBorders>
          </w:tcPr>
          <w:p>
            <w:pPr>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tcBorders>
              <w:top w:val="single" w:sz="8" w:color="B8CCE4"/>
              <w:right w:val="single" w:sz="8" w:color="B8CCE4"/>
            </w:tcBorders>
          </w:tcPr>
          <w:p>
            <w:pPr>
              <w:spacing w:after="0"/>
              <w:rPr>
                <w:sz w:val="16"/>
                <w:szCs w:val="16"/>
                <w:color w:val="auto"/>
              </w:rPr>
            </w:pPr>
          </w:p>
        </w:tc>
        <w:tc>
          <w:tcPr>
            <w:tcW w:w="1700" w:type="dxa"/>
            <w:vAlign w:val="bottom"/>
            <w:tcBorders>
              <w:top w:val="single" w:sz="8" w:color="B8CCE4"/>
              <w:right w:val="single" w:sz="8" w:color="B8CCE4"/>
            </w:tcBorders>
          </w:tcPr>
          <w:p>
            <w:pPr>
              <w:spacing w:after="0"/>
              <w:rPr>
                <w:sz w:val="16"/>
                <w:szCs w:val="16"/>
                <w:color w:val="auto"/>
              </w:rPr>
            </w:pPr>
          </w:p>
        </w:tc>
        <w:tc>
          <w:tcPr>
            <w:tcW w:w="1820" w:type="dxa"/>
            <w:vAlign w:val="bottom"/>
            <w:tcBorders>
              <w:top w:val="single" w:sz="8" w:color="B8CCE4"/>
              <w:right w:val="single" w:sz="8" w:color="B8CCE4"/>
            </w:tcBorders>
          </w:tcPr>
          <w:p>
            <w:pPr>
              <w:spacing w:after="0"/>
              <w:rPr>
                <w:sz w:val="16"/>
                <w:szCs w:val="16"/>
                <w:color w:val="auto"/>
              </w:rPr>
            </w:pPr>
          </w:p>
        </w:tc>
      </w:tr>
      <w:tr>
        <w:trPr>
          <w:trHeight w:val="209"/>
        </w:trPr>
        <w:tc>
          <w:tcPr>
            <w:tcW w:w="40" w:type="dxa"/>
            <w:vAlign w:val="bottom"/>
            <w:tcBorders>
              <w:bottom w:val="single" w:sz="8" w:color="B8CCE4"/>
              <w:right w:val="single" w:sz="8" w:color="B8CCE4"/>
            </w:tcBorders>
            <w:shd w:val="clear" w:color="auto" w:fill="B8CCE4"/>
          </w:tcPr>
          <w:p>
            <w:pPr>
              <w:spacing w:after="0"/>
              <w:rPr>
                <w:sz w:val="18"/>
                <w:szCs w:val="18"/>
                <w:color w:val="auto"/>
              </w:rPr>
            </w:pPr>
          </w:p>
        </w:tc>
        <w:tc>
          <w:tcPr>
            <w:tcW w:w="5940" w:type="dxa"/>
            <w:vAlign w:val="bottom"/>
            <w:tcBorders>
              <w:bottom w:val="single" w:sz="8" w:color="95B3D7"/>
              <w:right w:val="single" w:sz="8" w:color="B8CCE4"/>
            </w:tcBorders>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940" w:type="dxa"/>
            <w:vAlign w:val="bottom"/>
            <w:tcBorders>
              <w:bottom w:val="single" w:sz="8" w:color="95B3D7"/>
              <w:right w:val="single" w:sz="8" w:color="B8CCE4"/>
            </w:tcBorders>
          </w:tcPr>
          <w:p>
            <w:pPr>
              <w:jc w:val="right"/>
              <w:ind w:right="244"/>
              <w:spacing w:after="0"/>
              <w:rPr>
                <w:sz w:val="20"/>
                <w:szCs w:val="20"/>
                <w:color w:val="auto"/>
              </w:rPr>
            </w:pPr>
            <w:r>
              <w:rPr>
                <w:rFonts w:ascii="Arial" w:cs="Arial" w:eastAsia="Arial" w:hAnsi="Arial"/>
                <w:sz w:val="14"/>
                <w:szCs w:val="14"/>
                <w:b w:val="1"/>
                <w:bCs w:val="1"/>
                <w:color w:val="auto"/>
              </w:rPr>
              <w:t>December 31, 2018</w:t>
            </w:r>
          </w:p>
        </w:tc>
        <w:tc>
          <w:tcPr>
            <w:tcW w:w="1700" w:type="dxa"/>
            <w:vAlign w:val="bottom"/>
            <w:tcBorders>
              <w:bottom w:val="single" w:sz="8" w:color="95B3D7"/>
              <w:right w:val="single" w:sz="8" w:color="B8CCE4"/>
            </w:tcBorders>
          </w:tcPr>
          <w:p>
            <w:pPr>
              <w:jc w:val="right"/>
              <w:ind w:right="124"/>
              <w:spacing w:after="0"/>
              <w:rPr>
                <w:sz w:val="20"/>
                <w:szCs w:val="20"/>
                <w:color w:val="auto"/>
              </w:rPr>
            </w:pPr>
            <w:r>
              <w:rPr>
                <w:rFonts w:ascii="Arial" w:cs="Arial" w:eastAsia="Arial" w:hAnsi="Arial"/>
                <w:sz w:val="14"/>
                <w:szCs w:val="14"/>
                <w:b w:val="1"/>
                <w:bCs w:val="1"/>
                <w:color w:val="auto"/>
              </w:rPr>
              <w:t>December 31, 2017</w:t>
            </w:r>
          </w:p>
        </w:tc>
        <w:tc>
          <w:tcPr>
            <w:tcW w:w="1820" w:type="dxa"/>
            <w:vAlign w:val="bottom"/>
            <w:tcBorders>
              <w:bottom w:val="single" w:sz="8" w:color="95B3D7"/>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6"/>
        </w:trPr>
        <w:tc>
          <w:tcPr>
            <w:tcW w:w="40" w:type="dxa"/>
            <w:vAlign w:val="bottom"/>
            <w:tcBorders>
              <w:bottom w:val="single" w:sz="8" w:color="B8CCE4"/>
              <w:right w:val="single" w:sz="8" w:color="B8CCE4"/>
            </w:tcBorders>
            <w:shd w:val="clear" w:color="auto" w:fill="B8CCE4"/>
          </w:tcPr>
          <w:p>
            <w:pPr>
              <w:spacing w:after="0"/>
              <w:rPr>
                <w:sz w:val="23"/>
                <w:szCs w:val="23"/>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Revenue</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$3,323.0</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$3,683.0</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(9.8%)</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Net income (loss)</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$(2,259.3)</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$(153.9)</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Diluted earnings (loss) per share</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$(5.00)</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$(0.33)</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322"/>
        </w:trPr>
        <w:tc>
          <w:tcPr>
            <w:tcW w:w="40" w:type="dxa"/>
            <w:vAlign w:val="bottom"/>
            <w:tcBorders>
              <w:bottom w:val="single" w:sz="8" w:color="B8CCE4"/>
              <w:right w:val="single" w:sz="8" w:color="B8CCE4"/>
            </w:tcBorders>
            <w:shd w:val="clear" w:color="auto" w:fill="B8CCE4"/>
          </w:tcPr>
          <w:p>
            <w:pPr>
              <w:spacing w:after="0"/>
              <w:rPr>
                <w:sz w:val="24"/>
                <w:szCs w:val="24"/>
                <w:color w:val="auto"/>
              </w:rPr>
            </w:pPr>
          </w:p>
        </w:tc>
        <w:tc>
          <w:tcPr>
            <w:tcW w:w="5940" w:type="dxa"/>
            <w:vAlign w:val="bottom"/>
            <w:tcBorders>
              <w:bottom w:val="single" w:sz="8" w:color="B8CCE4"/>
            </w:tcBorders>
          </w:tcPr>
          <w:p>
            <w:pPr>
              <w:spacing w:after="0"/>
              <w:rPr>
                <w:sz w:val="24"/>
                <w:szCs w:val="24"/>
                <w:color w:val="auto"/>
              </w:rPr>
            </w:pPr>
          </w:p>
        </w:tc>
        <w:tc>
          <w:tcPr>
            <w:tcW w:w="1940" w:type="dxa"/>
            <w:vAlign w:val="bottom"/>
            <w:tcBorders>
              <w:bottom w:val="single" w:sz="8" w:color="B8CCE4"/>
            </w:tcBorders>
          </w:tcPr>
          <w:p>
            <w:pPr>
              <w:spacing w:after="0"/>
              <w:rPr>
                <w:sz w:val="24"/>
                <w:szCs w:val="24"/>
                <w:color w:val="auto"/>
              </w:rPr>
            </w:pPr>
          </w:p>
        </w:tc>
        <w:tc>
          <w:tcPr>
            <w:tcW w:w="170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right w:val="single" w:sz="8" w:color="B8CCE4"/>
            </w:tcBorders>
          </w:tcPr>
          <w:p>
            <w:pPr>
              <w:spacing w:after="0"/>
              <w:rPr>
                <w:sz w:val="24"/>
                <w:szCs w:val="24"/>
                <w:color w:val="auto"/>
              </w:rPr>
            </w:pPr>
          </w:p>
        </w:tc>
      </w:tr>
      <w:tr>
        <w:trPr>
          <w:trHeight w:val="259"/>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$342.4</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$525.0</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(34.8%)</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 margin</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10.3%</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14.3%</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(395 bps)</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net income (loss)</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$(39.0)</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$90.9</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diluted earnings (loss) per share</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$(0.09)</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$0.20</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322"/>
        </w:trPr>
        <w:tc>
          <w:tcPr>
            <w:tcW w:w="40" w:type="dxa"/>
            <w:vAlign w:val="bottom"/>
            <w:tcBorders>
              <w:bottom w:val="single" w:sz="8" w:color="B8CCE4"/>
              <w:right w:val="single" w:sz="8" w:color="B8CCE4"/>
            </w:tcBorders>
            <w:shd w:val="clear" w:color="auto" w:fill="B8CCE4"/>
          </w:tcPr>
          <w:p>
            <w:pPr>
              <w:spacing w:after="0"/>
              <w:rPr>
                <w:sz w:val="24"/>
                <w:szCs w:val="24"/>
                <w:color w:val="auto"/>
              </w:rPr>
            </w:pPr>
          </w:p>
        </w:tc>
        <w:tc>
          <w:tcPr>
            <w:tcW w:w="5940" w:type="dxa"/>
            <w:vAlign w:val="bottom"/>
            <w:tcBorders>
              <w:bottom w:val="single" w:sz="8" w:color="B8CCE4"/>
            </w:tcBorders>
          </w:tcPr>
          <w:p>
            <w:pPr>
              <w:spacing w:after="0"/>
              <w:rPr>
                <w:sz w:val="24"/>
                <w:szCs w:val="24"/>
                <w:color w:val="auto"/>
              </w:rPr>
            </w:pPr>
          </w:p>
        </w:tc>
        <w:tc>
          <w:tcPr>
            <w:tcW w:w="1940" w:type="dxa"/>
            <w:vAlign w:val="bottom"/>
            <w:tcBorders>
              <w:bottom w:val="single" w:sz="8" w:color="B8CCE4"/>
            </w:tcBorders>
          </w:tcPr>
          <w:p>
            <w:pPr>
              <w:spacing w:after="0"/>
              <w:rPr>
                <w:sz w:val="24"/>
                <w:szCs w:val="24"/>
                <w:color w:val="auto"/>
              </w:rPr>
            </w:pPr>
          </w:p>
        </w:tc>
        <w:tc>
          <w:tcPr>
            <w:tcW w:w="170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right w:val="single" w:sz="8" w:color="B8CCE4"/>
            </w:tcBorders>
          </w:tcPr>
          <w:p>
            <w:pPr>
              <w:spacing w:after="0"/>
              <w:rPr>
                <w:sz w:val="24"/>
                <w:szCs w:val="24"/>
                <w:color w:val="auto"/>
              </w:rPr>
            </w:pPr>
          </w:p>
        </w:tc>
      </w:tr>
      <w:tr>
        <w:trPr>
          <w:trHeight w:val="259"/>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Inbound orders</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$2,925.1</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$2,991.9</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(2.2%)</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Backlog</w:t>
            </w:r>
          </w:p>
        </w:tc>
        <w:tc>
          <w:tcPr>
            <w:tcW w:w="194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$14,560.0</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$12,982.8</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12.1%</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As previously disclosed, we are cooperating with the U.S., Brazilian, and French authorities in their investigations of potential violations of anticorruption laws relating to historical projects in Brazil, Equatorial Guinea, and Ghana, and Unaoil contracts. We have been informed that these authorities have been coordinating their investigations, which could result in a global resolution.</w:t>
      </w:r>
    </w:p>
    <w:p>
      <w:pPr>
        <w:spacing w:after="0" w:line="382"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These matters have progressed to a point where a probable estimate of the aggregate settlement amount with all authorities is $280 million for which we have taken a provision in the fourth quarter and year ended December 31, 2018. These matters involve negotiations with law enforcement authorities in three separate jurisdictions, and there is no certainty that a global settlement will be reached or that settlement will not exceed the provision.</w:t>
      </w:r>
    </w:p>
    <w:p>
      <w:pPr>
        <w:sectPr>
          <w:pgSz w:w="11900" w:h="16838" w:orient="portrait"/>
          <w:cols w:equalWidth="0" w:num="1">
            <w:col w:w="11440"/>
          </w:cols>
          <w:pgMar w:left="240" w:top="1192" w:right="2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Full Year 2018 Results</w:t>
      </w:r>
    </w:p>
    <w:p>
      <w:pPr>
        <w:spacing w:after="0" w:line="199"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Total Company revenue was $12,552.9 million. The Company reported a net loss of $1,921.6 million, or $4.20 per diluted share. These results included total after-tax charges and credits of $2,298.7 million, or $5.02 per diluted share. Adjusted net income was $377.1 million, or $0.82 per diluted share.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Total after-tax charges and credits for the full year of $2,298.7 million were as follows:</w:t>
      </w:r>
    </w:p>
    <w:p>
      <w:pPr>
        <w:spacing w:after="0" w:line="10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After-tax charges and credits impacting the operating results of $2,073.1 million, which included the following (Exhibit 8):</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20"/>
          <w:szCs w:val="20"/>
          <w:color w:val="auto"/>
        </w:rPr>
        <w:t>Asset impairments totaling $1,698.2 million for goodwill and other fixed assets;</w:t>
      </w:r>
    </w:p>
    <w:p>
      <w:pPr>
        <w:ind w:left="1300" w:right="20" w:hanging="320"/>
        <w:spacing w:after="0" w:line="239"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20"/>
          <w:szCs w:val="20"/>
          <w:color w:val="auto"/>
        </w:rPr>
        <w:t>A provision of $280 million as a probable estimate for the aggregate settlement of investigations regarding historical projects; and</w:t>
      </w:r>
    </w:p>
    <w:p>
      <w:pPr>
        <w:spacing w:after="0" w:line="1" w:lineRule="exact"/>
        <w:rPr>
          <w:rFonts w:ascii="Arial" w:cs="Arial" w:eastAsia="Arial" w:hAnsi="Arial"/>
          <w:sz w:val="18"/>
          <w:szCs w:val="18"/>
          <w:color w:val="auto"/>
        </w:rPr>
      </w:pPr>
    </w:p>
    <w:p>
      <w:pPr>
        <w:ind w:left="1300" w:right="40" w:hanging="320"/>
        <w:spacing w:after="0" w:line="24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20"/>
          <w:szCs w:val="20"/>
          <w:color w:val="auto"/>
        </w:rPr>
        <w:t>Restructuring charges, business combination costs, purchase price accounting adjustments, and a gain on divestitures totaling $94.9 million.</w:t>
      </w:r>
    </w:p>
    <w:p>
      <w:pPr>
        <w:spacing w:after="0" w:line="228" w:lineRule="exact"/>
        <w:rPr>
          <w:rFonts w:ascii="Arial" w:cs="Arial" w:eastAsia="Arial" w:hAnsi="Arial"/>
          <w:sz w:val="18"/>
          <w:szCs w:val="18"/>
          <w:color w:val="auto"/>
        </w:rPr>
      </w:pPr>
    </w:p>
    <w:p>
      <w:pPr>
        <w:ind w:left="840" w:hanging="508"/>
        <w:spacing w:after="0"/>
        <w:tabs>
          <w:tab w:leader="none" w:pos="84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Charges and credits impacting the tax provision of $225.6 million, which included the following (Exhibit 8):</w:t>
      </w:r>
    </w:p>
    <w:p>
      <w:pPr>
        <w:spacing w:after="0" w:line="12"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20"/>
          <w:szCs w:val="20"/>
          <w:color w:val="auto"/>
        </w:rPr>
        <w:t>A tax provision for the true-up of U.S. tax reform of $11.8 million; and</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20"/>
          <w:szCs w:val="20"/>
          <w:color w:val="auto"/>
        </w:rPr>
        <w:t>A tax provision for valuation allowances of $213.8 million.</w:t>
      </w:r>
    </w:p>
    <w:p>
      <w:pPr>
        <w:spacing w:after="0" w:line="229"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Adjusted EBITDA, which excludes charges and credits, was $1,536.8 million; adjusted EBITDA margin was 12.2 percent (Exhibit 10).</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year, for which we do not provide guidance, included the following:</w:t>
      </w:r>
    </w:p>
    <w:p>
      <w:pPr>
        <w:spacing w:after="0" w:line="108" w:lineRule="exact"/>
        <w:rPr>
          <w:sz w:val="20"/>
          <w:szCs w:val="20"/>
          <w:color w:val="auto"/>
        </w:rPr>
      </w:pPr>
    </w:p>
    <w:p>
      <w:pPr>
        <w:ind w:left="660" w:right="20" w:hanging="328"/>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$116.5 million of foreign exchange losses included in corporate expense, or $0.16 per diluted share on an after-tax basis; and</w:t>
      </w:r>
    </w:p>
    <w:p>
      <w:pPr>
        <w:spacing w:after="0" w:line="1" w:lineRule="exact"/>
        <w:rPr>
          <w:rFonts w:ascii="Arial" w:cs="Arial" w:eastAsia="Arial" w:hAnsi="Arial"/>
          <w:sz w:val="18"/>
          <w:szCs w:val="18"/>
          <w:color w:val="auto"/>
        </w:rPr>
      </w:pPr>
    </w:p>
    <w:p>
      <w:pPr>
        <w:ind w:left="660" w:right="20" w:hanging="328"/>
        <w:spacing w:after="0" w:line="24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$322.3 million of increased liability payable to joint venture partners included in interest expense, or $0.70 per diluted share on an after-tax basis.</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Full Year 2018</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Borders>
              <w:top w:val="single" w:sz="8" w:color="B8CCE4"/>
              <w:right w:val="single" w:sz="8" w:color="B8CCE4"/>
            </w:tcBorders>
            <w:shd w:val="clear" w:color="auto" w:fill="B8CCE4"/>
          </w:tcPr>
          <w:p>
            <w:pPr>
              <w:spacing w:after="0"/>
              <w:rPr>
                <w:sz w:val="16"/>
                <w:szCs w:val="16"/>
                <w:color w:val="auto"/>
              </w:rPr>
            </w:pPr>
          </w:p>
        </w:tc>
        <w:tc>
          <w:tcPr>
            <w:tcW w:w="6160" w:type="dxa"/>
            <w:vAlign w:val="bottom"/>
            <w:tcBorders>
              <w:top w:val="single" w:sz="8" w:color="B8CCE4"/>
              <w:right w:val="single" w:sz="8" w:color="B8CCE4"/>
            </w:tcBorders>
          </w:tcPr>
          <w:p>
            <w:pPr>
              <w:spacing w:after="0"/>
              <w:rPr>
                <w:sz w:val="20"/>
                <w:szCs w:val="20"/>
                <w:color w:val="auto"/>
              </w:rPr>
            </w:pPr>
            <w:r>
              <w:rPr>
                <w:rFonts w:ascii="Arial" w:cs="Arial" w:eastAsia="Arial" w:hAnsi="Arial"/>
                <w:sz w:val="14"/>
                <w:szCs w:val="14"/>
                <w:b w:val="1"/>
                <w:bCs w:val="1"/>
                <w:color w:val="auto"/>
              </w:rPr>
              <w:t>Twelve Months Ended</w:t>
            </w:r>
          </w:p>
        </w:tc>
        <w:tc>
          <w:tcPr>
            <w:tcW w:w="1720" w:type="dxa"/>
            <w:vAlign w:val="bottom"/>
            <w:tcBorders>
              <w:top w:val="single" w:sz="8" w:color="B8CCE4"/>
              <w:right w:val="single" w:sz="8" w:color="B8CCE4"/>
            </w:tcBorders>
          </w:tcPr>
          <w:p>
            <w:pPr>
              <w:spacing w:after="0"/>
              <w:rPr>
                <w:sz w:val="16"/>
                <w:szCs w:val="16"/>
                <w:color w:val="auto"/>
              </w:rPr>
            </w:pPr>
          </w:p>
        </w:tc>
        <w:tc>
          <w:tcPr>
            <w:tcW w:w="1700" w:type="dxa"/>
            <w:vAlign w:val="bottom"/>
            <w:tcBorders>
              <w:top w:val="single" w:sz="8" w:color="B8CCE4"/>
              <w:right w:val="single" w:sz="8" w:color="B8CCE4"/>
            </w:tcBorders>
          </w:tcPr>
          <w:p>
            <w:pPr>
              <w:spacing w:after="0"/>
              <w:rPr>
                <w:sz w:val="16"/>
                <w:szCs w:val="16"/>
                <w:color w:val="auto"/>
              </w:rPr>
            </w:pPr>
          </w:p>
        </w:tc>
        <w:tc>
          <w:tcPr>
            <w:tcW w:w="1820" w:type="dxa"/>
            <w:vAlign w:val="bottom"/>
            <w:tcBorders>
              <w:top w:val="single" w:sz="8" w:color="B8CCE4"/>
              <w:right w:val="single" w:sz="8" w:color="B8CCE4"/>
            </w:tcBorders>
          </w:tcPr>
          <w:p>
            <w:pPr>
              <w:spacing w:after="0"/>
              <w:rPr>
                <w:sz w:val="16"/>
                <w:szCs w:val="16"/>
                <w:color w:val="auto"/>
              </w:rPr>
            </w:pPr>
          </w:p>
        </w:tc>
      </w:tr>
      <w:tr>
        <w:trPr>
          <w:trHeight w:val="209"/>
        </w:trPr>
        <w:tc>
          <w:tcPr>
            <w:tcW w:w="40" w:type="dxa"/>
            <w:vAlign w:val="bottom"/>
            <w:tcBorders>
              <w:bottom w:val="single" w:sz="8" w:color="B8CCE4"/>
              <w:right w:val="single" w:sz="8" w:color="B8CCE4"/>
            </w:tcBorders>
            <w:shd w:val="clear" w:color="auto" w:fill="B8CCE4"/>
          </w:tcPr>
          <w:p>
            <w:pPr>
              <w:spacing w:after="0"/>
              <w:rPr>
                <w:sz w:val="18"/>
                <w:szCs w:val="18"/>
                <w:color w:val="auto"/>
              </w:rPr>
            </w:pPr>
          </w:p>
        </w:tc>
        <w:tc>
          <w:tcPr>
            <w:tcW w:w="6160" w:type="dxa"/>
            <w:vAlign w:val="bottom"/>
            <w:tcBorders>
              <w:bottom w:val="single" w:sz="8" w:color="95B3D7"/>
              <w:right w:val="single" w:sz="8" w:color="B8CCE4"/>
            </w:tcBorders>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720" w:type="dxa"/>
            <w:vAlign w:val="bottom"/>
            <w:tcBorders>
              <w:bottom w:val="single" w:sz="8" w:color="95B3D7"/>
              <w:right w:val="single" w:sz="8" w:color="B8CCE4"/>
            </w:tcBorders>
          </w:tcPr>
          <w:p>
            <w:pPr>
              <w:jc w:val="right"/>
              <w:ind w:right="124"/>
              <w:spacing w:after="0"/>
              <w:rPr>
                <w:sz w:val="20"/>
                <w:szCs w:val="20"/>
                <w:color w:val="auto"/>
              </w:rPr>
            </w:pPr>
            <w:r>
              <w:rPr>
                <w:rFonts w:ascii="Arial" w:cs="Arial" w:eastAsia="Arial" w:hAnsi="Arial"/>
                <w:sz w:val="14"/>
                <w:szCs w:val="14"/>
                <w:b w:val="1"/>
                <w:bCs w:val="1"/>
                <w:color w:val="auto"/>
              </w:rPr>
              <w:t>December 31, 2018</w:t>
            </w:r>
          </w:p>
        </w:tc>
        <w:tc>
          <w:tcPr>
            <w:tcW w:w="1700" w:type="dxa"/>
            <w:vAlign w:val="bottom"/>
            <w:tcBorders>
              <w:bottom w:val="single" w:sz="8" w:color="95B3D7"/>
              <w:right w:val="single" w:sz="8" w:color="B8CCE4"/>
            </w:tcBorders>
          </w:tcPr>
          <w:p>
            <w:pPr>
              <w:jc w:val="right"/>
              <w:ind w:right="124"/>
              <w:spacing w:after="0"/>
              <w:rPr>
                <w:sz w:val="20"/>
                <w:szCs w:val="20"/>
                <w:color w:val="auto"/>
              </w:rPr>
            </w:pPr>
            <w:r>
              <w:rPr>
                <w:rFonts w:ascii="Arial" w:cs="Arial" w:eastAsia="Arial" w:hAnsi="Arial"/>
                <w:sz w:val="14"/>
                <w:szCs w:val="14"/>
                <w:b w:val="1"/>
                <w:bCs w:val="1"/>
                <w:color w:val="auto"/>
              </w:rPr>
              <w:t>December 31, 2017</w:t>
            </w:r>
          </w:p>
        </w:tc>
        <w:tc>
          <w:tcPr>
            <w:tcW w:w="1820" w:type="dxa"/>
            <w:vAlign w:val="bottom"/>
            <w:tcBorders>
              <w:bottom w:val="single" w:sz="8" w:color="95B3D7"/>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6"/>
        </w:trPr>
        <w:tc>
          <w:tcPr>
            <w:tcW w:w="40" w:type="dxa"/>
            <w:vAlign w:val="bottom"/>
            <w:tcBorders>
              <w:bottom w:val="single" w:sz="8" w:color="B8CCE4"/>
              <w:right w:val="single" w:sz="8" w:color="B8CCE4"/>
            </w:tcBorders>
            <w:shd w:val="clear" w:color="auto" w:fill="B8CCE4"/>
          </w:tcPr>
          <w:p>
            <w:pPr>
              <w:spacing w:after="0"/>
              <w:rPr>
                <w:sz w:val="23"/>
                <w:szCs w:val="23"/>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Revenue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$12,552.9</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$15,056.9</w:t>
            </w:r>
          </w:p>
        </w:tc>
        <w:tc>
          <w:tcPr>
            <w:tcW w:w="1820" w:type="dxa"/>
            <w:vAlign w:val="bottom"/>
            <w:tcBorders>
              <w:bottom w:val="single" w:sz="8" w:color="B8CCE4"/>
              <w:right w:val="single" w:sz="8" w:color="B8CCE4"/>
            </w:tcBorders>
          </w:tcPr>
          <w:p>
            <w:pPr>
              <w:jc w:val="right"/>
              <w:ind w:right="484"/>
              <w:spacing w:after="0"/>
              <w:rPr>
                <w:sz w:val="20"/>
                <w:szCs w:val="20"/>
                <w:color w:val="auto"/>
              </w:rPr>
            </w:pPr>
            <w:r>
              <w:rPr>
                <w:rFonts w:ascii="Arial" w:cs="Arial" w:eastAsia="Arial" w:hAnsi="Arial"/>
                <w:sz w:val="20"/>
                <w:szCs w:val="20"/>
                <w:color w:val="auto"/>
              </w:rPr>
              <w:t>(16.6%)</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Net income (loss)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$(1,921.6)</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$113.3</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Diluted earnings (loss) per share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$(4.20)</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$0.24</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8"/>
        </w:trPr>
        <w:tc>
          <w:tcPr>
            <w:tcW w:w="40" w:type="dxa"/>
            <w:vAlign w:val="bottom"/>
            <w:tcBorders>
              <w:bottom w:val="single" w:sz="8" w:color="B8CCE4"/>
              <w:right w:val="single" w:sz="8" w:color="B8CCE4"/>
            </w:tcBorders>
            <w:shd w:val="clear" w:color="auto" w:fill="B8CCE4"/>
          </w:tcPr>
          <w:p>
            <w:pPr>
              <w:spacing w:after="0"/>
              <w:rPr>
                <w:sz w:val="23"/>
                <w:szCs w:val="23"/>
                <w:color w:val="auto"/>
              </w:rPr>
            </w:pPr>
          </w:p>
        </w:tc>
        <w:tc>
          <w:tcPr>
            <w:tcW w:w="6160" w:type="dxa"/>
            <w:vAlign w:val="bottom"/>
            <w:tcBorders>
              <w:bottom w:val="single" w:sz="8" w:color="B8CCE4"/>
            </w:tcBorders>
          </w:tcPr>
          <w:p>
            <w:pPr>
              <w:spacing w:after="0"/>
              <w:rPr>
                <w:sz w:val="23"/>
                <w:szCs w:val="23"/>
                <w:color w:val="auto"/>
              </w:rPr>
            </w:pPr>
          </w:p>
        </w:tc>
        <w:tc>
          <w:tcPr>
            <w:tcW w:w="1720" w:type="dxa"/>
            <w:vAlign w:val="bottom"/>
            <w:tcBorders>
              <w:bottom w:val="single" w:sz="8" w:color="B8CCE4"/>
            </w:tcBorders>
          </w:tcPr>
          <w:p>
            <w:pPr>
              <w:spacing w:after="0"/>
              <w:rPr>
                <w:sz w:val="23"/>
                <w:szCs w:val="23"/>
                <w:color w:val="auto"/>
              </w:rPr>
            </w:pPr>
          </w:p>
        </w:tc>
        <w:tc>
          <w:tcPr>
            <w:tcW w:w="1700" w:type="dxa"/>
            <w:vAlign w:val="bottom"/>
            <w:tcBorders>
              <w:bottom w:val="single" w:sz="8" w:color="B8CCE4"/>
            </w:tcBorders>
          </w:tcPr>
          <w:p>
            <w:pPr>
              <w:spacing w:after="0"/>
              <w:rPr>
                <w:sz w:val="23"/>
                <w:szCs w:val="23"/>
                <w:color w:val="auto"/>
              </w:rPr>
            </w:pPr>
          </w:p>
        </w:tc>
        <w:tc>
          <w:tcPr>
            <w:tcW w:w="1820" w:type="dxa"/>
            <w:vAlign w:val="bottom"/>
            <w:tcBorders>
              <w:bottom w:val="single" w:sz="8" w:color="B8CCE4"/>
              <w:right w:val="single" w:sz="8" w:color="B8CCE4"/>
            </w:tcBorders>
          </w:tcPr>
          <w:p>
            <w:pPr>
              <w:spacing w:after="0"/>
              <w:rPr>
                <w:sz w:val="23"/>
                <w:szCs w:val="23"/>
                <w:color w:val="auto"/>
              </w:rPr>
            </w:pPr>
          </w:p>
        </w:tc>
      </w:tr>
      <w:tr>
        <w:trPr>
          <w:trHeight w:val="259"/>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$1,536.8</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$1,983.0</w:t>
            </w:r>
          </w:p>
        </w:tc>
        <w:tc>
          <w:tcPr>
            <w:tcW w:w="1820" w:type="dxa"/>
            <w:vAlign w:val="bottom"/>
            <w:tcBorders>
              <w:bottom w:val="single" w:sz="8" w:color="B8CCE4"/>
              <w:right w:val="single" w:sz="8" w:color="B8CCE4"/>
            </w:tcBorders>
          </w:tcPr>
          <w:p>
            <w:pPr>
              <w:jc w:val="right"/>
              <w:ind w:right="484"/>
              <w:spacing w:after="0"/>
              <w:rPr>
                <w:sz w:val="20"/>
                <w:szCs w:val="20"/>
                <w:color w:val="auto"/>
              </w:rPr>
            </w:pPr>
            <w:r>
              <w:rPr>
                <w:rFonts w:ascii="Arial" w:cs="Arial" w:eastAsia="Arial" w:hAnsi="Arial"/>
                <w:sz w:val="20"/>
                <w:szCs w:val="20"/>
                <w:color w:val="auto"/>
              </w:rPr>
              <w:t>(22.5%)</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 margin</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12.2%</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13.2%</w:t>
            </w:r>
          </w:p>
        </w:tc>
        <w:tc>
          <w:tcPr>
            <w:tcW w:w="182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(93 bps)</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net income (loss)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$377.1</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$603.5</w:t>
            </w:r>
          </w:p>
        </w:tc>
        <w:tc>
          <w:tcPr>
            <w:tcW w:w="1820" w:type="dxa"/>
            <w:vAlign w:val="bottom"/>
            <w:tcBorders>
              <w:bottom w:val="single" w:sz="8" w:color="B8CCE4"/>
              <w:right w:val="single" w:sz="8" w:color="B8CCE4"/>
            </w:tcBorders>
          </w:tcPr>
          <w:p>
            <w:pPr>
              <w:jc w:val="right"/>
              <w:ind w:right="484"/>
              <w:spacing w:after="0"/>
              <w:rPr>
                <w:sz w:val="20"/>
                <w:szCs w:val="20"/>
                <w:color w:val="auto"/>
              </w:rPr>
            </w:pPr>
            <w:r>
              <w:rPr>
                <w:rFonts w:ascii="Arial" w:cs="Arial" w:eastAsia="Arial" w:hAnsi="Arial"/>
                <w:sz w:val="20"/>
                <w:szCs w:val="20"/>
                <w:color w:val="auto"/>
              </w:rPr>
              <w:t>(37.5%)</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diluted earnings (loss) per share</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$0.82</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w:t>
            </w:r>
          </w:p>
        </w:tc>
        <w:tc>
          <w:tcPr>
            <w:tcW w:w="1820" w:type="dxa"/>
            <w:vAlign w:val="bottom"/>
            <w:tcBorders>
              <w:bottom w:val="single" w:sz="8" w:color="B8CCE4"/>
              <w:right w:val="single" w:sz="8" w:color="B8CCE4"/>
            </w:tcBorders>
          </w:tcPr>
          <w:p>
            <w:pPr>
              <w:jc w:val="right"/>
              <w:ind w:right="484"/>
              <w:spacing w:after="0"/>
              <w:rPr>
                <w:sz w:val="20"/>
                <w:szCs w:val="20"/>
                <w:color w:val="auto"/>
              </w:rPr>
            </w:pPr>
            <w:r>
              <w:rPr>
                <w:rFonts w:ascii="Arial" w:cs="Arial" w:eastAsia="Arial" w:hAnsi="Arial"/>
                <w:sz w:val="20"/>
                <w:szCs w:val="20"/>
                <w:color w:val="auto"/>
              </w:rPr>
              <w:t>(36.4%)</w:t>
            </w:r>
          </w:p>
        </w:tc>
      </w:tr>
      <w:tr>
        <w:trPr>
          <w:trHeight w:val="241"/>
        </w:trPr>
        <w:tc>
          <w:tcPr>
            <w:tcW w:w="40" w:type="dxa"/>
            <w:vAlign w:val="bottom"/>
            <w:tcBorders>
              <w:bottom w:val="single" w:sz="8" w:color="B8CCE4"/>
              <w:right w:val="single" w:sz="8" w:color="B8CCE4"/>
            </w:tcBorders>
            <w:shd w:val="clear" w:color="auto" w:fill="B8CCE4"/>
          </w:tcPr>
          <w:p>
            <w:pPr>
              <w:spacing w:after="0"/>
              <w:rPr>
                <w:sz w:val="20"/>
                <w:szCs w:val="20"/>
                <w:color w:val="auto"/>
              </w:rPr>
            </w:pPr>
          </w:p>
        </w:tc>
        <w:tc>
          <w:tcPr>
            <w:tcW w:w="6160" w:type="dxa"/>
            <w:vAlign w:val="bottom"/>
            <w:tcBorders>
              <w:bottom w:val="single" w:sz="8" w:color="B8CCE4"/>
            </w:tcBorders>
          </w:tcPr>
          <w:p>
            <w:pPr>
              <w:spacing w:after="0"/>
              <w:rPr>
                <w:sz w:val="20"/>
                <w:szCs w:val="20"/>
                <w:color w:val="auto"/>
              </w:rPr>
            </w:pPr>
          </w:p>
        </w:tc>
        <w:tc>
          <w:tcPr>
            <w:tcW w:w="1720" w:type="dxa"/>
            <w:vAlign w:val="bottom"/>
            <w:tcBorders>
              <w:bottom w:val="single" w:sz="8" w:color="B8CCE4"/>
            </w:tcBorders>
          </w:tcPr>
          <w:p>
            <w:pPr>
              <w:spacing w:after="0"/>
              <w:rPr>
                <w:sz w:val="20"/>
                <w:szCs w:val="20"/>
                <w:color w:val="auto"/>
              </w:rPr>
            </w:pPr>
          </w:p>
        </w:tc>
        <w:tc>
          <w:tcPr>
            <w:tcW w:w="1700" w:type="dxa"/>
            <w:vAlign w:val="bottom"/>
            <w:tcBorders>
              <w:bottom w:val="single" w:sz="8" w:color="B8CCE4"/>
            </w:tcBorders>
          </w:tcPr>
          <w:p>
            <w:pPr>
              <w:spacing w:after="0"/>
              <w:rPr>
                <w:sz w:val="20"/>
                <w:szCs w:val="20"/>
                <w:color w:val="auto"/>
              </w:rPr>
            </w:pPr>
          </w:p>
        </w:tc>
        <w:tc>
          <w:tcPr>
            <w:tcW w:w="1820" w:type="dxa"/>
            <w:vAlign w:val="bottom"/>
            <w:tcBorders>
              <w:bottom w:val="single" w:sz="8" w:color="B8CCE4"/>
              <w:right w:val="single" w:sz="8" w:color="B8CCE4"/>
            </w:tcBorders>
          </w:tcPr>
          <w:p>
            <w:pPr>
              <w:spacing w:after="0"/>
              <w:rPr>
                <w:sz w:val="20"/>
                <w:szCs w:val="20"/>
                <w:color w:val="auto"/>
              </w:rPr>
            </w:pPr>
          </w:p>
        </w:tc>
      </w:tr>
      <w:tr>
        <w:trPr>
          <w:trHeight w:val="259"/>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Inbound orders</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$14,291.0</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$10,196.3</w:t>
            </w:r>
          </w:p>
        </w:tc>
        <w:tc>
          <w:tcPr>
            <w:tcW w:w="1820" w:type="dxa"/>
            <w:vAlign w:val="bottom"/>
            <w:tcBorders>
              <w:bottom w:val="single" w:sz="8" w:color="B8CCE4"/>
              <w:right w:val="single" w:sz="8" w:color="B8CCE4"/>
            </w:tcBorders>
          </w:tcPr>
          <w:p>
            <w:pPr>
              <w:jc w:val="right"/>
              <w:ind w:right="544"/>
              <w:spacing w:after="0"/>
              <w:rPr>
                <w:sz w:val="20"/>
                <w:szCs w:val="20"/>
                <w:color w:val="auto"/>
              </w:rPr>
            </w:pPr>
            <w:r>
              <w:rPr>
                <w:rFonts w:ascii="Arial" w:cs="Arial" w:eastAsia="Arial" w:hAnsi="Arial"/>
                <w:sz w:val="20"/>
                <w:szCs w:val="20"/>
                <w:color w:val="auto"/>
              </w:rPr>
              <w:t>40.2%</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616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Backlog</w:t>
            </w:r>
          </w:p>
        </w:tc>
        <w:tc>
          <w:tcPr>
            <w:tcW w:w="17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$14,560.0</w:t>
            </w:r>
          </w:p>
        </w:tc>
        <w:tc>
          <w:tcPr>
            <w:tcW w:w="17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$12,982.8</w:t>
            </w:r>
          </w:p>
        </w:tc>
        <w:tc>
          <w:tcPr>
            <w:tcW w:w="1820" w:type="dxa"/>
            <w:vAlign w:val="bottom"/>
            <w:tcBorders>
              <w:bottom w:val="single" w:sz="8" w:color="B8CCE4"/>
              <w:right w:val="single" w:sz="8" w:color="B8CCE4"/>
            </w:tcBorders>
          </w:tcPr>
          <w:p>
            <w:pPr>
              <w:jc w:val="right"/>
              <w:ind w:right="544"/>
              <w:spacing w:after="0"/>
              <w:rPr>
                <w:sz w:val="20"/>
                <w:szCs w:val="20"/>
                <w:color w:val="auto"/>
              </w:rPr>
            </w:pPr>
            <w:r>
              <w:rPr>
                <w:rFonts w:ascii="Arial" w:cs="Arial" w:eastAsia="Arial" w:hAnsi="Arial"/>
                <w:sz w:val="20"/>
                <w:szCs w:val="20"/>
                <w:color w:val="auto"/>
              </w:rPr>
              <w:t>12.1%</w:t>
            </w:r>
          </w:p>
        </w:tc>
      </w:tr>
    </w:tbl>
    <w:p>
      <w:pPr>
        <w:sectPr>
          <w:pgSz w:w="11900" w:h="16838" w:orient="portrait"/>
          <w:cols w:equalWidth="0" w:num="1">
            <w:col w:w="11440"/>
          </w:cols>
          <w:pgMar w:left="240" w:top="1408" w:right="21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Doug Pferdehirt, CEO of TechnipFMC, stated, “Many significant achievements contributed to our success in 2018. We exceeded total Company financial objectives for a second consecutive year, largely driven by continued strength in Onshore/Offshore execution as evidenced by early start-up of Trains 2 and 3 for Yamal LNG. We also achieved notable milestones in Subsea, including the successful delivery of the industry’s first full-cycle iEPCI™ projects and commercialization of our new Subsea 2.0™ product platform.”</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“Total Company orders were $14.3 billion for the full year, a 40 percent increase compared to the prior year. Orders exceeded revenues in all segments, with Onshore/Offshore securing several key awards in the downstream and petrochemical sectors, driving a 95 percent increase in orders year-over-year. In Surface Technologies, strength outside the Americas drove orders 36 percent higher than the previous year.”</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“During the quarter, we progressed on outstanding investigations of historical projects and took a $ 280 million provision as a probable estimate for the aggregate settlement. We continue to cooperate with all authorities in order to conclude this matter.”</w:t>
      </w:r>
    </w:p>
    <w:p>
      <w:pPr>
        <w:spacing w:after="0" w:line="161"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Pferdehirt continued, “In Subsea, the market is rapidly embracing greater project integration. Already in 2019, we have secured new iEPCI™ projects with BP and Lundin - both first-time iEPCI™ customers. We are confident that our unique offering and experience will lead to further growth in our iEPCI™ backlog in the coming year. We also anticipate an acceleration in subsea services growth, driven by both internal investment and increased market activity.”</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resurgence in LNG activity is confirmed with a new wave of significant LNG project opportunities. Selectivity remains at the core of our project success. With our global footprint, we are tracking greenfield and brownfield projects across four continents, representing a substantial portfolio of opportunities. We will leverage our most successful reference projects, incumbent positions, and client relationships toward those projects that are most strategic to TechnipFMC and offer the highest probability of successful execution.”</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Surface Technologies, strong order and backlog growth in the second half of 2018 further strengthens our conviction in increased activity outside of the Americas, particularly in the Middle East. Activity in North America continues to moderate. However, we anticipate growth in the second half of 2019, driven in part by additional pipeline capacity in the Permian region.”</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“Disciplined capital allocation remains a priority. Capital expenditures are focused on the best opportunities for growth and returns across the markets we serve. In 2018, we also returned $681 million to shareholders through dividend and share repurchase activity.”</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Pferdehirt concluded, “Through the hard work and dedication of the more than 37,000 women and men of TechnipFMC, we have done more than simply navigate the industry downturn. We have successfully pioneered a completely new integrated subsea model and restored growth in total Company backlog, positioning us well for further success in 2019 and beyond.”</w:t>
      </w:r>
    </w:p>
    <w:p>
      <w:pPr>
        <w:sectPr>
          <w:pgSz w:w="11900" w:h="16838" w:orient="portrait"/>
          <w:cols w:equalWidth="0" w:num="1">
            <w:col w:w="11420"/>
          </w:cols>
          <w:pgMar w:left="240" w:top="1216"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Operational and Financial Highlights - Fourth Quarter 2018</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Borders>
              <w:top w:val="single" w:sz="8" w:color="B8CCE4"/>
              <w:right w:val="single" w:sz="8" w:color="B8CCE4"/>
            </w:tcBorders>
            <w:shd w:val="clear" w:color="auto" w:fill="B8CCE4"/>
          </w:tcPr>
          <w:p>
            <w:pPr>
              <w:spacing w:after="0"/>
              <w:rPr>
                <w:sz w:val="16"/>
                <w:szCs w:val="16"/>
                <w:color w:val="auto"/>
              </w:rPr>
            </w:pPr>
          </w:p>
        </w:tc>
        <w:tc>
          <w:tcPr>
            <w:tcW w:w="4780" w:type="dxa"/>
            <w:vAlign w:val="bottom"/>
            <w:tcBorders>
              <w:top w:val="single" w:sz="8" w:color="B8CCE4"/>
              <w:right w:val="single" w:sz="8" w:color="B8CCE4"/>
            </w:tcBorders>
          </w:tcPr>
          <w:p>
            <w:pPr>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tcBorders>
              <w:top w:val="single" w:sz="8" w:color="B8CCE4"/>
              <w:right w:val="single" w:sz="8" w:color="B8CCE4"/>
            </w:tcBorders>
          </w:tcPr>
          <w:p>
            <w:pPr>
              <w:spacing w:after="0"/>
              <w:rPr>
                <w:sz w:val="16"/>
                <w:szCs w:val="16"/>
                <w:color w:val="auto"/>
              </w:rPr>
            </w:pPr>
          </w:p>
        </w:tc>
        <w:tc>
          <w:tcPr>
            <w:tcW w:w="2160" w:type="dxa"/>
            <w:vAlign w:val="bottom"/>
            <w:tcBorders>
              <w:top w:val="single" w:sz="8" w:color="B8CCE4"/>
              <w:right w:val="single" w:sz="8" w:color="B8CCE4"/>
            </w:tcBorders>
          </w:tcPr>
          <w:p>
            <w:pPr>
              <w:spacing w:after="0"/>
              <w:rPr>
                <w:sz w:val="16"/>
                <w:szCs w:val="16"/>
                <w:color w:val="auto"/>
              </w:rPr>
            </w:pPr>
          </w:p>
        </w:tc>
        <w:tc>
          <w:tcPr>
            <w:tcW w:w="2280" w:type="dxa"/>
            <w:vAlign w:val="bottom"/>
            <w:tcBorders>
              <w:top w:val="single" w:sz="8" w:color="B8CCE4"/>
              <w:right w:val="single" w:sz="8" w:color="B8CCE4"/>
            </w:tcBorders>
          </w:tcPr>
          <w:p>
            <w:pPr>
              <w:spacing w:after="0"/>
              <w:rPr>
                <w:sz w:val="16"/>
                <w:szCs w:val="16"/>
                <w:color w:val="auto"/>
              </w:rPr>
            </w:pPr>
          </w:p>
        </w:tc>
      </w:tr>
      <w:tr>
        <w:trPr>
          <w:trHeight w:val="209"/>
        </w:trPr>
        <w:tc>
          <w:tcPr>
            <w:tcW w:w="40" w:type="dxa"/>
            <w:vAlign w:val="bottom"/>
            <w:tcBorders>
              <w:bottom w:val="single" w:sz="8" w:color="B8CCE4"/>
              <w:right w:val="single" w:sz="8" w:color="B8CCE4"/>
            </w:tcBorders>
            <w:shd w:val="clear" w:color="auto" w:fill="B8CCE4"/>
          </w:tcPr>
          <w:p>
            <w:pPr>
              <w:spacing w:after="0"/>
              <w:rPr>
                <w:sz w:val="18"/>
                <w:szCs w:val="18"/>
                <w:color w:val="auto"/>
              </w:rPr>
            </w:pPr>
          </w:p>
        </w:tc>
        <w:tc>
          <w:tcPr>
            <w:tcW w:w="4780" w:type="dxa"/>
            <w:vAlign w:val="bottom"/>
            <w:tcBorders>
              <w:bottom w:val="single" w:sz="8" w:color="95B3D7"/>
              <w:right w:val="single" w:sz="8" w:color="B8CCE4"/>
            </w:tcBorders>
          </w:tcPr>
          <w:p>
            <w:pPr>
              <w:spacing w:after="0"/>
              <w:rPr>
                <w:sz w:val="20"/>
                <w:szCs w:val="20"/>
                <w:color w:val="auto"/>
              </w:rPr>
            </w:pPr>
            <w:r>
              <w:rPr>
                <w:rFonts w:ascii="Arial" w:cs="Arial" w:eastAsia="Arial" w:hAnsi="Arial"/>
                <w:sz w:val="14"/>
                <w:szCs w:val="14"/>
                <w:b w:val="1"/>
                <w:bCs w:val="1"/>
                <w:color w:val="auto"/>
              </w:rPr>
              <w:t>(In millions)</w:t>
            </w:r>
          </w:p>
        </w:tc>
        <w:tc>
          <w:tcPr>
            <w:tcW w:w="2180" w:type="dxa"/>
            <w:vAlign w:val="bottom"/>
            <w:tcBorders>
              <w:bottom w:val="single" w:sz="8" w:color="95B3D7"/>
              <w:right w:val="single" w:sz="8" w:color="B8CCE4"/>
            </w:tcBorders>
          </w:tcPr>
          <w:p>
            <w:pPr>
              <w:jc w:val="right"/>
              <w:ind w:right="365"/>
              <w:spacing w:after="0"/>
              <w:rPr>
                <w:sz w:val="20"/>
                <w:szCs w:val="20"/>
                <w:color w:val="auto"/>
              </w:rPr>
            </w:pPr>
            <w:r>
              <w:rPr>
                <w:rFonts w:ascii="Arial" w:cs="Arial" w:eastAsia="Arial" w:hAnsi="Arial"/>
                <w:sz w:val="14"/>
                <w:szCs w:val="14"/>
                <w:b w:val="1"/>
                <w:bCs w:val="1"/>
                <w:color w:val="auto"/>
              </w:rPr>
              <w:t>December 31, 2018</w:t>
            </w:r>
          </w:p>
        </w:tc>
        <w:tc>
          <w:tcPr>
            <w:tcW w:w="2160" w:type="dxa"/>
            <w:vAlign w:val="bottom"/>
            <w:tcBorders>
              <w:bottom w:val="single" w:sz="8" w:color="95B3D7"/>
              <w:right w:val="single" w:sz="8" w:color="B8CCE4"/>
            </w:tcBorders>
          </w:tcPr>
          <w:p>
            <w:pPr>
              <w:jc w:val="right"/>
              <w:ind w:right="345"/>
              <w:spacing w:after="0"/>
              <w:rPr>
                <w:sz w:val="20"/>
                <w:szCs w:val="20"/>
                <w:color w:val="auto"/>
              </w:rPr>
            </w:pPr>
            <w:r>
              <w:rPr>
                <w:rFonts w:ascii="Arial" w:cs="Arial" w:eastAsia="Arial" w:hAnsi="Arial"/>
                <w:sz w:val="14"/>
                <w:szCs w:val="14"/>
                <w:b w:val="1"/>
                <w:bCs w:val="1"/>
                <w:color w:val="auto"/>
              </w:rPr>
              <w:t>December 31, 2017</w:t>
            </w:r>
          </w:p>
        </w:tc>
        <w:tc>
          <w:tcPr>
            <w:tcW w:w="2280" w:type="dxa"/>
            <w:vAlign w:val="bottom"/>
            <w:tcBorders>
              <w:bottom w:val="single" w:sz="8" w:color="95B3D7"/>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6"/>
        </w:trPr>
        <w:tc>
          <w:tcPr>
            <w:tcW w:w="40" w:type="dxa"/>
            <w:vAlign w:val="bottom"/>
            <w:tcBorders>
              <w:bottom w:val="single" w:sz="8" w:color="B8CCE4"/>
              <w:right w:val="single" w:sz="8" w:color="B8CCE4"/>
            </w:tcBorders>
            <w:shd w:val="clear" w:color="auto" w:fill="B8CCE4"/>
          </w:tcPr>
          <w:p>
            <w:pPr>
              <w:spacing w:after="0"/>
              <w:rPr>
                <w:sz w:val="23"/>
                <w:szCs w:val="23"/>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Revenue</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$1,233.3</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$1,292.2</w:t>
            </w:r>
          </w:p>
        </w:tc>
        <w:tc>
          <w:tcPr>
            <w:tcW w:w="22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(4.6%)</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Operating profit (loss)</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$(1,739.5)</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$67.4</w:t>
            </w:r>
          </w:p>
        </w:tc>
        <w:tc>
          <w:tcPr>
            <w:tcW w:w="22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rPr>
              <w:t>n/m</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$148.5</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$244.1</w:t>
            </w:r>
          </w:p>
        </w:tc>
        <w:tc>
          <w:tcPr>
            <w:tcW w:w="22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(39.2%)</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 margin</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12.0%</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18.9%</w:t>
            </w:r>
          </w:p>
        </w:tc>
        <w:tc>
          <w:tcPr>
            <w:tcW w:w="22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(685 bps)</w:t>
            </w:r>
          </w:p>
        </w:tc>
      </w:tr>
      <w:tr>
        <w:trPr>
          <w:trHeight w:val="322"/>
        </w:trPr>
        <w:tc>
          <w:tcPr>
            <w:tcW w:w="40" w:type="dxa"/>
            <w:vAlign w:val="bottom"/>
            <w:tcBorders>
              <w:bottom w:val="single" w:sz="8" w:color="B8CCE4"/>
              <w:right w:val="single" w:sz="8" w:color="B8CCE4"/>
            </w:tcBorders>
            <w:shd w:val="clear" w:color="auto" w:fill="B8CCE4"/>
          </w:tcPr>
          <w:p>
            <w:pPr>
              <w:spacing w:after="0"/>
              <w:rPr>
                <w:sz w:val="24"/>
                <w:szCs w:val="24"/>
                <w:color w:val="auto"/>
              </w:rPr>
            </w:pPr>
          </w:p>
        </w:tc>
        <w:tc>
          <w:tcPr>
            <w:tcW w:w="4780" w:type="dxa"/>
            <w:vAlign w:val="bottom"/>
            <w:tcBorders>
              <w:bottom w:val="single" w:sz="8" w:color="B8CCE4"/>
            </w:tcBorders>
          </w:tcPr>
          <w:p>
            <w:pPr>
              <w:spacing w:after="0"/>
              <w:rPr>
                <w:sz w:val="24"/>
                <w:szCs w:val="24"/>
                <w:color w:val="auto"/>
              </w:rPr>
            </w:pPr>
          </w:p>
        </w:tc>
        <w:tc>
          <w:tcPr>
            <w:tcW w:w="2180" w:type="dxa"/>
            <w:vAlign w:val="bottom"/>
            <w:tcBorders>
              <w:bottom w:val="single" w:sz="8" w:color="B8CCE4"/>
            </w:tcBorders>
          </w:tcPr>
          <w:p>
            <w:pPr>
              <w:spacing w:after="0"/>
              <w:rPr>
                <w:sz w:val="24"/>
                <w:szCs w:val="24"/>
                <w:color w:val="auto"/>
              </w:rPr>
            </w:pPr>
          </w:p>
        </w:tc>
        <w:tc>
          <w:tcPr>
            <w:tcW w:w="2160" w:type="dxa"/>
            <w:vAlign w:val="bottom"/>
            <w:tcBorders>
              <w:bottom w:val="single" w:sz="8" w:color="B8CCE4"/>
            </w:tcBorders>
          </w:tcPr>
          <w:p>
            <w:pPr>
              <w:spacing w:after="0"/>
              <w:rPr>
                <w:sz w:val="24"/>
                <w:szCs w:val="24"/>
                <w:color w:val="auto"/>
              </w:rPr>
            </w:pPr>
          </w:p>
        </w:tc>
        <w:tc>
          <w:tcPr>
            <w:tcW w:w="2280" w:type="dxa"/>
            <w:vAlign w:val="bottom"/>
            <w:tcBorders>
              <w:bottom w:val="single" w:sz="8" w:color="B8CCE4"/>
              <w:right w:val="single" w:sz="8" w:color="B8CCE4"/>
            </w:tcBorders>
          </w:tcPr>
          <w:p>
            <w:pPr>
              <w:spacing w:after="0"/>
              <w:rPr>
                <w:sz w:val="24"/>
                <w:szCs w:val="24"/>
                <w:color w:val="auto"/>
              </w:rPr>
            </w:pPr>
          </w:p>
        </w:tc>
      </w:tr>
      <w:tr>
        <w:trPr>
          <w:trHeight w:val="259"/>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Inbound orders</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$880.6</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$1,724.8</w:t>
            </w:r>
          </w:p>
        </w:tc>
        <w:tc>
          <w:tcPr>
            <w:tcW w:w="22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(48.9%)</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Backlog</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$5,999.6</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$6,203.9</w:t>
            </w:r>
          </w:p>
        </w:tc>
        <w:tc>
          <w:tcPr>
            <w:tcW w:w="22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(3.3%)</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Subsea reported fourth quarter revenue of $1,233.3 million. Revenue was down 4.6 percent from the prior year as projects in Africa were completed or progressed further towards completion, largely offset by increased activity in North America, Asia Pacific, and South America.</w:t>
      </w:r>
    </w:p>
    <w:p>
      <w:pPr>
        <w:spacing w:after="0" w:line="16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In the quarter, the Company recorded pre-tax asset impairment charges totaling $1,775.6 million in Subsea. These non-cash charges resulted from our annual fair value assessment of our business and assets; these include impairments to goodwill and fixed assets, including a reduction in the carrying values of certain vessels within our fleet.</w:t>
      </w:r>
    </w:p>
    <w:p>
      <w:pPr>
        <w:spacing w:after="0" w:line="16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Subsea reported an operating loss of $1,739.5 million; included in the operating results are total pre-tax charges of $ 1,803.1 million. Adjusted EBITDA was $148.5 million with a margin of 12 percent. Adjusted EBITDA declined versus the prior-year quarter primarily due to the execution of more competitively priced backlog, partially offset by merger synergies and other cost reduction activities.</w:t>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Vessel utilization rate for the fourth quarter was 62 percent, down from 69 percent in the third quarter and 65 percent in the prior-year quarter.</w:t>
      </w:r>
    </w:p>
    <w:p>
      <w:pPr>
        <w:sectPr>
          <w:pgSz w:w="11900" w:h="16838" w:orient="portrait"/>
          <w:cols w:equalWidth="0" w:num="1">
            <w:col w:w="11440"/>
          </w:cols>
          <w:pgMar w:left="240" w:top="1192" w:right="21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Fourth Quarter Subsea Highlights</w:t>
      </w:r>
    </w:p>
    <w:p>
      <w:pPr>
        <w:spacing w:after="0" w:line="19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Total Egina </w:t>
      </w:r>
      <w:r>
        <w:rPr>
          <w:rFonts w:ascii="Arial" w:cs="Arial" w:eastAsia="Arial" w:hAnsi="Arial"/>
          <w:sz w:val="18"/>
          <w:szCs w:val="18"/>
          <w:b w:val="1"/>
          <w:bCs w:val="1"/>
          <w:color w:val="auto"/>
        </w:rPr>
        <w:t>(Nigeria)</w:t>
      </w:r>
    </w:p>
    <w:p>
      <w:pPr>
        <w:spacing w:after="0" w:line="23" w:lineRule="exact"/>
        <w:rPr>
          <w:rFonts w:ascii="Arial" w:cs="Arial" w:eastAsia="Arial" w:hAnsi="Arial"/>
          <w:sz w:val="18"/>
          <w:szCs w:val="18"/>
          <w:color w:val="auto"/>
        </w:rPr>
      </w:pPr>
    </w:p>
    <w:p>
      <w:pPr>
        <w:ind w:left="660" w:right="20"/>
        <w:spacing w:after="0" w:line="247" w:lineRule="auto"/>
        <w:rPr>
          <w:rFonts w:ascii="Arial" w:cs="Arial" w:eastAsia="Arial" w:hAnsi="Arial"/>
          <w:sz w:val="18"/>
          <w:szCs w:val="18"/>
          <w:color w:val="auto"/>
        </w:rPr>
      </w:pPr>
      <w:r>
        <w:rPr>
          <w:rFonts w:ascii="Arial" w:cs="Arial" w:eastAsia="Arial" w:hAnsi="Arial"/>
          <w:sz w:val="20"/>
          <w:szCs w:val="20"/>
          <w:color w:val="auto"/>
        </w:rPr>
        <w:t>First oil achieved for one of the largest subsea projects to date in West Africa; continuing involvement through a services contract.</w:t>
      </w:r>
    </w:p>
    <w:p>
      <w:pPr>
        <w:spacing w:after="0" w:line="17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Total Kaombo </w:t>
      </w:r>
      <w:r>
        <w:rPr>
          <w:rFonts w:ascii="Arial" w:cs="Arial" w:eastAsia="Arial" w:hAnsi="Arial"/>
          <w:sz w:val="18"/>
          <w:szCs w:val="18"/>
          <w:b w:val="1"/>
          <w:bCs w:val="1"/>
          <w:color w:val="auto"/>
        </w:rPr>
        <w:t>(Angola)</w:t>
      </w:r>
    </w:p>
    <w:p>
      <w:pPr>
        <w:spacing w:after="0" w:line="23" w:lineRule="exact"/>
        <w:rPr>
          <w:rFonts w:ascii="Arial" w:cs="Arial" w:eastAsia="Arial" w:hAnsi="Arial"/>
          <w:sz w:val="18"/>
          <w:szCs w:val="18"/>
          <w:color w:val="auto"/>
        </w:rPr>
      </w:pPr>
    </w:p>
    <w:p>
      <w:pPr>
        <w:ind w:left="660" w:right="20"/>
        <w:spacing w:after="0" w:line="247" w:lineRule="auto"/>
        <w:rPr>
          <w:rFonts w:ascii="Arial" w:cs="Arial" w:eastAsia="Arial" w:hAnsi="Arial"/>
          <w:sz w:val="18"/>
          <w:szCs w:val="18"/>
          <w:color w:val="auto"/>
        </w:rPr>
      </w:pPr>
      <w:r>
        <w:rPr>
          <w:rFonts w:ascii="Arial" w:cs="Arial" w:eastAsia="Arial" w:hAnsi="Arial"/>
          <w:sz w:val="20"/>
          <w:szCs w:val="20"/>
          <w:color w:val="auto"/>
        </w:rPr>
        <w:t>Mobilization of the Skandi Africa in advance of the hookup campaign for the South floating production, storage, and offloading unit (FPSO).</w:t>
      </w:r>
    </w:p>
    <w:p>
      <w:pPr>
        <w:spacing w:after="0" w:line="200" w:lineRule="exact"/>
        <w:rPr>
          <w:sz w:val="20"/>
          <w:szCs w:val="20"/>
          <w:color w:val="auto"/>
        </w:rPr>
      </w:pP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Subsea inbound orders for the quarter were $880.6 million, reflecting the continued strength in small project activity and subsea services. Full-year inbound orders were $5,178.5 million, resulting in a book-to-bill of 1.1.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Borders>
              <w:top w:val="single" w:sz="8" w:color="B6DDE8"/>
              <w:right w:val="single" w:sz="8" w:color="B6DDE8"/>
            </w:tcBorders>
            <w:shd w:val="clear" w:color="auto" w:fill="B6DDE8"/>
          </w:tcPr>
          <w:p>
            <w:pPr>
              <w:spacing w:after="0"/>
              <w:rPr>
                <w:sz w:val="22"/>
                <w:szCs w:val="22"/>
                <w:color w:val="auto"/>
              </w:rPr>
            </w:pPr>
          </w:p>
        </w:tc>
        <w:tc>
          <w:tcPr>
            <w:tcW w:w="730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Subsea</w:t>
            </w:r>
          </w:p>
        </w:tc>
        <w:tc>
          <w:tcPr>
            <w:tcW w:w="2040" w:type="dxa"/>
            <w:vAlign w:val="bottom"/>
            <w:tcBorders>
              <w:top w:val="single" w:sz="8" w:color="B6DDE8"/>
              <w:right w:val="single" w:sz="8" w:color="B6DDE8"/>
            </w:tcBorders>
            <w:vMerge w:val="restart"/>
          </w:tcPr>
          <w:p>
            <w:pPr>
              <w:jc w:val="right"/>
              <w:spacing w:after="0"/>
              <w:rPr>
                <w:sz w:val="20"/>
                <w:szCs w:val="20"/>
                <w:color w:val="auto"/>
              </w:rPr>
            </w:pPr>
            <w:r>
              <w:rPr>
                <w:rFonts w:ascii="Arial" w:cs="Arial" w:eastAsia="Arial" w:hAnsi="Arial"/>
                <w:sz w:val="20"/>
                <w:szCs w:val="20"/>
                <w:color w:val="auto"/>
                <w:w w:val="99"/>
              </w:rPr>
              <w:t>Consolidated backlog*</w:t>
            </w:r>
          </w:p>
        </w:tc>
        <w:tc>
          <w:tcPr>
            <w:tcW w:w="2060" w:type="dxa"/>
            <w:vAlign w:val="bottom"/>
            <w:tcBorders>
              <w:top w:val="single" w:sz="8" w:color="B6DDE8"/>
              <w:right w:val="single" w:sz="8" w:color="B6DDE8"/>
            </w:tcBorders>
            <w:vMerge w:val="restart"/>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65"/>
        </w:trPr>
        <w:tc>
          <w:tcPr>
            <w:tcW w:w="40" w:type="dxa"/>
            <w:vAlign w:val="bottom"/>
            <w:tcBorders>
              <w:right w:val="single" w:sz="8" w:color="B6DDE8"/>
            </w:tcBorders>
            <w:shd w:val="clear" w:color="auto" w:fill="B6DDE8"/>
          </w:tcPr>
          <w:p>
            <w:pPr>
              <w:spacing w:after="0"/>
              <w:rPr>
                <w:sz w:val="5"/>
                <w:szCs w:val="5"/>
                <w:color w:val="auto"/>
              </w:rPr>
            </w:pPr>
          </w:p>
        </w:tc>
        <w:tc>
          <w:tcPr>
            <w:tcW w:w="7300" w:type="dxa"/>
            <w:vAlign w:val="bottom"/>
            <w:tcBorders>
              <w:right w:val="single" w:sz="8" w:color="B6DDE8"/>
            </w:tcBorders>
            <w:vMerge w:val="restart"/>
          </w:tcPr>
          <w:p>
            <w:pPr>
              <w:spacing w:after="0"/>
              <w:rPr>
                <w:sz w:val="20"/>
                <w:szCs w:val="20"/>
                <w:color w:val="auto"/>
              </w:rPr>
            </w:pPr>
            <w:r>
              <w:rPr>
                <w:rFonts w:ascii="Arial" w:cs="Arial" w:eastAsia="Arial" w:hAnsi="Arial"/>
                <w:sz w:val="18"/>
                <w:szCs w:val="18"/>
                <w:color w:val="auto"/>
              </w:rPr>
              <w:t>Estimated Backlog Scheduling as of December 31, 2018</w:t>
            </w:r>
          </w:p>
        </w:tc>
        <w:tc>
          <w:tcPr>
            <w:tcW w:w="2040" w:type="dxa"/>
            <w:vAlign w:val="bottom"/>
            <w:tcBorders>
              <w:right w:val="single" w:sz="8" w:color="B6DDE8"/>
            </w:tcBorders>
            <w:vMerge w:val="continue"/>
          </w:tcPr>
          <w:p>
            <w:pPr>
              <w:spacing w:after="0"/>
              <w:rPr>
                <w:sz w:val="5"/>
                <w:szCs w:val="5"/>
                <w:color w:val="auto"/>
              </w:rPr>
            </w:pPr>
          </w:p>
        </w:tc>
        <w:tc>
          <w:tcPr>
            <w:tcW w:w="2060" w:type="dxa"/>
            <w:vAlign w:val="bottom"/>
            <w:tcBorders>
              <w:right w:val="single" w:sz="8" w:color="B6DDE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B6DDE8"/>
            </w:tcBorders>
            <w:shd w:val="clear" w:color="auto" w:fill="B6DDE8"/>
          </w:tcPr>
          <w:p>
            <w:pPr>
              <w:spacing w:after="0"/>
              <w:rPr>
                <w:sz w:val="12"/>
                <w:szCs w:val="12"/>
                <w:color w:val="auto"/>
              </w:rPr>
            </w:pPr>
          </w:p>
        </w:tc>
        <w:tc>
          <w:tcPr>
            <w:tcW w:w="730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continue"/>
          </w:tcPr>
          <w:p>
            <w:pPr>
              <w:spacing w:after="0"/>
              <w:rPr>
                <w:sz w:val="12"/>
                <w:szCs w:val="12"/>
                <w:color w:val="auto"/>
              </w:rPr>
            </w:pPr>
          </w:p>
        </w:tc>
        <w:tc>
          <w:tcPr>
            <w:tcW w:w="2060" w:type="dxa"/>
            <w:vAlign w:val="bottom"/>
            <w:tcBorders>
              <w:right w:val="single" w:sz="8" w:color="B6DDE8"/>
            </w:tcBorders>
            <w:vMerge w:val="restart"/>
          </w:tcPr>
          <w:p>
            <w:pPr>
              <w:jc w:val="right"/>
              <w:ind w:right="52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94"/>
        </w:trPr>
        <w:tc>
          <w:tcPr>
            <w:tcW w:w="40" w:type="dxa"/>
            <w:vAlign w:val="bottom"/>
            <w:tcBorders>
              <w:right w:val="single" w:sz="8" w:color="B6DDE8"/>
            </w:tcBorders>
            <w:shd w:val="clear" w:color="auto" w:fill="B6DDE8"/>
          </w:tcPr>
          <w:p>
            <w:pPr>
              <w:spacing w:after="0"/>
              <w:rPr>
                <w:sz w:val="8"/>
                <w:szCs w:val="8"/>
                <w:color w:val="auto"/>
              </w:rPr>
            </w:pPr>
          </w:p>
        </w:tc>
        <w:tc>
          <w:tcPr>
            <w:tcW w:w="730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8"/>
                <w:szCs w:val="8"/>
                <w:color w:val="auto"/>
              </w:rPr>
            </w:pPr>
          </w:p>
        </w:tc>
        <w:tc>
          <w:tcPr>
            <w:tcW w:w="2060" w:type="dxa"/>
            <w:vAlign w:val="bottom"/>
            <w:tcBorders>
              <w:right w:val="single" w:sz="8" w:color="B6DDE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B6DDE8"/>
              <w:right w:val="single" w:sz="8" w:color="B6DDE8"/>
            </w:tcBorders>
            <w:shd w:val="clear" w:color="auto" w:fill="B6DDE8"/>
          </w:tcPr>
          <w:p>
            <w:pPr>
              <w:spacing w:after="0"/>
              <w:rPr>
                <w:sz w:val="8"/>
                <w:szCs w:val="8"/>
                <w:color w:val="auto"/>
              </w:rPr>
            </w:pPr>
          </w:p>
        </w:tc>
        <w:tc>
          <w:tcPr>
            <w:tcW w:w="7300" w:type="dxa"/>
            <w:vAlign w:val="bottom"/>
            <w:tcBorders>
              <w:bottom w:val="single" w:sz="8" w:color="B8CCE4"/>
              <w:right w:val="single" w:sz="8" w:color="B6DDE8"/>
            </w:tcBorders>
            <w:vMerge w:val="continue"/>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2060" w:type="dxa"/>
            <w:vAlign w:val="bottom"/>
            <w:tcBorders>
              <w:bottom w:val="single" w:sz="8" w:color="B8CCE4"/>
              <w:right w:val="single" w:sz="8" w:color="B6DDE8"/>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30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2019</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$3,379.2</w:t>
            </w:r>
          </w:p>
        </w:tc>
        <w:tc>
          <w:tcPr>
            <w:tcW w:w="2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$184.7</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30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$1,382.1</w:t>
            </w:r>
          </w:p>
        </w:tc>
        <w:tc>
          <w:tcPr>
            <w:tcW w:w="2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$135.7</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30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$1,238.3</w:t>
            </w:r>
          </w:p>
        </w:tc>
        <w:tc>
          <w:tcPr>
            <w:tcW w:w="2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$653.6</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30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$5,999.6</w:t>
            </w:r>
          </w:p>
        </w:tc>
        <w:tc>
          <w:tcPr>
            <w:tcW w:w="2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$974.0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60" w:hanging="125"/>
        <w:spacing w:after="0"/>
        <w:tabs>
          <w:tab w:leader="none" w:pos="1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Backlog does not capture all revenue potential for subsea services.</w:t>
      </w:r>
    </w:p>
    <w:p>
      <w:pPr>
        <w:spacing w:after="0" w:line="50" w:lineRule="exact"/>
        <w:rPr>
          <w:sz w:val="20"/>
          <w:szCs w:val="20"/>
          <w:color w:val="auto"/>
        </w:rPr>
      </w:pPr>
    </w:p>
    <w:p>
      <w:pPr>
        <w:ind w:left="40" w:right="480" w:hanging="5"/>
        <w:spacing w:after="0" w:line="267" w:lineRule="auto"/>
        <w:tabs>
          <w:tab w:leader="none" w:pos="23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ectPr>
          <w:pgSz w:w="11900" w:h="16838" w:orient="portrait"/>
          <w:cols w:equalWidth="0" w:num="1">
            <w:col w:w="11440"/>
          </w:cols>
          <w:pgMar w:left="240" w:top="1216" w:right="219" w:bottom="1440" w:gutter="0" w:footer="0" w:header="0"/>
        </w:sectPr>
      </w:pPr>
    </w:p>
    <w:bookmarkStart w:id="10" w:name="page11"/>
    <w:bookmarkEnd w:id="10"/>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Borders>
              <w:top w:val="single" w:sz="8" w:color="B8CCE4"/>
              <w:right w:val="single" w:sz="8" w:color="B8CCE4"/>
            </w:tcBorders>
            <w:shd w:val="clear" w:color="auto" w:fill="B8CCE4"/>
          </w:tcPr>
          <w:p>
            <w:pPr>
              <w:spacing w:after="0"/>
              <w:rPr>
                <w:sz w:val="16"/>
                <w:szCs w:val="16"/>
                <w:color w:val="auto"/>
              </w:rPr>
            </w:pPr>
          </w:p>
        </w:tc>
        <w:tc>
          <w:tcPr>
            <w:tcW w:w="4780" w:type="dxa"/>
            <w:vAlign w:val="bottom"/>
            <w:tcBorders>
              <w:top w:val="single" w:sz="8" w:color="B8CCE4"/>
              <w:right w:val="single" w:sz="8" w:color="B8CCE4"/>
            </w:tcBorders>
          </w:tcPr>
          <w:p>
            <w:pPr>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tcBorders>
              <w:top w:val="single" w:sz="8" w:color="B8CCE4"/>
              <w:right w:val="single" w:sz="8" w:color="B8CCE4"/>
            </w:tcBorders>
          </w:tcPr>
          <w:p>
            <w:pPr>
              <w:spacing w:after="0"/>
              <w:rPr>
                <w:sz w:val="16"/>
                <w:szCs w:val="16"/>
                <w:color w:val="auto"/>
              </w:rPr>
            </w:pPr>
          </w:p>
        </w:tc>
        <w:tc>
          <w:tcPr>
            <w:tcW w:w="2160" w:type="dxa"/>
            <w:vAlign w:val="bottom"/>
            <w:tcBorders>
              <w:top w:val="single" w:sz="8" w:color="B8CCE4"/>
              <w:right w:val="single" w:sz="8" w:color="B8CCE4"/>
            </w:tcBorders>
          </w:tcPr>
          <w:p>
            <w:pPr>
              <w:spacing w:after="0"/>
              <w:rPr>
                <w:sz w:val="16"/>
                <w:szCs w:val="16"/>
                <w:color w:val="auto"/>
              </w:rPr>
            </w:pPr>
          </w:p>
        </w:tc>
        <w:tc>
          <w:tcPr>
            <w:tcW w:w="2280" w:type="dxa"/>
            <w:vAlign w:val="bottom"/>
            <w:tcBorders>
              <w:top w:val="single" w:sz="8" w:color="B8CCE4"/>
              <w:right w:val="single" w:sz="8" w:color="B8CCE4"/>
            </w:tcBorders>
          </w:tcPr>
          <w:p>
            <w:pPr>
              <w:spacing w:after="0"/>
              <w:rPr>
                <w:sz w:val="16"/>
                <w:szCs w:val="16"/>
                <w:color w:val="auto"/>
              </w:rPr>
            </w:pPr>
          </w:p>
        </w:tc>
      </w:tr>
      <w:tr>
        <w:trPr>
          <w:trHeight w:val="209"/>
        </w:trPr>
        <w:tc>
          <w:tcPr>
            <w:tcW w:w="40" w:type="dxa"/>
            <w:vAlign w:val="bottom"/>
            <w:tcBorders>
              <w:bottom w:val="single" w:sz="8" w:color="B8CCE4"/>
              <w:right w:val="single" w:sz="8" w:color="B8CCE4"/>
            </w:tcBorders>
            <w:shd w:val="clear" w:color="auto" w:fill="B8CCE4"/>
          </w:tcPr>
          <w:p>
            <w:pPr>
              <w:spacing w:after="0"/>
              <w:rPr>
                <w:sz w:val="18"/>
                <w:szCs w:val="18"/>
                <w:color w:val="auto"/>
              </w:rPr>
            </w:pPr>
          </w:p>
        </w:tc>
        <w:tc>
          <w:tcPr>
            <w:tcW w:w="4780" w:type="dxa"/>
            <w:vAlign w:val="bottom"/>
            <w:tcBorders>
              <w:bottom w:val="single" w:sz="8" w:color="95B3D7"/>
              <w:right w:val="single" w:sz="8" w:color="B8CCE4"/>
            </w:tcBorders>
          </w:tcPr>
          <w:p>
            <w:pPr>
              <w:spacing w:after="0"/>
              <w:rPr>
                <w:sz w:val="20"/>
                <w:szCs w:val="20"/>
                <w:color w:val="auto"/>
              </w:rPr>
            </w:pPr>
            <w:r>
              <w:rPr>
                <w:rFonts w:ascii="Arial" w:cs="Arial" w:eastAsia="Arial" w:hAnsi="Arial"/>
                <w:sz w:val="14"/>
                <w:szCs w:val="14"/>
                <w:b w:val="1"/>
                <w:bCs w:val="1"/>
                <w:color w:val="auto"/>
              </w:rPr>
              <w:t>(In millions)</w:t>
            </w:r>
          </w:p>
        </w:tc>
        <w:tc>
          <w:tcPr>
            <w:tcW w:w="2180" w:type="dxa"/>
            <w:vAlign w:val="bottom"/>
            <w:tcBorders>
              <w:bottom w:val="single" w:sz="8" w:color="95B3D7"/>
              <w:right w:val="single" w:sz="8" w:color="B8CCE4"/>
            </w:tcBorders>
          </w:tcPr>
          <w:p>
            <w:pPr>
              <w:jc w:val="right"/>
              <w:ind w:right="365"/>
              <w:spacing w:after="0"/>
              <w:rPr>
                <w:sz w:val="20"/>
                <w:szCs w:val="20"/>
                <w:color w:val="auto"/>
              </w:rPr>
            </w:pPr>
            <w:r>
              <w:rPr>
                <w:rFonts w:ascii="Arial" w:cs="Arial" w:eastAsia="Arial" w:hAnsi="Arial"/>
                <w:sz w:val="14"/>
                <w:szCs w:val="14"/>
                <w:b w:val="1"/>
                <w:bCs w:val="1"/>
                <w:color w:val="auto"/>
              </w:rPr>
              <w:t>December 31, 2018</w:t>
            </w:r>
          </w:p>
        </w:tc>
        <w:tc>
          <w:tcPr>
            <w:tcW w:w="2160" w:type="dxa"/>
            <w:vAlign w:val="bottom"/>
            <w:tcBorders>
              <w:bottom w:val="single" w:sz="8" w:color="95B3D7"/>
              <w:right w:val="single" w:sz="8" w:color="B8CCE4"/>
            </w:tcBorders>
          </w:tcPr>
          <w:p>
            <w:pPr>
              <w:jc w:val="right"/>
              <w:ind w:right="345"/>
              <w:spacing w:after="0"/>
              <w:rPr>
                <w:sz w:val="20"/>
                <w:szCs w:val="20"/>
                <w:color w:val="auto"/>
              </w:rPr>
            </w:pPr>
            <w:r>
              <w:rPr>
                <w:rFonts w:ascii="Arial" w:cs="Arial" w:eastAsia="Arial" w:hAnsi="Arial"/>
                <w:sz w:val="14"/>
                <w:szCs w:val="14"/>
                <w:b w:val="1"/>
                <w:bCs w:val="1"/>
                <w:color w:val="auto"/>
              </w:rPr>
              <w:t>December 31, 2017</w:t>
            </w:r>
          </w:p>
        </w:tc>
        <w:tc>
          <w:tcPr>
            <w:tcW w:w="2280" w:type="dxa"/>
            <w:vAlign w:val="bottom"/>
            <w:tcBorders>
              <w:bottom w:val="single" w:sz="8" w:color="95B3D7"/>
              <w:right w:val="single" w:sz="8" w:color="B8CCE4"/>
            </w:tcBorders>
          </w:tcPr>
          <w:p>
            <w:pPr>
              <w:jc w:val="right"/>
              <w:ind w:right="805"/>
              <w:spacing w:after="0"/>
              <w:rPr>
                <w:sz w:val="20"/>
                <w:szCs w:val="20"/>
                <w:color w:val="auto"/>
              </w:rPr>
            </w:pPr>
            <w:r>
              <w:rPr>
                <w:rFonts w:ascii="Arial" w:cs="Arial" w:eastAsia="Arial" w:hAnsi="Arial"/>
                <w:sz w:val="14"/>
                <w:szCs w:val="14"/>
                <w:b w:val="1"/>
                <w:bCs w:val="1"/>
                <w:color w:val="auto"/>
              </w:rPr>
              <w:t>Change</w:t>
            </w:r>
          </w:p>
        </w:tc>
      </w:tr>
      <w:tr>
        <w:trPr>
          <w:trHeight w:val="266"/>
        </w:trPr>
        <w:tc>
          <w:tcPr>
            <w:tcW w:w="40" w:type="dxa"/>
            <w:vAlign w:val="bottom"/>
            <w:tcBorders>
              <w:bottom w:val="single" w:sz="8" w:color="B8CCE4"/>
              <w:right w:val="single" w:sz="8" w:color="B8CCE4"/>
            </w:tcBorders>
            <w:shd w:val="clear" w:color="auto" w:fill="B8CCE4"/>
          </w:tcPr>
          <w:p>
            <w:pPr>
              <w:spacing w:after="0"/>
              <w:rPr>
                <w:sz w:val="23"/>
                <w:szCs w:val="23"/>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Revenue</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$1,672.4</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$2,019.5</w:t>
            </w:r>
          </w:p>
        </w:tc>
        <w:tc>
          <w:tcPr>
            <w:tcW w:w="2280" w:type="dxa"/>
            <w:vAlign w:val="bottom"/>
            <w:tcBorders>
              <w:bottom w:val="single" w:sz="8" w:color="B8CCE4"/>
              <w:right w:val="single" w:sz="8" w:color="B8CCE4"/>
            </w:tcBorders>
          </w:tcPr>
          <w:p>
            <w:pPr>
              <w:jc w:val="right"/>
              <w:ind w:right="705"/>
              <w:spacing w:after="0"/>
              <w:rPr>
                <w:sz w:val="20"/>
                <w:szCs w:val="20"/>
                <w:color w:val="auto"/>
              </w:rPr>
            </w:pPr>
            <w:r>
              <w:rPr>
                <w:rFonts w:ascii="Arial" w:cs="Arial" w:eastAsia="Arial" w:hAnsi="Arial"/>
                <w:sz w:val="20"/>
                <w:szCs w:val="20"/>
                <w:color w:val="auto"/>
              </w:rPr>
              <w:t>(17.2%)</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Operating profit</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$206.4</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$257.2</w:t>
            </w:r>
          </w:p>
        </w:tc>
        <w:tc>
          <w:tcPr>
            <w:tcW w:w="2280" w:type="dxa"/>
            <w:vAlign w:val="bottom"/>
            <w:tcBorders>
              <w:bottom w:val="single" w:sz="8" w:color="B8CCE4"/>
              <w:right w:val="single" w:sz="8" w:color="B8CCE4"/>
            </w:tcBorders>
          </w:tcPr>
          <w:p>
            <w:pPr>
              <w:jc w:val="right"/>
              <w:ind w:right="705"/>
              <w:spacing w:after="0"/>
              <w:rPr>
                <w:sz w:val="20"/>
                <w:szCs w:val="20"/>
                <w:color w:val="auto"/>
              </w:rPr>
            </w:pPr>
            <w:r>
              <w:rPr>
                <w:rFonts w:ascii="Arial" w:cs="Arial" w:eastAsia="Arial" w:hAnsi="Arial"/>
                <w:sz w:val="20"/>
                <w:szCs w:val="20"/>
                <w:color w:val="auto"/>
              </w:rPr>
              <w:t>(19.8%)</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$217.2</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$294.5</w:t>
            </w:r>
          </w:p>
        </w:tc>
        <w:tc>
          <w:tcPr>
            <w:tcW w:w="2280" w:type="dxa"/>
            <w:vAlign w:val="bottom"/>
            <w:tcBorders>
              <w:bottom w:val="single" w:sz="8" w:color="B8CCE4"/>
              <w:right w:val="single" w:sz="8" w:color="B8CCE4"/>
            </w:tcBorders>
          </w:tcPr>
          <w:p>
            <w:pPr>
              <w:jc w:val="right"/>
              <w:ind w:right="705"/>
              <w:spacing w:after="0"/>
              <w:rPr>
                <w:sz w:val="20"/>
                <w:szCs w:val="20"/>
                <w:color w:val="auto"/>
              </w:rPr>
            </w:pPr>
            <w:r>
              <w:rPr>
                <w:rFonts w:ascii="Arial" w:cs="Arial" w:eastAsia="Arial" w:hAnsi="Arial"/>
                <w:sz w:val="20"/>
                <w:szCs w:val="20"/>
                <w:color w:val="auto"/>
              </w:rPr>
              <w:t>(26.2%)</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 margin</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13.0%</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14.6%</w:t>
            </w:r>
          </w:p>
        </w:tc>
        <w:tc>
          <w:tcPr>
            <w:tcW w:w="2280" w:type="dxa"/>
            <w:vAlign w:val="bottom"/>
            <w:tcBorders>
              <w:bottom w:val="single" w:sz="8" w:color="B8CCE4"/>
              <w:right w:val="single" w:sz="8" w:color="B8CCE4"/>
            </w:tcBorders>
          </w:tcPr>
          <w:p>
            <w:pPr>
              <w:jc w:val="right"/>
              <w:ind w:right="645"/>
              <w:spacing w:after="0"/>
              <w:rPr>
                <w:sz w:val="20"/>
                <w:szCs w:val="20"/>
                <w:color w:val="auto"/>
              </w:rPr>
            </w:pPr>
            <w:r>
              <w:rPr>
                <w:rFonts w:ascii="Arial" w:cs="Arial" w:eastAsia="Arial" w:hAnsi="Arial"/>
                <w:sz w:val="20"/>
                <w:szCs w:val="20"/>
                <w:color w:val="auto"/>
              </w:rPr>
              <w:t>(160 bps)</w:t>
            </w:r>
          </w:p>
        </w:tc>
      </w:tr>
      <w:tr>
        <w:trPr>
          <w:trHeight w:val="322"/>
        </w:trPr>
        <w:tc>
          <w:tcPr>
            <w:tcW w:w="40" w:type="dxa"/>
            <w:vAlign w:val="bottom"/>
            <w:tcBorders>
              <w:bottom w:val="single" w:sz="8" w:color="B8CCE4"/>
              <w:right w:val="single" w:sz="8" w:color="B8CCE4"/>
            </w:tcBorders>
            <w:shd w:val="clear" w:color="auto" w:fill="B8CCE4"/>
          </w:tcPr>
          <w:p>
            <w:pPr>
              <w:spacing w:after="0"/>
              <w:rPr>
                <w:sz w:val="24"/>
                <w:szCs w:val="24"/>
                <w:color w:val="auto"/>
              </w:rPr>
            </w:pPr>
          </w:p>
        </w:tc>
        <w:tc>
          <w:tcPr>
            <w:tcW w:w="4780" w:type="dxa"/>
            <w:vAlign w:val="bottom"/>
            <w:tcBorders>
              <w:bottom w:val="single" w:sz="8" w:color="B8CCE4"/>
            </w:tcBorders>
          </w:tcPr>
          <w:p>
            <w:pPr>
              <w:spacing w:after="0"/>
              <w:rPr>
                <w:sz w:val="24"/>
                <w:szCs w:val="24"/>
                <w:color w:val="auto"/>
              </w:rPr>
            </w:pPr>
          </w:p>
        </w:tc>
        <w:tc>
          <w:tcPr>
            <w:tcW w:w="2180" w:type="dxa"/>
            <w:vAlign w:val="bottom"/>
            <w:tcBorders>
              <w:bottom w:val="single" w:sz="8" w:color="B8CCE4"/>
            </w:tcBorders>
          </w:tcPr>
          <w:p>
            <w:pPr>
              <w:spacing w:after="0"/>
              <w:rPr>
                <w:sz w:val="24"/>
                <w:szCs w:val="24"/>
                <w:color w:val="auto"/>
              </w:rPr>
            </w:pPr>
          </w:p>
        </w:tc>
        <w:tc>
          <w:tcPr>
            <w:tcW w:w="2160" w:type="dxa"/>
            <w:vAlign w:val="bottom"/>
            <w:tcBorders>
              <w:bottom w:val="single" w:sz="8" w:color="B8CCE4"/>
            </w:tcBorders>
          </w:tcPr>
          <w:p>
            <w:pPr>
              <w:spacing w:after="0"/>
              <w:rPr>
                <w:sz w:val="24"/>
                <w:szCs w:val="24"/>
                <w:color w:val="auto"/>
              </w:rPr>
            </w:pPr>
          </w:p>
        </w:tc>
        <w:tc>
          <w:tcPr>
            <w:tcW w:w="2280" w:type="dxa"/>
            <w:vAlign w:val="bottom"/>
            <w:tcBorders>
              <w:bottom w:val="single" w:sz="8" w:color="B8CCE4"/>
              <w:right w:val="single" w:sz="8" w:color="B8CCE4"/>
            </w:tcBorders>
          </w:tcPr>
          <w:p>
            <w:pPr>
              <w:spacing w:after="0"/>
              <w:rPr>
                <w:sz w:val="24"/>
                <w:szCs w:val="24"/>
                <w:color w:val="auto"/>
              </w:rPr>
            </w:pPr>
          </w:p>
        </w:tc>
      </w:tr>
      <w:tr>
        <w:trPr>
          <w:trHeight w:val="259"/>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Inbound orders</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$1,609.4</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$874.2</w:t>
            </w:r>
          </w:p>
        </w:tc>
        <w:tc>
          <w:tcPr>
            <w:tcW w:w="2280" w:type="dxa"/>
            <w:vAlign w:val="bottom"/>
            <w:tcBorders>
              <w:bottom w:val="single" w:sz="8" w:color="B8CCE4"/>
              <w:right w:val="single" w:sz="8" w:color="B8CCE4"/>
            </w:tcBorders>
          </w:tcPr>
          <w:p>
            <w:pPr>
              <w:jc w:val="right"/>
              <w:ind w:right="785"/>
              <w:spacing w:after="0"/>
              <w:rPr>
                <w:sz w:val="20"/>
                <w:szCs w:val="20"/>
                <w:color w:val="auto"/>
              </w:rPr>
            </w:pPr>
            <w:r>
              <w:rPr>
                <w:rFonts w:ascii="Arial" w:cs="Arial" w:eastAsia="Arial" w:hAnsi="Arial"/>
                <w:sz w:val="20"/>
                <w:szCs w:val="20"/>
                <w:color w:val="auto"/>
              </w:rPr>
              <w:t>84.1%</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478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Backlog</w:t>
            </w:r>
          </w:p>
        </w:tc>
        <w:tc>
          <w:tcPr>
            <w:tcW w:w="2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$8,090.5</w:t>
            </w:r>
          </w:p>
        </w:tc>
        <w:tc>
          <w:tcPr>
            <w:tcW w:w="2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$6,369.1</w:t>
            </w:r>
          </w:p>
        </w:tc>
        <w:tc>
          <w:tcPr>
            <w:tcW w:w="2280" w:type="dxa"/>
            <w:vAlign w:val="bottom"/>
            <w:tcBorders>
              <w:bottom w:val="single" w:sz="8" w:color="B8CCE4"/>
              <w:right w:val="single" w:sz="8" w:color="B8CCE4"/>
            </w:tcBorders>
          </w:tcPr>
          <w:p>
            <w:pPr>
              <w:jc w:val="right"/>
              <w:ind w:right="785"/>
              <w:spacing w:after="0"/>
              <w:rPr>
                <w:sz w:val="20"/>
                <w:szCs w:val="20"/>
                <w:color w:val="auto"/>
              </w:rPr>
            </w:pPr>
            <w:r>
              <w:rPr>
                <w:rFonts w:ascii="Arial" w:cs="Arial" w:eastAsia="Arial" w:hAnsi="Arial"/>
                <w:sz w:val="20"/>
                <w:szCs w:val="20"/>
                <w:color w:val="auto"/>
              </w:rPr>
              <w:t>27.0%</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40"/>
        <w:spacing w:after="0" w:line="247" w:lineRule="auto"/>
        <w:rPr>
          <w:sz w:val="20"/>
          <w:szCs w:val="20"/>
          <w:color w:val="auto"/>
        </w:rPr>
      </w:pPr>
      <w:r>
        <w:rPr>
          <w:rFonts w:ascii="Arial" w:cs="Arial" w:eastAsia="Arial" w:hAnsi="Arial"/>
          <w:sz w:val="20"/>
          <w:szCs w:val="20"/>
          <w:color w:val="auto"/>
        </w:rPr>
        <w:t>Onshore/Offshore reported fourth quarter revenue of $1,672.4 million. Revenue declined 17.2 percent from the prior-year quarter as we moved closer to completion on major projects, primarily Yamal LNG.</w:t>
      </w:r>
    </w:p>
    <w:p>
      <w:pPr>
        <w:spacing w:after="0" w:line="161"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Onshore/Offshore reported operating profit of $206.4 million; adjusted EBITDA was $ 217.2 million with a margin of 13 percent. Operating profit declined 19.8 percent versus the prior-year quarter, primarily due to the revenue decline and a shift in revenue mix to lower margin project work. Strong project execution continued on Yamal LNG, with all three trains now handed over to the customer; operating results in the period also benefitted from a bonus for completion of further milestones on the project, including Train 3. These same factors drove the year-over-year decline in adjusted EBITDA.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Onshore/Offshore Highlights</w:t>
      </w:r>
    </w:p>
    <w:p>
      <w:pPr>
        <w:spacing w:after="0" w:line="19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 xml:space="preserve">Energean Karish iEPCI™ </w:t>
      </w:r>
      <w:r>
        <w:rPr>
          <w:rFonts w:ascii="Arial" w:cs="Arial" w:eastAsia="Arial" w:hAnsi="Arial"/>
          <w:sz w:val="18"/>
          <w:szCs w:val="18"/>
          <w:b w:val="1"/>
          <w:bCs w:val="1"/>
          <w:color w:val="auto"/>
        </w:rPr>
        <w:t>(Israel)</w:t>
      </w:r>
    </w:p>
    <w:p>
      <w:pPr>
        <w:spacing w:after="0" w:line="23" w:lineRule="exact"/>
        <w:rPr>
          <w:rFonts w:ascii="Arial" w:cs="Arial" w:eastAsia="Arial" w:hAnsi="Arial"/>
          <w:sz w:val="18"/>
          <w:szCs w:val="18"/>
          <w:color w:val="auto"/>
        </w:rPr>
      </w:pPr>
    </w:p>
    <w:p>
      <w:pPr>
        <w:ind w:left="660" w:right="20"/>
        <w:spacing w:after="0" w:line="247" w:lineRule="auto"/>
        <w:rPr>
          <w:rFonts w:ascii="Arial" w:cs="Arial" w:eastAsia="Arial" w:hAnsi="Arial"/>
          <w:sz w:val="18"/>
          <w:szCs w:val="18"/>
          <w:color w:val="auto"/>
        </w:rPr>
      </w:pPr>
      <w:r>
        <w:rPr>
          <w:rFonts w:ascii="Arial" w:cs="Arial" w:eastAsia="Arial" w:hAnsi="Arial"/>
          <w:sz w:val="20"/>
          <w:szCs w:val="20"/>
          <w:color w:val="auto"/>
        </w:rPr>
        <w:t>Hull cutting ceremony (China); steel cutting ceremonies for the electrical house module (Indonesia) and topsides (Singapore).</w:t>
      </w:r>
    </w:p>
    <w:p>
      <w:pPr>
        <w:spacing w:after="0" w:line="137" w:lineRule="exact"/>
        <w:rPr>
          <w:rFonts w:ascii="Arial" w:cs="Arial" w:eastAsia="Arial" w:hAnsi="Arial"/>
          <w:sz w:val="18"/>
          <w:szCs w:val="18"/>
          <w:color w:val="auto"/>
        </w:rPr>
      </w:pPr>
    </w:p>
    <w:p>
      <w:pPr>
        <w:ind w:left="660" w:right="7420" w:hanging="328"/>
        <w:spacing w:after="0" w:line="29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9"/>
          <w:szCs w:val="19"/>
          <w:b w:val="1"/>
          <w:bCs w:val="1"/>
          <w:color w:val="auto"/>
        </w:rPr>
        <w:t xml:space="preserve">ENI Coral South FLNG </w:t>
      </w:r>
      <w:r>
        <w:rPr>
          <w:rFonts w:ascii="Arial" w:cs="Arial" w:eastAsia="Arial" w:hAnsi="Arial"/>
          <w:sz w:val="17"/>
          <w:szCs w:val="17"/>
          <w:b w:val="1"/>
          <w:bCs w:val="1"/>
          <w:color w:val="auto"/>
        </w:rPr>
        <w:t>(Mozambique)</w:t>
      </w:r>
      <w:r>
        <w:rPr>
          <w:rFonts w:ascii="Arial" w:cs="Arial" w:eastAsia="Arial" w:hAnsi="Arial"/>
          <w:sz w:val="19"/>
          <w:szCs w:val="19"/>
          <w:b w:val="1"/>
          <w:bCs w:val="1"/>
          <w:color w:val="auto"/>
        </w:rPr>
        <w:t xml:space="preserve"> </w:t>
      </w:r>
      <w:r>
        <w:rPr>
          <w:rFonts w:ascii="Arial" w:cs="Arial" w:eastAsia="Arial" w:hAnsi="Arial"/>
          <w:sz w:val="19"/>
          <w:szCs w:val="19"/>
          <w:color w:val="auto"/>
        </w:rPr>
        <w:t>Topsides cutting ceremony in Korea.</w:t>
      </w:r>
    </w:p>
    <w:p>
      <w:pPr>
        <w:spacing w:after="0" w:line="9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20"/>
          <w:szCs w:val="20"/>
          <w:b w:val="1"/>
          <w:bCs w:val="1"/>
          <w:color w:val="auto"/>
        </w:rPr>
        <w:t xml:space="preserve">Equinor Martin Linge </w:t>
      </w:r>
      <w:r>
        <w:rPr>
          <w:rFonts w:ascii="Arial" w:cs="Arial" w:eastAsia="Arial" w:hAnsi="Arial"/>
          <w:sz w:val="18"/>
          <w:szCs w:val="18"/>
          <w:b w:val="1"/>
          <w:bCs w:val="1"/>
          <w:color w:val="auto"/>
        </w:rPr>
        <w:t>(Norway)</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Early occupancy of living quarters; platform’s power supply from shore achieved.</w:t>
      </w:r>
    </w:p>
    <w:p>
      <w:pPr>
        <w:sectPr>
          <w:pgSz w:w="11900" w:h="16838" w:orient="portrait"/>
          <w:cols w:equalWidth="0" w:num="1">
            <w:col w:w="11440"/>
          </w:cols>
          <w:pgMar w:left="240" w:top="1354" w:right="219" w:bottom="1440" w:gutter="0" w:footer="0" w:header="0"/>
        </w:sectPr>
      </w:pPr>
    </w:p>
    <w:bookmarkStart w:id="11" w:name="page12"/>
    <w:bookmarkEnd w:id="11"/>
    <w:p>
      <w:pPr>
        <w:ind w:right="20"/>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Onshore/Offshore inbound orders for the quarter were $1,609.4 million. Full-year inbound orders were $7,425.9 million, resulting in a book-to-bill of 1.2. The following announced award was included in the period:</w:t>
      </w:r>
    </w:p>
    <w:p>
      <w:pPr>
        <w:spacing w:after="0" w:line="3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b w:val="1"/>
          <w:bCs w:val="1"/>
          <w:color w:val="auto"/>
        </w:rPr>
        <w:t xml:space="preserve">Neste Renewable Products Facility Expansion </w:t>
      </w:r>
      <w:r>
        <w:rPr>
          <w:rFonts w:ascii="Arial" w:cs="Arial" w:eastAsia="Arial" w:hAnsi="Arial"/>
          <w:sz w:val="18"/>
          <w:szCs w:val="18"/>
          <w:b w:val="1"/>
          <w:bCs w:val="1"/>
          <w:color w:val="auto"/>
        </w:rPr>
        <w:t>(Singapore)</w:t>
      </w:r>
    </w:p>
    <w:p>
      <w:pPr>
        <w:spacing w:after="0" w:line="23" w:lineRule="exact"/>
        <w:rPr>
          <w:rFonts w:ascii="Arial" w:cs="Arial" w:eastAsia="Arial" w:hAnsi="Arial"/>
          <w:sz w:val="18"/>
          <w:szCs w:val="18"/>
          <w:color w:val="auto"/>
        </w:rPr>
      </w:pPr>
    </w:p>
    <w:p>
      <w:pPr>
        <w:jc w:val="both"/>
        <w:ind w:left="660" w:right="20"/>
        <w:spacing w:after="0"/>
        <w:rPr>
          <w:rFonts w:ascii="Arial" w:cs="Arial" w:eastAsia="Arial" w:hAnsi="Arial"/>
          <w:sz w:val="18"/>
          <w:szCs w:val="18"/>
          <w:color w:val="auto"/>
        </w:rPr>
      </w:pPr>
      <w:r>
        <w:rPr>
          <w:rFonts w:ascii="Arial" w:cs="Arial" w:eastAsia="Arial" w:hAnsi="Arial"/>
          <w:sz w:val="20"/>
          <w:szCs w:val="20"/>
          <w:color w:val="auto"/>
        </w:rPr>
        <w:t>Significant* Engineering, Procurement support, and Construction management services contract by Neste for the expansion of their renewable products refinery in Singapore. The expansion aims at meeting the market demand for renewable products.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“significant” award ranges between $75 million and $250 million (TechnipFMC share).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award was announced during the period and will be included in the first quarter 2019 inbound orders:</w:t>
      </w:r>
    </w:p>
    <w:p>
      <w:pPr>
        <w:spacing w:after="0" w:line="36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20"/>
          <w:szCs w:val="20"/>
          <w:b w:val="1"/>
          <w:bCs w:val="1"/>
          <w:color w:val="auto"/>
        </w:rPr>
        <w:t xml:space="preserve">MIDOR Refinery Expansion and Modernization </w:t>
      </w:r>
      <w:r>
        <w:rPr>
          <w:rFonts w:ascii="Arial" w:cs="Arial" w:eastAsia="Arial" w:hAnsi="Arial"/>
          <w:sz w:val="18"/>
          <w:szCs w:val="18"/>
          <w:b w:val="1"/>
          <w:bCs w:val="1"/>
          <w:color w:val="auto"/>
        </w:rPr>
        <w:t>(Egypt)</w:t>
      </w:r>
    </w:p>
    <w:p>
      <w:pPr>
        <w:spacing w:after="0" w:line="23" w:lineRule="exact"/>
        <w:rPr>
          <w:rFonts w:ascii="Arial" w:cs="Arial" w:eastAsia="Arial" w:hAnsi="Arial"/>
          <w:sz w:val="18"/>
          <w:szCs w:val="18"/>
          <w:color w:val="auto"/>
        </w:rPr>
      </w:pPr>
    </w:p>
    <w:p>
      <w:pPr>
        <w:jc w:val="both"/>
        <w:ind w:left="660" w:right="20"/>
        <w:spacing w:after="0"/>
        <w:rPr>
          <w:rFonts w:ascii="Arial" w:cs="Arial" w:eastAsia="Arial" w:hAnsi="Arial"/>
          <w:sz w:val="18"/>
          <w:szCs w:val="18"/>
          <w:color w:val="auto"/>
        </w:rPr>
      </w:pPr>
      <w:r>
        <w:rPr>
          <w:rFonts w:ascii="Arial" w:cs="Arial" w:eastAsia="Arial" w:hAnsi="Arial"/>
          <w:sz w:val="20"/>
          <w:szCs w:val="20"/>
          <w:color w:val="auto"/>
        </w:rPr>
        <w:t>Major* Engineering, Procurement, and Construction (EPC) contract by Middle East Oil Refinery (MIDOR) for the modernization and expansion of their existing complex near Alexandria, Egypt. TechnipFMC has successfully completed the remaining conditions required to enable work to commence on the contract.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A “major” award is over $1 billion (TechnipFMC share).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Borders>
              <w:top w:val="single" w:sz="8" w:color="B6DDE8"/>
              <w:right w:val="single" w:sz="8" w:color="B6DDE8"/>
            </w:tcBorders>
            <w:shd w:val="clear" w:color="auto" w:fill="B6DDE8"/>
          </w:tcPr>
          <w:p>
            <w:pPr>
              <w:spacing w:after="0"/>
              <w:rPr>
                <w:sz w:val="22"/>
                <w:szCs w:val="22"/>
                <w:color w:val="auto"/>
              </w:rPr>
            </w:pPr>
          </w:p>
        </w:tc>
        <w:tc>
          <w:tcPr>
            <w:tcW w:w="730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Onshore/Offshore</w:t>
            </w:r>
          </w:p>
        </w:tc>
        <w:tc>
          <w:tcPr>
            <w:tcW w:w="2040" w:type="dxa"/>
            <w:vAlign w:val="bottom"/>
            <w:tcBorders>
              <w:top w:val="single" w:sz="8" w:color="B6DDE8"/>
              <w:right w:val="single" w:sz="8" w:color="B6DDE8"/>
            </w:tcBorders>
            <w:vMerge w:val="restart"/>
          </w:tcPr>
          <w:p>
            <w:pPr>
              <w:jc w:val="right"/>
              <w:spacing w:after="0"/>
              <w:rPr>
                <w:sz w:val="20"/>
                <w:szCs w:val="20"/>
                <w:color w:val="auto"/>
              </w:rPr>
            </w:pPr>
            <w:r>
              <w:rPr>
                <w:rFonts w:ascii="Arial" w:cs="Arial" w:eastAsia="Arial" w:hAnsi="Arial"/>
                <w:sz w:val="20"/>
                <w:szCs w:val="20"/>
                <w:color w:val="auto"/>
              </w:rPr>
              <w:t>Consolidated backlog</w:t>
            </w:r>
          </w:p>
        </w:tc>
        <w:tc>
          <w:tcPr>
            <w:tcW w:w="2060" w:type="dxa"/>
            <w:vAlign w:val="bottom"/>
            <w:tcBorders>
              <w:top w:val="single" w:sz="8" w:color="B6DDE8"/>
              <w:right w:val="single" w:sz="8" w:color="B6DDE8"/>
            </w:tcBorders>
            <w:vMerge w:val="restart"/>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65"/>
        </w:trPr>
        <w:tc>
          <w:tcPr>
            <w:tcW w:w="40" w:type="dxa"/>
            <w:vAlign w:val="bottom"/>
            <w:tcBorders>
              <w:right w:val="single" w:sz="8" w:color="B6DDE8"/>
            </w:tcBorders>
            <w:shd w:val="clear" w:color="auto" w:fill="B6DDE8"/>
          </w:tcPr>
          <w:p>
            <w:pPr>
              <w:spacing w:after="0"/>
              <w:rPr>
                <w:sz w:val="5"/>
                <w:szCs w:val="5"/>
                <w:color w:val="auto"/>
              </w:rPr>
            </w:pPr>
          </w:p>
        </w:tc>
        <w:tc>
          <w:tcPr>
            <w:tcW w:w="7300" w:type="dxa"/>
            <w:vAlign w:val="bottom"/>
            <w:tcBorders>
              <w:right w:val="single" w:sz="8" w:color="B6DDE8"/>
            </w:tcBorders>
            <w:vMerge w:val="restart"/>
          </w:tcPr>
          <w:p>
            <w:pPr>
              <w:spacing w:after="0"/>
              <w:rPr>
                <w:sz w:val="20"/>
                <w:szCs w:val="20"/>
                <w:color w:val="auto"/>
              </w:rPr>
            </w:pPr>
            <w:r>
              <w:rPr>
                <w:rFonts w:ascii="Arial" w:cs="Arial" w:eastAsia="Arial" w:hAnsi="Arial"/>
                <w:sz w:val="18"/>
                <w:szCs w:val="18"/>
                <w:color w:val="auto"/>
              </w:rPr>
              <w:t>Estimated Backlog Scheduling as of December 31, 2018</w:t>
            </w:r>
          </w:p>
        </w:tc>
        <w:tc>
          <w:tcPr>
            <w:tcW w:w="2040" w:type="dxa"/>
            <w:vAlign w:val="bottom"/>
            <w:tcBorders>
              <w:right w:val="single" w:sz="8" w:color="B6DDE8"/>
            </w:tcBorders>
            <w:vMerge w:val="continue"/>
          </w:tcPr>
          <w:p>
            <w:pPr>
              <w:spacing w:after="0"/>
              <w:rPr>
                <w:sz w:val="5"/>
                <w:szCs w:val="5"/>
                <w:color w:val="auto"/>
              </w:rPr>
            </w:pPr>
          </w:p>
        </w:tc>
        <w:tc>
          <w:tcPr>
            <w:tcW w:w="2060" w:type="dxa"/>
            <w:vAlign w:val="bottom"/>
            <w:tcBorders>
              <w:right w:val="single" w:sz="8" w:color="B6DDE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B6DDE8"/>
            </w:tcBorders>
            <w:shd w:val="clear" w:color="auto" w:fill="B6DDE8"/>
          </w:tcPr>
          <w:p>
            <w:pPr>
              <w:spacing w:after="0"/>
              <w:rPr>
                <w:sz w:val="12"/>
                <w:szCs w:val="12"/>
                <w:color w:val="auto"/>
              </w:rPr>
            </w:pPr>
          </w:p>
        </w:tc>
        <w:tc>
          <w:tcPr>
            <w:tcW w:w="730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continue"/>
          </w:tcPr>
          <w:p>
            <w:pPr>
              <w:spacing w:after="0"/>
              <w:rPr>
                <w:sz w:val="12"/>
                <w:szCs w:val="12"/>
                <w:color w:val="auto"/>
              </w:rPr>
            </w:pPr>
          </w:p>
        </w:tc>
        <w:tc>
          <w:tcPr>
            <w:tcW w:w="2060" w:type="dxa"/>
            <w:vAlign w:val="bottom"/>
            <w:tcBorders>
              <w:right w:val="single" w:sz="8" w:color="B6DDE8"/>
            </w:tcBorders>
            <w:vMerge w:val="restart"/>
          </w:tcPr>
          <w:p>
            <w:pPr>
              <w:jc w:val="right"/>
              <w:ind w:right="56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94"/>
        </w:trPr>
        <w:tc>
          <w:tcPr>
            <w:tcW w:w="40" w:type="dxa"/>
            <w:vAlign w:val="bottom"/>
            <w:tcBorders>
              <w:right w:val="single" w:sz="8" w:color="B6DDE8"/>
            </w:tcBorders>
            <w:shd w:val="clear" w:color="auto" w:fill="B6DDE8"/>
          </w:tcPr>
          <w:p>
            <w:pPr>
              <w:spacing w:after="0"/>
              <w:rPr>
                <w:sz w:val="8"/>
                <w:szCs w:val="8"/>
                <w:color w:val="auto"/>
              </w:rPr>
            </w:pPr>
          </w:p>
        </w:tc>
        <w:tc>
          <w:tcPr>
            <w:tcW w:w="730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8"/>
                <w:szCs w:val="8"/>
                <w:color w:val="auto"/>
              </w:rPr>
            </w:pPr>
          </w:p>
        </w:tc>
        <w:tc>
          <w:tcPr>
            <w:tcW w:w="2060" w:type="dxa"/>
            <w:vAlign w:val="bottom"/>
            <w:tcBorders>
              <w:right w:val="single" w:sz="8" w:color="B6DDE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B6DDE8"/>
              <w:right w:val="single" w:sz="8" w:color="B6DDE8"/>
            </w:tcBorders>
            <w:shd w:val="clear" w:color="auto" w:fill="B6DDE8"/>
          </w:tcPr>
          <w:p>
            <w:pPr>
              <w:spacing w:after="0"/>
              <w:rPr>
                <w:sz w:val="8"/>
                <w:szCs w:val="8"/>
                <w:color w:val="auto"/>
              </w:rPr>
            </w:pPr>
          </w:p>
        </w:tc>
        <w:tc>
          <w:tcPr>
            <w:tcW w:w="7300" w:type="dxa"/>
            <w:vAlign w:val="bottom"/>
            <w:tcBorders>
              <w:bottom w:val="single" w:sz="8" w:color="B8CCE4"/>
              <w:right w:val="single" w:sz="8" w:color="B6DDE8"/>
            </w:tcBorders>
            <w:vMerge w:val="continue"/>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2060" w:type="dxa"/>
            <w:vAlign w:val="bottom"/>
            <w:tcBorders>
              <w:bottom w:val="single" w:sz="8" w:color="B8CCE4"/>
              <w:right w:val="single" w:sz="8" w:color="B6DDE8"/>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30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2019</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$5,335.1</w:t>
            </w:r>
          </w:p>
        </w:tc>
        <w:tc>
          <w:tcPr>
            <w:tcW w:w="2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$676.1</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30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$1,732.9</w:t>
            </w:r>
          </w:p>
        </w:tc>
        <w:tc>
          <w:tcPr>
            <w:tcW w:w="2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$587.7</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30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$1,022.5</w:t>
            </w:r>
          </w:p>
        </w:tc>
        <w:tc>
          <w:tcPr>
            <w:tcW w:w="2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$484.7</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30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$8,090.5</w:t>
            </w:r>
          </w:p>
        </w:tc>
        <w:tc>
          <w:tcPr>
            <w:tcW w:w="206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$1,748.5</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right="560" w:hanging="5"/>
        <w:spacing w:after="0" w:line="267" w:lineRule="auto"/>
        <w:tabs>
          <w:tab w:leader="none" w:pos="1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ectPr>
          <w:pgSz w:w="11900" w:h="16838" w:orient="portrait"/>
          <w:cols w:equalWidth="0" w:num="1">
            <w:col w:w="11440"/>
          </w:cols>
          <w:pgMar w:left="240" w:top="1216" w:right="219" w:bottom="1440" w:gutter="0" w:footer="0" w:header="0"/>
        </w:sectPr>
      </w:pPr>
    </w:p>
    <w:bookmarkStart w:id="12" w:name="page13"/>
    <w:bookmarkEnd w:id="12"/>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Borders>
              <w:top w:val="single" w:sz="8" w:color="B8CCE4"/>
              <w:right w:val="single" w:sz="8" w:color="B8CCE4"/>
            </w:tcBorders>
            <w:shd w:val="clear" w:color="auto" w:fill="B8CCE4"/>
          </w:tcPr>
          <w:p>
            <w:pPr>
              <w:spacing w:after="0"/>
              <w:rPr>
                <w:sz w:val="16"/>
                <w:szCs w:val="16"/>
                <w:color w:val="auto"/>
              </w:rPr>
            </w:pPr>
          </w:p>
        </w:tc>
        <w:tc>
          <w:tcPr>
            <w:tcW w:w="5940" w:type="dxa"/>
            <w:vAlign w:val="bottom"/>
            <w:tcBorders>
              <w:top w:val="single" w:sz="8" w:color="B8CCE4"/>
              <w:right w:val="single" w:sz="8" w:color="B8CCE4"/>
            </w:tcBorders>
          </w:tcPr>
          <w:p>
            <w:pPr>
              <w:spacing w:after="0"/>
              <w:rPr>
                <w:sz w:val="20"/>
                <w:szCs w:val="20"/>
                <w:color w:val="auto"/>
              </w:rPr>
            </w:pPr>
            <w:r>
              <w:rPr>
                <w:rFonts w:ascii="Arial" w:cs="Arial" w:eastAsia="Arial" w:hAnsi="Arial"/>
                <w:sz w:val="14"/>
                <w:szCs w:val="14"/>
                <w:b w:val="1"/>
                <w:bCs w:val="1"/>
                <w:color w:val="auto"/>
              </w:rPr>
              <w:t>Three Months Ended</w:t>
            </w:r>
          </w:p>
        </w:tc>
        <w:tc>
          <w:tcPr>
            <w:tcW w:w="1820" w:type="dxa"/>
            <w:vAlign w:val="bottom"/>
            <w:tcBorders>
              <w:top w:val="single" w:sz="8" w:color="B8CCE4"/>
              <w:right w:val="single" w:sz="8" w:color="B8CCE4"/>
            </w:tcBorders>
          </w:tcPr>
          <w:p>
            <w:pPr>
              <w:spacing w:after="0"/>
              <w:rPr>
                <w:sz w:val="16"/>
                <w:szCs w:val="16"/>
                <w:color w:val="auto"/>
              </w:rPr>
            </w:pPr>
          </w:p>
        </w:tc>
        <w:tc>
          <w:tcPr>
            <w:tcW w:w="1820" w:type="dxa"/>
            <w:vAlign w:val="bottom"/>
            <w:tcBorders>
              <w:top w:val="single" w:sz="8" w:color="B8CCE4"/>
              <w:right w:val="single" w:sz="8" w:color="B8CCE4"/>
            </w:tcBorders>
          </w:tcPr>
          <w:p>
            <w:pPr>
              <w:spacing w:after="0"/>
              <w:rPr>
                <w:sz w:val="16"/>
                <w:szCs w:val="16"/>
                <w:color w:val="auto"/>
              </w:rPr>
            </w:pPr>
          </w:p>
        </w:tc>
        <w:tc>
          <w:tcPr>
            <w:tcW w:w="1820" w:type="dxa"/>
            <w:vAlign w:val="bottom"/>
            <w:tcBorders>
              <w:top w:val="single" w:sz="8" w:color="B8CCE4"/>
              <w:right w:val="single" w:sz="8" w:color="B8CCE4"/>
            </w:tcBorders>
          </w:tcPr>
          <w:p>
            <w:pPr>
              <w:spacing w:after="0"/>
              <w:rPr>
                <w:sz w:val="16"/>
                <w:szCs w:val="16"/>
                <w:color w:val="auto"/>
              </w:rPr>
            </w:pPr>
          </w:p>
        </w:tc>
      </w:tr>
      <w:tr>
        <w:trPr>
          <w:trHeight w:val="209"/>
        </w:trPr>
        <w:tc>
          <w:tcPr>
            <w:tcW w:w="40" w:type="dxa"/>
            <w:vAlign w:val="bottom"/>
            <w:tcBorders>
              <w:bottom w:val="single" w:sz="8" w:color="B8CCE4"/>
              <w:right w:val="single" w:sz="8" w:color="B8CCE4"/>
            </w:tcBorders>
            <w:shd w:val="clear" w:color="auto" w:fill="B8CCE4"/>
          </w:tcPr>
          <w:p>
            <w:pPr>
              <w:spacing w:after="0"/>
              <w:rPr>
                <w:sz w:val="18"/>
                <w:szCs w:val="18"/>
                <w:color w:val="auto"/>
              </w:rPr>
            </w:pPr>
          </w:p>
        </w:tc>
        <w:tc>
          <w:tcPr>
            <w:tcW w:w="5940" w:type="dxa"/>
            <w:vAlign w:val="bottom"/>
            <w:tcBorders>
              <w:bottom w:val="single" w:sz="8" w:color="95B3D7"/>
              <w:right w:val="single" w:sz="8" w:color="B8CCE4"/>
            </w:tcBorders>
          </w:tcPr>
          <w:p>
            <w:pPr>
              <w:spacing w:after="0"/>
              <w:rPr>
                <w:sz w:val="20"/>
                <w:szCs w:val="20"/>
                <w:color w:val="auto"/>
              </w:rPr>
            </w:pPr>
            <w:r>
              <w:rPr>
                <w:rFonts w:ascii="Arial" w:cs="Arial" w:eastAsia="Arial" w:hAnsi="Arial"/>
                <w:sz w:val="14"/>
                <w:szCs w:val="14"/>
                <w:b w:val="1"/>
                <w:bCs w:val="1"/>
                <w:color w:val="auto"/>
              </w:rPr>
              <w:t>(In millions)</w:t>
            </w:r>
          </w:p>
        </w:tc>
        <w:tc>
          <w:tcPr>
            <w:tcW w:w="1820" w:type="dxa"/>
            <w:vAlign w:val="bottom"/>
            <w:tcBorders>
              <w:bottom w:val="single" w:sz="8" w:color="95B3D7"/>
              <w:right w:val="single" w:sz="8" w:color="B8CCE4"/>
            </w:tcBorders>
          </w:tcPr>
          <w:p>
            <w:pPr>
              <w:jc w:val="right"/>
              <w:ind w:right="185"/>
              <w:spacing w:after="0"/>
              <w:rPr>
                <w:sz w:val="20"/>
                <w:szCs w:val="20"/>
                <w:color w:val="auto"/>
              </w:rPr>
            </w:pPr>
            <w:r>
              <w:rPr>
                <w:rFonts w:ascii="Arial" w:cs="Arial" w:eastAsia="Arial" w:hAnsi="Arial"/>
                <w:sz w:val="14"/>
                <w:szCs w:val="14"/>
                <w:b w:val="1"/>
                <w:bCs w:val="1"/>
                <w:color w:val="auto"/>
              </w:rPr>
              <w:t>December 31, 2018</w:t>
            </w:r>
          </w:p>
        </w:tc>
        <w:tc>
          <w:tcPr>
            <w:tcW w:w="1820" w:type="dxa"/>
            <w:vAlign w:val="bottom"/>
            <w:tcBorders>
              <w:bottom w:val="single" w:sz="8" w:color="95B3D7"/>
              <w:right w:val="single" w:sz="8" w:color="B8CCE4"/>
            </w:tcBorders>
          </w:tcPr>
          <w:p>
            <w:pPr>
              <w:jc w:val="right"/>
              <w:ind w:right="185"/>
              <w:spacing w:after="0"/>
              <w:rPr>
                <w:sz w:val="20"/>
                <w:szCs w:val="20"/>
                <w:color w:val="auto"/>
              </w:rPr>
            </w:pPr>
            <w:r>
              <w:rPr>
                <w:rFonts w:ascii="Arial" w:cs="Arial" w:eastAsia="Arial" w:hAnsi="Arial"/>
                <w:sz w:val="14"/>
                <w:szCs w:val="14"/>
                <w:b w:val="1"/>
                <w:bCs w:val="1"/>
                <w:color w:val="auto"/>
              </w:rPr>
              <w:t>December 31, 2017</w:t>
            </w:r>
          </w:p>
        </w:tc>
        <w:tc>
          <w:tcPr>
            <w:tcW w:w="1820" w:type="dxa"/>
            <w:vAlign w:val="bottom"/>
            <w:tcBorders>
              <w:bottom w:val="single" w:sz="8" w:color="95B3D7"/>
              <w:right w:val="single" w:sz="8" w:color="B8CCE4"/>
            </w:tcBorders>
          </w:tcPr>
          <w:p>
            <w:pPr>
              <w:jc w:val="right"/>
              <w:ind w:right="565"/>
              <w:spacing w:after="0"/>
              <w:rPr>
                <w:sz w:val="20"/>
                <w:szCs w:val="20"/>
                <w:color w:val="auto"/>
              </w:rPr>
            </w:pPr>
            <w:r>
              <w:rPr>
                <w:rFonts w:ascii="Arial" w:cs="Arial" w:eastAsia="Arial" w:hAnsi="Arial"/>
                <w:sz w:val="14"/>
                <w:szCs w:val="14"/>
                <w:b w:val="1"/>
                <w:bCs w:val="1"/>
                <w:color w:val="auto"/>
              </w:rPr>
              <w:t>Change</w:t>
            </w:r>
          </w:p>
        </w:tc>
      </w:tr>
      <w:tr>
        <w:trPr>
          <w:trHeight w:val="266"/>
        </w:trPr>
        <w:tc>
          <w:tcPr>
            <w:tcW w:w="40" w:type="dxa"/>
            <w:vAlign w:val="bottom"/>
            <w:tcBorders>
              <w:bottom w:val="single" w:sz="8" w:color="B8CCE4"/>
              <w:right w:val="single" w:sz="8" w:color="B8CCE4"/>
            </w:tcBorders>
            <w:shd w:val="clear" w:color="auto" w:fill="B8CCE4"/>
          </w:tcPr>
          <w:p>
            <w:pPr>
              <w:spacing w:after="0"/>
              <w:rPr>
                <w:sz w:val="23"/>
                <w:szCs w:val="23"/>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Revenue</w:t>
            </w:r>
          </w:p>
        </w:tc>
        <w:tc>
          <w:tcPr>
            <w:tcW w:w="1820" w:type="dxa"/>
            <w:vAlign w:val="bottom"/>
            <w:tcBorders>
              <w:bottom w:val="single" w:sz="8" w:color="B8CCE4"/>
              <w:right w:val="single" w:sz="8" w:color="B4C6E7"/>
            </w:tcBorders>
          </w:tcPr>
          <w:p>
            <w:pPr>
              <w:jc w:val="right"/>
              <w:spacing w:after="0"/>
              <w:rPr>
                <w:sz w:val="20"/>
                <w:szCs w:val="20"/>
                <w:color w:val="auto"/>
              </w:rPr>
            </w:pPr>
            <w:r>
              <w:rPr>
                <w:rFonts w:ascii="Arial" w:cs="Arial" w:eastAsia="Arial" w:hAnsi="Arial"/>
                <w:sz w:val="20"/>
                <w:szCs w:val="20"/>
                <w:color w:val="auto"/>
              </w:rPr>
              <w:t>$417.3</w:t>
            </w:r>
          </w:p>
        </w:tc>
        <w:tc>
          <w:tcPr>
            <w:tcW w:w="1820" w:type="dxa"/>
            <w:vAlign w:val="bottom"/>
            <w:tcBorders>
              <w:bottom w:val="single" w:sz="8" w:color="B8CCE4"/>
              <w:right w:val="single" w:sz="8" w:color="B4C6E7"/>
            </w:tcBorders>
          </w:tcPr>
          <w:p>
            <w:pPr>
              <w:jc w:val="right"/>
              <w:spacing w:after="0"/>
              <w:rPr>
                <w:sz w:val="20"/>
                <w:szCs w:val="20"/>
                <w:color w:val="auto"/>
              </w:rPr>
            </w:pPr>
            <w:r>
              <w:rPr>
                <w:rFonts w:ascii="Arial" w:cs="Arial" w:eastAsia="Arial" w:hAnsi="Arial"/>
                <w:sz w:val="20"/>
                <w:szCs w:val="20"/>
                <w:color w:val="auto"/>
              </w:rPr>
              <w:t>$372.3</w:t>
            </w:r>
          </w:p>
        </w:tc>
        <w:tc>
          <w:tcPr>
            <w:tcW w:w="1820" w:type="dxa"/>
            <w:vAlign w:val="bottom"/>
            <w:tcBorders>
              <w:bottom w:val="single" w:sz="8" w:color="B8CCE4"/>
              <w:right w:val="single" w:sz="8" w:color="B8CCE4"/>
            </w:tcBorders>
          </w:tcPr>
          <w:p>
            <w:pPr>
              <w:jc w:val="right"/>
              <w:ind w:right="545"/>
              <w:spacing w:after="0"/>
              <w:rPr>
                <w:sz w:val="20"/>
                <w:szCs w:val="20"/>
                <w:color w:val="auto"/>
              </w:rPr>
            </w:pPr>
            <w:r>
              <w:rPr>
                <w:rFonts w:ascii="Arial" w:cs="Arial" w:eastAsia="Arial" w:hAnsi="Arial"/>
                <w:sz w:val="20"/>
                <w:szCs w:val="20"/>
                <w:color w:val="auto"/>
              </w:rPr>
              <w:t>12.1%</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Operating profit</w:t>
            </w:r>
          </w:p>
        </w:tc>
        <w:tc>
          <w:tcPr>
            <w:tcW w:w="182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$38.8</w:t>
            </w:r>
          </w:p>
        </w:tc>
        <w:tc>
          <w:tcPr>
            <w:tcW w:w="182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$53.3</w:t>
            </w:r>
          </w:p>
        </w:tc>
        <w:tc>
          <w:tcPr>
            <w:tcW w:w="1820" w:type="dxa"/>
            <w:vAlign w:val="bottom"/>
            <w:tcBorders>
              <w:bottom w:val="single" w:sz="8" w:color="B8CCE4"/>
              <w:right w:val="single" w:sz="8" w:color="B8CCE4"/>
            </w:tcBorders>
          </w:tcPr>
          <w:p>
            <w:pPr>
              <w:jc w:val="right"/>
              <w:ind w:right="485"/>
              <w:spacing w:after="0"/>
              <w:rPr>
                <w:sz w:val="20"/>
                <w:szCs w:val="20"/>
                <w:color w:val="auto"/>
              </w:rPr>
            </w:pPr>
            <w:r>
              <w:rPr>
                <w:rFonts w:ascii="Arial" w:cs="Arial" w:eastAsia="Arial" w:hAnsi="Arial"/>
                <w:sz w:val="20"/>
                <w:szCs w:val="20"/>
                <w:color w:val="auto"/>
              </w:rPr>
              <w:t>(27.2%)</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w:t>
            </w:r>
          </w:p>
        </w:tc>
        <w:tc>
          <w:tcPr>
            <w:tcW w:w="182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$64.9</w:t>
            </w:r>
          </w:p>
        </w:tc>
        <w:tc>
          <w:tcPr>
            <w:tcW w:w="182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$75.8</w:t>
            </w:r>
          </w:p>
        </w:tc>
        <w:tc>
          <w:tcPr>
            <w:tcW w:w="1820" w:type="dxa"/>
            <w:vAlign w:val="bottom"/>
            <w:tcBorders>
              <w:bottom w:val="single" w:sz="8" w:color="B8CCE4"/>
              <w:right w:val="single" w:sz="8" w:color="B8CCE4"/>
            </w:tcBorders>
          </w:tcPr>
          <w:p>
            <w:pPr>
              <w:jc w:val="right"/>
              <w:ind w:right="485"/>
              <w:spacing w:after="0"/>
              <w:rPr>
                <w:sz w:val="20"/>
                <w:szCs w:val="20"/>
                <w:color w:val="auto"/>
              </w:rPr>
            </w:pPr>
            <w:r>
              <w:rPr>
                <w:rFonts w:ascii="Arial" w:cs="Arial" w:eastAsia="Arial" w:hAnsi="Arial"/>
                <w:sz w:val="20"/>
                <w:szCs w:val="20"/>
                <w:color w:val="auto"/>
              </w:rPr>
              <w:t>(14.4%)</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Adjusted EBITDA margin</w:t>
            </w:r>
          </w:p>
        </w:tc>
        <w:tc>
          <w:tcPr>
            <w:tcW w:w="182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15.6%</w:t>
            </w:r>
          </w:p>
        </w:tc>
        <w:tc>
          <w:tcPr>
            <w:tcW w:w="1820" w:type="dxa"/>
            <w:vAlign w:val="bottom"/>
            <w:tcBorders>
              <w:bottom w:val="single" w:sz="8" w:color="B4C6E7"/>
              <w:right w:val="single" w:sz="8" w:color="B4C6E7"/>
            </w:tcBorders>
          </w:tcPr>
          <w:p>
            <w:pPr>
              <w:jc w:val="right"/>
              <w:spacing w:after="0"/>
              <w:rPr>
                <w:sz w:val="20"/>
                <w:szCs w:val="20"/>
                <w:color w:val="auto"/>
              </w:rPr>
            </w:pPr>
            <w:r>
              <w:rPr>
                <w:rFonts w:ascii="Arial" w:cs="Arial" w:eastAsia="Arial" w:hAnsi="Arial"/>
                <w:sz w:val="20"/>
                <w:szCs w:val="20"/>
                <w:color w:val="auto"/>
              </w:rPr>
              <w:t>20.4%</w:t>
            </w:r>
          </w:p>
        </w:tc>
        <w:tc>
          <w:tcPr>
            <w:tcW w:w="1820" w:type="dxa"/>
            <w:vAlign w:val="bottom"/>
            <w:tcBorders>
              <w:bottom w:val="single" w:sz="8" w:color="B8CCE4"/>
              <w:right w:val="single" w:sz="8" w:color="B8CCE4"/>
            </w:tcBorders>
          </w:tcPr>
          <w:p>
            <w:pPr>
              <w:jc w:val="right"/>
              <w:ind w:right="405"/>
              <w:spacing w:after="0"/>
              <w:rPr>
                <w:sz w:val="20"/>
                <w:szCs w:val="20"/>
                <w:color w:val="auto"/>
              </w:rPr>
            </w:pPr>
            <w:r>
              <w:rPr>
                <w:rFonts w:ascii="Arial" w:cs="Arial" w:eastAsia="Arial" w:hAnsi="Arial"/>
                <w:sz w:val="20"/>
                <w:szCs w:val="20"/>
                <w:color w:val="auto"/>
              </w:rPr>
              <w:t>(481 bps)</w:t>
            </w:r>
          </w:p>
        </w:tc>
      </w:tr>
      <w:tr>
        <w:trPr>
          <w:trHeight w:val="322"/>
        </w:trPr>
        <w:tc>
          <w:tcPr>
            <w:tcW w:w="40" w:type="dxa"/>
            <w:vAlign w:val="bottom"/>
            <w:tcBorders>
              <w:bottom w:val="single" w:sz="8" w:color="B8CCE4"/>
              <w:right w:val="single" w:sz="8" w:color="B8CCE4"/>
            </w:tcBorders>
            <w:shd w:val="clear" w:color="auto" w:fill="B8CCE4"/>
          </w:tcPr>
          <w:p>
            <w:pPr>
              <w:spacing w:after="0"/>
              <w:rPr>
                <w:sz w:val="24"/>
                <w:szCs w:val="24"/>
                <w:color w:val="auto"/>
              </w:rPr>
            </w:pPr>
          </w:p>
        </w:tc>
        <w:tc>
          <w:tcPr>
            <w:tcW w:w="594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tcBorders>
          </w:tcPr>
          <w:p>
            <w:pPr>
              <w:spacing w:after="0"/>
              <w:rPr>
                <w:sz w:val="24"/>
                <w:szCs w:val="24"/>
                <w:color w:val="auto"/>
              </w:rPr>
            </w:pPr>
          </w:p>
        </w:tc>
        <w:tc>
          <w:tcPr>
            <w:tcW w:w="1820" w:type="dxa"/>
            <w:vAlign w:val="bottom"/>
            <w:tcBorders>
              <w:bottom w:val="single" w:sz="8" w:color="B8CCE4"/>
              <w:right w:val="single" w:sz="8" w:color="B8CCE4"/>
            </w:tcBorders>
          </w:tcPr>
          <w:p>
            <w:pPr>
              <w:spacing w:after="0"/>
              <w:rPr>
                <w:sz w:val="24"/>
                <w:szCs w:val="24"/>
                <w:color w:val="auto"/>
              </w:rPr>
            </w:pPr>
          </w:p>
        </w:tc>
      </w:tr>
      <w:tr>
        <w:trPr>
          <w:trHeight w:val="259"/>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Inbound orders</w:t>
            </w:r>
          </w:p>
        </w:tc>
        <w:tc>
          <w:tcPr>
            <w:tcW w:w="182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$435.1</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$392.9</w:t>
            </w:r>
          </w:p>
        </w:tc>
        <w:tc>
          <w:tcPr>
            <w:tcW w:w="1820" w:type="dxa"/>
            <w:vAlign w:val="bottom"/>
            <w:tcBorders>
              <w:bottom w:val="single" w:sz="8" w:color="B8CCE4"/>
              <w:right w:val="single" w:sz="8" w:color="B8CCE4"/>
            </w:tcBorders>
          </w:tcPr>
          <w:p>
            <w:pPr>
              <w:jc w:val="right"/>
              <w:ind w:right="545"/>
              <w:spacing w:after="0"/>
              <w:rPr>
                <w:sz w:val="20"/>
                <w:szCs w:val="20"/>
                <w:color w:val="auto"/>
              </w:rPr>
            </w:pPr>
            <w:r>
              <w:rPr>
                <w:rFonts w:ascii="Arial" w:cs="Arial" w:eastAsia="Arial" w:hAnsi="Arial"/>
                <w:sz w:val="20"/>
                <w:szCs w:val="20"/>
                <w:color w:val="auto"/>
              </w:rPr>
              <w:t>10.7%</w:t>
            </w:r>
          </w:p>
        </w:tc>
      </w:tr>
      <w:tr>
        <w:trPr>
          <w:trHeight w:val="264"/>
        </w:trPr>
        <w:tc>
          <w:tcPr>
            <w:tcW w:w="40" w:type="dxa"/>
            <w:vAlign w:val="bottom"/>
            <w:tcBorders>
              <w:bottom w:val="single" w:sz="8" w:color="B8CCE4"/>
              <w:right w:val="single" w:sz="8" w:color="B8CCE4"/>
            </w:tcBorders>
            <w:shd w:val="clear" w:color="auto" w:fill="B8CCE4"/>
          </w:tcPr>
          <w:p>
            <w:pPr>
              <w:spacing w:after="0"/>
              <w:rPr>
                <w:sz w:val="22"/>
                <w:szCs w:val="22"/>
                <w:color w:val="auto"/>
              </w:rPr>
            </w:pPr>
          </w:p>
        </w:tc>
        <w:tc>
          <w:tcPr>
            <w:tcW w:w="5940" w:type="dxa"/>
            <w:vAlign w:val="bottom"/>
            <w:tcBorders>
              <w:bottom w:val="single" w:sz="8" w:color="B8CCE4"/>
              <w:right w:val="single" w:sz="8" w:color="B8CCE4"/>
            </w:tcBorders>
          </w:tcPr>
          <w:p>
            <w:pPr>
              <w:spacing w:after="0"/>
              <w:rPr>
                <w:sz w:val="20"/>
                <w:szCs w:val="20"/>
                <w:color w:val="auto"/>
              </w:rPr>
            </w:pPr>
            <w:r>
              <w:rPr>
                <w:rFonts w:ascii="Arial" w:cs="Arial" w:eastAsia="Arial" w:hAnsi="Arial"/>
                <w:sz w:val="20"/>
                <w:szCs w:val="20"/>
                <w:b w:val="1"/>
                <w:bCs w:val="1"/>
                <w:color w:val="auto"/>
              </w:rPr>
              <w:t>Backlog</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$469.9</w:t>
            </w:r>
          </w:p>
        </w:tc>
        <w:tc>
          <w:tcPr>
            <w:tcW w:w="18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$409.8</w:t>
            </w:r>
          </w:p>
        </w:tc>
        <w:tc>
          <w:tcPr>
            <w:tcW w:w="1820" w:type="dxa"/>
            <w:vAlign w:val="bottom"/>
            <w:tcBorders>
              <w:bottom w:val="single" w:sz="8" w:color="B8CCE4"/>
              <w:right w:val="single" w:sz="8" w:color="B8CCE4"/>
            </w:tcBorders>
          </w:tcPr>
          <w:p>
            <w:pPr>
              <w:jc w:val="right"/>
              <w:ind w:right="545"/>
              <w:spacing w:after="0"/>
              <w:rPr>
                <w:sz w:val="20"/>
                <w:szCs w:val="20"/>
                <w:color w:val="auto"/>
              </w:rPr>
            </w:pPr>
            <w:r>
              <w:rPr>
                <w:rFonts w:ascii="Arial" w:cs="Arial" w:eastAsia="Arial" w:hAnsi="Arial"/>
                <w:sz w:val="20"/>
                <w:szCs w:val="20"/>
                <w:color w:val="auto"/>
              </w:rPr>
              <w:t>14.7%</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Surface Technologies reported fourth quarter revenue of $417.3 million. Revenue increased 12.1 percent from the prior-year quarter. Increased drilling activity in North America as well as market share gains drove wellhead product sales higher; sales of hydraulic fracturing rental equipment also moved higher as market share gains more than offset the market decline in completions activity. International revenue growth was driven by pressure control sales and aftermarket services.</w:t>
      </w:r>
    </w:p>
    <w:p>
      <w:pPr>
        <w:spacing w:after="0" w:line="16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Surface Technologies reported operating profit of $38.8 million; adjusted EBITDA was $64.9 million with a margin of 15.6 percent. Operating profit decreased versus the prior-year quarter primarily due to the rapid decline in flowline product sales, which resulted in an unfavorable product mix. The same factor drove the year-over-year decrease in adjusted EBITDA.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Surface Technologies Highlights</w:t>
      </w:r>
    </w:p>
    <w:p>
      <w:pPr>
        <w:spacing w:after="0" w:line="19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20"/>
          <w:szCs w:val="20"/>
          <w:b w:val="1"/>
          <w:bCs w:val="1"/>
          <w:color w:val="auto"/>
        </w:rPr>
        <w:t xml:space="preserve">Chevron Frame Agreement </w:t>
      </w:r>
      <w:r>
        <w:rPr>
          <w:rFonts w:ascii="Arial" w:cs="Arial" w:eastAsia="Arial" w:hAnsi="Arial"/>
          <w:sz w:val="18"/>
          <w:szCs w:val="18"/>
          <w:b w:val="1"/>
          <w:bCs w:val="1"/>
          <w:color w:val="auto"/>
        </w:rPr>
        <w:t>(North America)</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Covers the supply of surface wellheads, production trees, and related services in the United States and Canada.</w:t>
      </w:r>
    </w:p>
    <w:p>
      <w:pPr>
        <w:spacing w:after="0" w:line="200" w:lineRule="exact"/>
        <w:rPr>
          <w:sz w:val="20"/>
          <w:szCs w:val="20"/>
          <w:color w:val="auto"/>
        </w:rPr>
      </w:pPr>
    </w:p>
    <w:p>
      <w:pPr>
        <w:spacing w:after="0" w:line="23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Inbound orders for the quarter were $435.1 million. Full-year inbound orders were $1,686.6 million, resulting in a book-to-bill of 1.1.</w:t>
      </w:r>
    </w:p>
    <w:p>
      <w:pPr>
        <w:spacing w:after="0" w:line="161"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Backlog was $469.9 million. Given the short-cycle nature of the business, most orders are quickly converted into sales revenue; longer contracts are typically converted within twelve months.</w:t>
      </w:r>
    </w:p>
    <w:p>
      <w:pPr>
        <w:sectPr>
          <w:pgSz w:w="11900" w:h="16838" w:orient="portrait"/>
          <w:cols w:equalWidth="0" w:num="1">
            <w:col w:w="11440"/>
          </w:cols>
          <w:pgMar w:left="240" w:top="1354" w:right="21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Corporate and Other Items</w:t>
      </w: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Corporate expense in the fourth quarter was $393.6 million. This includes a provision of $280 million as a probable estimate for the aggregate settlement of investigations regarding historical projects, and charges and credits totaling $23.3 million relating to merger and integration costs, restructuring and other severance charges, and purchase price accounting adjustments. Excluding charges and credits, corporate expense was $90.3 million; this included $38.7 million of foreign exchange losses.</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Net interest expense was $116.6 million in the quarter, which included an increase in the liability payable to joint venture partners of $108.8 million.</w:t>
      </w:r>
    </w:p>
    <w:p>
      <w:pPr>
        <w:spacing w:after="0" w:line="161" w:lineRule="exact"/>
        <w:rPr>
          <w:sz w:val="20"/>
          <w:szCs w:val="20"/>
          <w:color w:val="auto"/>
        </w:rPr>
      </w:pPr>
    </w:p>
    <w:p>
      <w:pPr>
        <w:ind w:right="340"/>
        <w:spacing w:after="0" w:line="247" w:lineRule="auto"/>
        <w:rPr>
          <w:sz w:val="20"/>
          <w:szCs w:val="20"/>
          <w:color w:val="auto"/>
        </w:rPr>
      </w:pPr>
      <w:r>
        <w:rPr>
          <w:rFonts w:ascii="Arial" w:cs="Arial" w:eastAsia="Arial" w:hAnsi="Arial"/>
          <w:sz w:val="20"/>
          <w:szCs w:val="20"/>
          <w:color w:val="auto"/>
        </w:rPr>
        <w:t>The Company recorded a tax provision during the quarter of $242 million. The provision was impacted by a true-up for U.S. tax reform of $11.8 million and a valuation allowance of $202.4 million.</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Total depreciation and amortization for the quarter was $137.9 million, including depreciation and amortization related to purchase price accounting for the merger of $24 million.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expenditures were $112.9 million during the quarter; expenditures were $368.1 million for the full year.</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repurchased 2.5 million shares during the quarter for total consideration of $58.4 million. During the quarter, the Company completed the $500 million share repurchase program that was implemented in October 2017. The Board of Directors approved an additional $300 million share repurchase program in December 2018.</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Cash flow from operations in the quarter was $159.3 million. The Company ended the period with cash and cash equivalents of $5,540 million; net cash was $1,348.3 million.</w:t>
      </w:r>
    </w:p>
    <w:p>
      <w:pPr>
        <w:sectPr>
          <w:pgSz w:w="11900" w:h="16838" w:orient="portrait"/>
          <w:cols w:equalWidth="0" w:num="1">
            <w:col w:w="11420"/>
          </w:cols>
          <w:pgMar w:left="240" w:top="1192" w:right="2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2019 Financial Guidance</w:t>
      </w:r>
      <w:r>
        <w:rPr>
          <w:rFonts w:ascii="Arial" w:cs="Arial" w:eastAsia="Arial" w:hAnsi="Arial"/>
          <w:sz w:val="25"/>
          <w:szCs w:val="25"/>
          <w:b w:val="1"/>
          <w:bCs w:val="1"/>
          <w:color w:val="auto"/>
          <w:vertAlign w:val="superscript"/>
        </w:rPr>
        <w:t>1</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 for 2019 can be found in the table below. The following update is reflected in the outlook:</w:t>
      </w:r>
    </w:p>
    <w:p>
      <w:pPr>
        <w:spacing w:after="0" w:line="108" w:lineRule="exact"/>
        <w:rPr>
          <w:sz w:val="20"/>
          <w:szCs w:val="20"/>
          <w:color w:val="auto"/>
        </w:rPr>
      </w:pPr>
    </w:p>
    <w:p>
      <w:pPr>
        <w:ind w:left="660" w:hanging="328"/>
        <w:spacing w:after="0" w:line="247"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Capital expenditures of approximately $350 million for the full year, a decrease from the previous guidance of approximately $400 million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216535</wp:posOffset>
            </wp:positionV>
            <wp:extent cx="686943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9430" cy="300355"/>
                    </a:xfrm>
                    <a:prstGeom prst="rect">
                      <a:avLst/>
                    </a:prstGeom>
                    <a:noFill/>
                  </pic:spPr>
                </pic:pic>
              </a:graphicData>
            </a:graphic>
          </wp:anchor>
        </w:drawing>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2019 Guidance </w:t>
      </w:r>
      <w:r>
        <w:rPr>
          <w:rFonts w:ascii="Arial" w:cs="Arial" w:eastAsia="Arial" w:hAnsi="Arial"/>
          <w:sz w:val="14"/>
          <w:szCs w:val="14"/>
          <w:i w:val="1"/>
          <w:iCs w:val="1"/>
          <w:color w:val="auto"/>
        </w:rPr>
        <w:t>*Updated February 20, 2019</w:t>
      </w:r>
    </w:p>
    <w:p>
      <w:pPr>
        <w:spacing w:after="0" w:line="200" w:lineRule="exact"/>
        <w:rPr>
          <w:sz w:val="20"/>
          <w:szCs w:val="20"/>
          <w:color w:val="auto"/>
        </w:rPr>
      </w:pPr>
    </w:p>
    <w:p>
      <w:pPr>
        <w:spacing w:after="0" w:line="334" w:lineRule="exact"/>
        <w:rPr>
          <w:sz w:val="20"/>
          <w:szCs w:val="20"/>
          <w:color w:val="auto"/>
        </w:rPr>
      </w:pPr>
    </w:p>
    <w:tbl>
      <w:tblPr>
        <w:tblLayout w:type="fixed"/>
        <w:tblInd w:w="330" w:type="dxa"/>
        <w:tblCellMar>
          <w:top w:w="0" w:type="dxa"/>
          <w:left w:w="0" w:type="dxa"/>
          <w:bottom w:w="0" w:type="dxa"/>
          <w:right w:w="0" w:type="dxa"/>
        </w:tblCellMar>
      </w:tblPr>
      <w:tr>
        <w:trPr>
          <w:trHeight w:val="279"/>
        </w:trPr>
        <w:tc>
          <w:tcPr>
            <w:tcW w:w="3260" w:type="dxa"/>
            <w:vAlign w:val="bottom"/>
            <w:tcBorders>
              <w:top w:val="single" w:sz="8" w:color="auto"/>
              <w:left w:val="single" w:sz="8" w:color="auto"/>
              <w:bottom w:val="single" w:sz="8" w:color="auto"/>
              <w:right w:val="single" w:sz="8" w:color="auto"/>
            </w:tcBorders>
            <w:shd w:val="clear" w:color="auto" w:fill="00A3E0"/>
          </w:tcPr>
          <w:p>
            <w:pPr>
              <w:ind w:left="1260"/>
              <w:spacing w:after="0"/>
              <w:rPr>
                <w:sz w:val="20"/>
                <w:szCs w:val="20"/>
                <w:color w:val="auto"/>
              </w:rPr>
            </w:pPr>
            <w:r>
              <w:rPr>
                <w:rFonts w:ascii="Arial" w:cs="Arial" w:eastAsia="Arial" w:hAnsi="Arial"/>
                <w:sz w:val="20"/>
                <w:szCs w:val="20"/>
                <w:b w:val="1"/>
                <w:bCs w:val="1"/>
                <w:color w:val="FFFFFF"/>
              </w:rPr>
              <w:t>Subsea</w:t>
            </w:r>
          </w:p>
        </w:tc>
        <w:tc>
          <w:tcPr>
            <w:tcW w:w="320" w:type="dxa"/>
            <w:vAlign w:val="bottom"/>
            <w:tcBorders>
              <w:top w:val="single" w:sz="8" w:color="auto"/>
              <w:right w:val="single" w:sz="8" w:color="auto"/>
            </w:tcBorders>
          </w:tcPr>
          <w:p>
            <w:pPr>
              <w:spacing w:after="0"/>
              <w:rPr>
                <w:sz w:val="24"/>
                <w:szCs w:val="24"/>
                <w:color w:val="auto"/>
              </w:rPr>
            </w:pPr>
          </w:p>
        </w:tc>
        <w:tc>
          <w:tcPr>
            <w:tcW w:w="3460" w:type="dxa"/>
            <w:vAlign w:val="bottom"/>
            <w:tcBorders>
              <w:top w:val="single" w:sz="8" w:color="auto"/>
              <w:bottom w:val="single" w:sz="8" w:color="auto"/>
              <w:right w:val="single" w:sz="8" w:color="auto"/>
            </w:tcBorders>
            <w:shd w:val="clear" w:color="auto" w:fill="C00000"/>
          </w:tcPr>
          <w:p>
            <w:pPr>
              <w:ind w:left="860"/>
              <w:spacing w:after="0"/>
              <w:rPr>
                <w:sz w:val="20"/>
                <w:szCs w:val="20"/>
                <w:color w:val="auto"/>
              </w:rPr>
            </w:pPr>
            <w:r>
              <w:rPr>
                <w:rFonts w:ascii="Arial" w:cs="Arial" w:eastAsia="Arial" w:hAnsi="Arial"/>
                <w:sz w:val="20"/>
                <w:szCs w:val="20"/>
                <w:b w:val="1"/>
                <w:bCs w:val="1"/>
                <w:color w:val="FFFFFF"/>
              </w:rPr>
              <w:t>Onshore/Offshore</w:t>
            </w:r>
          </w:p>
        </w:tc>
        <w:tc>
          <w:tcPr>
            <w:tcW w:w="320" w:type="dxa"/>
            <w:vAlign w:val="bottom"/>
            <w:tcBorders>
              <w:top w:val="single" w:sz="8" w:color="auto"/>
              <w:right w:val="single" w:sz="8" w:color="auto"/>
            </w:tcBorders>
          </w:tcPr>
          <w:p>
            <w:pPr>
              <w:spacing w:after="0"/>
              <w:rPr>
                <w:sz w:val="24"/>
                <w:szCs w:val="24"/>
                <w:color w:val="auto"/>
              </w:rPr>
            </w:pPr>
          </w:p>
        </w:tc>
        <w:tc>
          <w:tcPr>
            <w:tcW w:w="3460" w:type="dxa"/>
            <w:vAlign w:val="bottom"/>
            <w:tcBorders>
              <w:top w:val="single" w:sz="8" w:color="auto"/>
              <w:bottom w:val="single" w:sz="8" w:color="auto"/>
              <w:right w:val="single" w:sz="8" w:color="auto"/>
            </w:tcBorders>
            <w:shd w:val="clear" w:color="auto" w:fill="7F7F7F"/>
          </w:tcPr>
          <w:p>
            <w:pPr>
              <w:ind w:left="700"/>
              <w:spacing w:after="0"/>
              <w:rPr>
                <w:sz w:val="20"/>
                <w:szCs w:val="20"/>
                <w:color w:val="auto"/>
              </w:rPr>
            </w:pPr>
            <w:r>
              <w:rPr>
                <w:rFonts w:ascii="Arial" w:cs="Arial" w:eastAsia="Arial" w:hAnsi="Arial"/>
                <w:sz w:val="20"/>
                <w:szCs w:val="20"/>
                <w:b w:val="1"/>
                <w:bCs w:val="1"/>
                <w:color w:val="FFFFFF"/>
              </w:rPr>
              <w:t>Surface Technologies</w:t>
            </w:r>
          </w:p>
        </w:tc>
      </w:tr>
      <w:tr>
        <w:trPr>
          <w:trHeight w:val="237"/>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Revenue in a range of $5.4 - 5.7</w:t>
            </w:r>
          </w:p>
        </w:tc>
        <w:tc>
          <w:tcPr>
            <w:tcW w:w="32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Revenue in a range of $5.7 - 6.0</w:t>
            </w:r>
          </w:p>
        </w:tc>
        <w:tc>
          <w:tcPr>
            <w:tcW w:w="32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Revenue in a range of $1.7 - 1.8</w:t>
            </w:r>
          </w:p>
        </w:tc>
      </w:tr>
      <w:tr>
        <w:trPr>
          <w:trHeight w:val="237"/>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billion</w:t>
            </w:r>
          </w:p>
        </w:tc>
        <w:tc>
          <w:tcPr>
            <w:tcW w:w="32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billion</w:t>
            </w:r>
          </w:p>
        </w:tc>
        <w:tc>
          <w:tcPr>
            <w:tcW w:w="32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billion</w:t>
            </w:r>
          </w:p>
        </w:tc>
      </w:tr>
      <w:tr>
        <w:trPr>
          <w:trHeight w:val="573"/>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EBITDA margin at least 11%</w:t>
            </w:r>
          </w:p>
        </w:tc>
        <w:tc>
          <w:tcPr>
            <w:tcW w:w="32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r>
      <w:tr>
        <w:trPr>
          <w:trHeight w:val="216"/>
        </w:trPr>
        <w:tc>
          <w:tcPr>
            <w:tcW w:w="326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(excluding amortization related</w:t>
            </w:r>
          </w:p>
        </w:tc>
        <w:tc>
          <w:tcPr>
            <w:tcW w:w="32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EBITDA margin at least 12%</w:t>
            </w:r>
          </w:p>
        </w:tc>
        <w:tc>
          <w:tcPr>
            <w:tcW w:w="32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EBITDA margin at least 17%</w:t>
            </w:r>
          </w:p>
        </w:tc>
      </w:tr>
      <w:tr>
        <w:trPr>
          <w:trHeight w:val="216"/>
        </w:trPr>
        <w:tc>
          <w:tcPr>
            <w:tcW w:w="326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impact of purchase price</w:t>
            </w:r>
          </w:p>
        </w:tc>
        <w:tc>
          <w:tcPr>
            <w:tcW w:w="32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(excluding amortization related impact</w:t>
            </w:r>
          </w:p>
        </w:tc>
        <w:tc>
          <w:tcPr>
            <w:tcW w:w="32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(excluding amortization related impact</w:t>
            </w:r>
          </w:p>
        </w:tc>
      </w:tr>
      <w:tr>
        <w:trPr>
          <w:trHeight w:val="216"/>
        </w:trPr>
        <w:tc>
          <w:tcPr>
            <w:tcW w:w="326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color w:val="auto"/>
              </w:rPr>
              <w:t>accounting, and other charges and</w:t>
            </w:r>
          </w:p>
        </w:tc>
        <w:tc>
          <w:tcPr>
            <w:tcW w:w="32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of purchase price accounting, and</w:t>
            </w:r>
          </w:p>
        </w:tc>
        <w:tc>
          <w:tcPr>
            <w:tcW w:w="32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of purchase price accounting, and</w:t>
            </w:r>
          </w:p>
        </w:tc>
      </w:tr>
      <w:tr>
        <w:trPr>
          <w:trHeight w:val="242"/>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credits)</w:t>
            </w:r>
          </w:p>
        </w:tc>
        <w:tc>
          <w:tcPr>
            <w:tcW w:w="320" w:type="dxa"/>
            <w:vAlign w:val="bottom"/>
            <w:tcBorders>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other charges and credits)</w:t>
            </w:r>
          </w:p>
        </w:tc>
        <w:tc>
          <w:tcPr>
            <w:tcW w:w="320" w:type="dxa"/>
            <w:vAlign w:val="bottom"/>
            <w:tcBorders>
              <w:right w:val="single" w:sz="8" w:color="auto"/>
            </w:tcBorders>
          </w:tcPr>
          <w:p>
            <w:pPr>
              <w:spacing w:after="0"/>
              <w:rPr>
                <w:sz w:val="21"/>
                <w:szCs w:val="21"/>
                <w:color w:val="auto"/>
              </w:rPr>
            </w:pPr>
          </w:p>
        </w:tc>
        <w:tc>
          <w:tcPr>
            <w:tcW w:w="3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other charges and credits)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205740</wp:posOffset>
            </wp:positionV>
            <wp:extent cx="6869430" cy="3687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9430" cy="3687445"/>
                    </a:xfrm>
                    <a:prstGeom prst="rect">
                      <a:avLst/>
                    </a:prstGeom>
                    <a:noFill/>
                  </pic:spPr>
                </pic:pic>
              </a:graphicData>
            </a:graphic>
          </wp:anchor>
        </w:drawing>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FFFFFF"/>
        </w:rPr>
        <w:t>TechnipFMC</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$160 - 170 million for the full year (excluding the impact of foreign currency fluctuations)</w:t>
      </w:r>
    </w:p>
    <w:p>
      <w:pPr>
        <w:spacing w:after="0" w:line="200" w:lineRule="exact"/>
        <w:rPr>
          <w:sz w:val="20"/>
          <w:szCs w:val="20"/>
          <w:color w:val="auto"/>
        </w:rPr>
      </w:pPr>
    </w:p>
    <w:p>
      <w:pPr>
        <w:spacing w:after="0" w:line="340" w:lineRule="exact"/>
        <w:rPr>
          <w:sz w:val="20"/>
          <w:szCs w:val="20"/>
          <w:color w:val="auto"/>
        </w:rPr>
      </w:pPr>
    </w:p>
    <w:p>
      <w:pPr>
        <w:ind w:left="360" w:right="340"/>
        <w:spacing w:after="0" w:line="258"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$40 - 60 million for the full year (excluding the impact of revaluation of partners’ redeemable</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liability)</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28 - 32% for the full year (excluding the impact of discrete items)</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$350 million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Cash flow from operating activities </w:t>
      </w:r>
      <w:r>
        <w:rPr>
          <w:rFonts w:ascii="Arial" w:cs="Arial" w:eastAsia="Arial" w:hAnsi="Arial"/>
          <w:sz w:val="20"/>
          <w:szCs w:val="20"/>
          <w:color w:val="auto"/>
        </w:rPr>
        <w:t>positive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Merger integration and restructuring costs </w:t>
      </w:r>
      <w:r>
        <w:rPr>
          <w:rFonts w:ascii="Arial" w:cs="Arial" w:eastAsia="Arial" w:hAnsi="Arial"/>
          <w:sz w:val="20"/>
          <w:szCs w:val="20"/>
          <w:color w:val="auto"/>
        </w:rPr>
        <w:t>approximately $50 million for the full year</w:t>
      </w:r>
    </w:p>
    <w:p>
      <w:pPr>
        <w:spacing w:after="0" w:line="200" w:lineRule="exact"/>
        <w:rPr>
          <w:sz w:val="20"/>
          <w:szCs w:val="20"/>
          <w:color w:val="auto"/>
        </w:rPr>
      </w:pPr>
    </w:p>
    <w:p>
      <w:pPr>
        <w:spacing w:after="0" w:line="340" w:lineRule="exact"/>
        <w:rPr>
          <w:sz w:val="20"/>
          <w:szCs w:val="20"/>
          <w:color w:val="auto"/>
        </w:rPr>
      </w:pPr>
    </w:p>
    <w:p>
      <w:pPr>
        <w:ind w:left="360" w:right="340"/>
        <w:spacing w:after="0" w:line="258" w:lineRule="auto"/>
        <w:rPr>
          <w:sz w:val="20"/>
          <w:szCs w:val="20"/>
          <w:color w:val="auto"/>
        </w:rPr>
      </w:pPr>
      <w:r>
        <w:rPr>
          <w:rFonts w:ascii="Arial" w:cs="Arial" w:eastAsia="Arial" w:hAnsi="Arial"/>
          <w:sz w:val="20"/>
          <w:szCs w:val="20"/>
          <w:b w:val="1"/>
          <w:bCs w:val="1"/>
          <w:color w:val="auto"/>
        </w:rPr>
        <w:t xml:space="preserve">Cost synergies </w:t>
      </w:r>
      <w:r>
        <w:rPr>
          <w:rFonts w:ascii="Arial" w:cs="Arial" w:eastAsia="Arial" w:hAnsi="Arial"/>
          <w:sz w:val="20"/>
          <w:szCs w:val="20"/>
          <w:color w:val="auto"/>
        </w:rPr>
        <w:t>$450 million total savings ($220m exit run-rate 12/31/17, $400m exit run-rate 12/31/18, $450m exit run-rate 12/31/19)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2" w:lineRule="exact"/>
        <w:rPr>
          <w:sz w:val="20"/>
          <w:szCs w:val="20"/>
          <w:color w:val="auto"/>
        </w:rPr>
      </w:pPr>
    </w:p>
    <w:p>
      <w:pPr>
        <w:jc w:val="both"/>
        <w:ind w:firstLine="8"/>
        <w:spacing w:after="0" w:line="230" w:lineRule="auto"/>
        <w:tabs>
          <w:tab w:leader="none" w:pos="117"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 net (excluding the impact of foreign currency fluctuations), net interest expense excluding the impact of revaluation of partners’ redeemable financial liability, and tax rate (excluding the impact of discrete items)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420"/>
          </w:cols>
          <w:pgMar w:left="240" w:top="1192" w:right="2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Teleconference</w:t>
      </w:r>
    </w:p>
    <w:p>
      <w:pPr>
        <w:spacing w:after="0" w:line="200" w:lineRule="exact"/>
        <w:rPr>
          <w:sz w:val="20"/>
          <w:szCs w:val="20"/>
          <w:color w:val="auto"/>
        </w:rPr>
      </w:pP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February 21, 2019 to discuss the fourth quarter 2018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ectPr>
          <w:pgSz w:w="11900" w:h="16838" w:orient="portrait"/>
          <w:cols w:equalWidth="0" w:num="1">
            <w:col w:w="11420"/>
          </w:cols>
          <w:pgMar w:left="240" w:top="1192"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395" w:lineRule="exact"/>
        <w:rPr>
          <w:sz w:val="20"/>
          <w:szCs w:val="20"/>
          <w:color w:val="auto"/>
        </w:rPr>
      </w:pPr>
    </w:p>
    <w:p>
      <w:pPr>
        <w:ind w:right="580"/>
        <w:spacing w:after="0" w:line="294" w:lineRule="auto"/>
        <w:rPr>
          <w:sz w:val="20"/>
          <w:szCs w:val="20"/>
          <w:color w:val="auto"/>
        </w:rPr>
      </w:pPr>
      <w:r>
        <w:rPr>
          <w:rFonts w:ascii="Arial" w:cs="Arial" w:eastAsia="Arial" w:hAnsi="Arial"/>
          <w:sz w:val="19"/>
          <w:szCs w:val="19"/>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37"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23"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i w:val="1"/>
          <w:iCs w:val="1"/>
          <w:color w:val="808080"/>
        </w:rPr>
        <w:t>To learn more about us and how we are enhancing the performance of the world’s energy industry, go to TechnipFMC.com and follow us on Twitter @TechnipFMC.</w:t>
      </w:r>
    </w:p>
    <w:p>
      <w:pPr>
        <w:spacing w:after="0" w:line="200" w:lineRule="exact"/>
        <w:rPr>
          <w:sz w:val="20"/>
          <w:szCs w:val="20"/>
          <w:color w:val="auto"/>
        </w:rPr>
      </w:pPr>
    </w:p>
    <w:p>
      <w:pPr>
        <w:spacing w:after="0" w:line="31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2" w:lineRule="exact"/>
        <w:rPr>
          <w:sz w:val="20"/>
          <w:szCs w:val="20"/>
          <w:color w:val="auto"/>
        </w:rPr>
      </w:pPr>
    </w:p>
    <w:p>
      <w:pPr>
        <w:ind w:left="660" w:hanging="328"/>
        <w:spacing w:after="0" w:line="26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remedial measures to address our material weaknesses could be insufficient or additional issues relating to disclosure controls and procedures or internal control over financial reporting could be identified;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right="2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808080"/>
        </w:rPr>
        <w:t>the cumulative loss of major contracts or alliances;</w:t>
      </w:r>
    </w:p>
    <w:p>
      <w:pPr>
        <w:sectPr>
          <w:pgSz w:w="11900" w:h="16838" w:orient="portrait"/>
          <w:cols w:equalWidth="0" w:num="1">
            <w:col w:w="11380"/>
          </w:cols>
          <w:pgMar w:left="240" w:top="1192" w:right="279" w:bottom="1440" w:gutter="0" w:footer="0" w:header="0"/>
        </w:sectPr>
      </w:pPr>
    </w:p>
    <w:bookmarkStart w:id="17" w:name="page18"/>
    <w:bookmarkEnd w:id="17"/>
    <w:p>
      <w:pPr>
        <w:ind w:left="660" w:right="64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U.S. and international laws and regulations, including environmental laws and regulations, that may increase our costs, limit the demand for our products and services or restrict our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disruptions in the political, regulatory, economic and social conditions of the countries in which we conduct business;</w:t>
      </w:r>
    </w:p>
    <w:p>
      <w:pPr>
        <w:spacing w:after="0" w:line="9" w:lineRule="exact"/>
        <w:rPr>
          <w:rFonts w:ascii="Arial" w:cs="Arial" w:eastAsia="Arial" w:hAnsi="Arial"/>
          <w:sz w:val="18"/>
          <w:szCs w:val="18"/>
          <w:color w:val="auto"/>
        </w:rPr>
      </w:pPr>
    </w:p>
    <w:p>
      <w:pPr>
        <w:ind w:left="660" w:right="7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the United Kingdom’s proposed withdrawal from the European Union;</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risks associated with being an English public limited company, including the need for court approval of “distributable profits” and stockholder approval of certain capital structure decisions;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our ability to pay dividends or repurchase shares in accordance with our announced capital allocation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a 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significant merger-related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or any significant breach of security, including related to cyber attacks, and risks related to compliance with data security and privacy obligations;</w:t>
      </w:r>
    </w:p>
    <w:p>
      <w:pPr>
        <w:ind w:left="660" w:right="2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to which they are subject; and</w:t>
      </w:r>
    </w:p>
    <w:p>
      <w:pPr>
        <w:spacing w:after="0" w:line="9"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808080"/>
        </w:rPr>
        <w:t>such other risk factors set forth in our filings with the United States Securities and Exchange Commission and in our filings with the Autorité des marchés financiers or the U.K. Financial Conduct Authority.</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420"/>
          </w:cols>
          <w:pgMar w:left="240" w:top="1201"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60731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607310" cy="531495"/>
                    </a:xfrm>
                    <a:prstGeom prst="rect">
                      <a:avLst/>
                    </a:prstGeom>
                    <a:noFill/>
                  </pic:spPr>
                </pic:pic>
              </a:graphicData>
            </a:graphic>
          </wp:anchor>
        </w:drawing>
        <w:t>Contacts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6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5120" w:type="dxa"/>
            <w:vAlign w:val="bottom"/>
            <w:gridSpan w:val="4"/>
          </w:tcPr>
          <w:p>
            <w:pPr>
              <w:ind w:left="1120"/>
              <w:spacing w:after="0"/>
              <w:rPr>
                <w:sz w:val="20"/>
                <w:szCs w:val="20"/>
                <w:color w:val="auto"/>
              </w:rPr>
            </w:pPr>
            <w:r>
              <w:rPr>
                <w:rFonts w:ascii="Arial" w:cs="Arial" w:eastAsia="Arial" w:hAnsi="Arial"/>
                <w:sz w:val="20"/>
                <w:szCs w:val="20"/>
                <w:b w:val="1"/>
                <w:bCs w:val="1"/>
                <w:color w:val="auto"/>
              </w:rPr>
              <w:t>Media relations</w:t>
            </w:r>
          </w:p>
        </w:tc>
      </w:tr>
      <w:tr>
        <w:trPr>
          <w:trHeight w:val="411"/>
        </w:trPr>
        <w:tc>
          <w:tcPr>
            <w:tcW w:w="426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Christophe Bélorgeot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Vice President Investor Relations</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w w:val="98"/>
              </w:rPr>
              <w:t>Senior Vice President Corporate Engagement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+1 281 260 3665</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39 92</w:t>
            </w:r>
          </w:p>
        </w:tc>
      </w:tr>
      <w:tr>
        <w:trPr>
          <w:trHeight w:val="193"/>
        </w:trPr>
        <w:tc>
          <w:tcPr>
            <w:tcW w:w="426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Matt Seinsheimer</w:t>
            </w:r>
          </w:p>
        </w:tc>
        <w:tc>
          <w:tcPr>
            <w:tcW w:w="5120" w:type="dxa"/>
            <w:vAlign w:val="bottom"/>
            <w:gridSpan w:val="4"/>
          </w:tcPr>
          <w:p>
            <w:pPr>
              <w:ind w:left="112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Christophe Belorgeot</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6"/>
        </w:trPr>
        <w:tc>
          <w:tcPr>
            <w:tcW w:w="426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Delphine Nayral</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Director Investor Relations (Europe)</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Director Public Relations</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+44 (0) 20 3429 3929</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34 83</w:t>
            </w:r>
          </w:p>
        </w:tc>
      </w:tr>
      <w:tr>
        <w:trPr>
          <w:trHeight w:val="193"/>
        </w:trPr>
        <w:tc>
          <w:tcPr>
            <w:tcW w:w="426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Phillip Lindsay</w:t>
            </w:r>
          </w:p>
        </w:tc>
        <w:tc>
          <w:tcPr>
            <w:tcW w:w="5120" w:type="dxa"/>
            <w:vAlign w:val="bottom"/>
            <w:gridSpan w:val="4"/>
          </w:tcPr>
          <w:p>
            <w:pPr>
              <w:ind w:left="112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Delphine Nayral</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ectPr>
          <w:pgSz w:w="11900" w:h="16838" w:orient="portrait"/>
          <w:cols w:equalWidth="0" w:num="1">
            <w:col w:w="10179"/>
          </w:cols>
          <w:pgMar w:left="280" w:top="1350" w:right="1440" w:bottom="1440" w:gutter="0" w:footer="0" w:header="0"/>
        </w:sectPr>
      </w:pPr>
    </w:p>
    <w:bookmarkStart w:id="19" w:name="page20"/>
    <w:bookmarkEnd w:id="19"/>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752725" cy="557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752725"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GAAP FINANCIAL STATEMENTS</w:t>
      </w:r>
    </w:p>
    <w:p>
      <w:pPr>
        <w:spacing w:after="0" w:line="3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The U.S. GAAP financial statements for TechnipFMC plc and consolidated subsidiaries are provided on the following pages. The financial results reflect the following information:</w:t>
      </w:r>
    </w:p>
    <w:p>
      <w:pPr>
        <w:spacing w:after="0" w:line="148" w:lineRule="exact"/>
        <w:rPr>
          <w:sz w:val="20"/>
          <w:szCs w:val="20"/>
          <w:color w:val="auto"/>
        </w:rPr>
      </w:pPr>
    </w:p>
    <w:p>
      <w:pPr>
        <w:ind w:left="660" w:hanging="328"/>
        <w:spacing w:after="0" w:line="247"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Therefore, the results for the twelve months ended December 31, 2017:</w:t>
      </w:r>
    </w:p>
    <w:p>
      <w:pPr>
        <w:spacing w:after="0" w:line="16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43"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December 31, 2017; revenue of $112.9 million during the period from January 1 to January 16, 2017 were excluded, of which approximately 70 percent was reported in Subsea and the remainder in Surface Technologies.</w:t>
      </w: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144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w:t>
      </w:r>
    </w:p>
    <w:p>
      <w:pPr>
        <w:spacing w:after="0" w:line="17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4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0"/>
                <w:szCs w:val="20"/>
                <w:color w:val="auto"/>
              </w:rPr>
            </w:pPr>
          </w:p>
        </w:tc>
        <w:tc>
          <w:tcPr>
            <w:tcW w:w="20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3"/>
                <w:szCs w:val="23"/>
                <w:color w:val="auto"/>
              </w:rPr>
            </w:pPr>
          </w:p>
        </w:tc>
        <w:tc>
          <w:tcPr>
            <w:tcW w:w="20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3,323.0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3,683.0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12,552.9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15,056.9</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4,943.3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3,387.1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13,470.5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14,091.7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486"/>
        </w:trPr>
        <w:tc>
          <w:tcPr>
            <w:tcW w:w="4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w w:val="92"/>
              </w:rPr>
              <w:t>Income (loss) before net interest expense and income taxes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4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w w:val="99"/>
              </w:rPr>
              <w:t>Net loss (income) attributable to noncontrolling interests</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440" w:type="dxa"/>
            <w:vAlign w:val="bottom"/>
          </w:tcPr>
          <w:p>
            <w:pPr>
              <w:spacing w:after="0"/>
              <w:rPr>
                <w:sz w:val="20"/>
                <w:szCs w:val="20"/>
                <w:color w:val="auto"/>
              </w:rPr>
            </w:pPr>
            <w:r>
              <w:rPr>
                <w:rFonts w:ascii="Arial" w:cs="Arial" w:eastAsia="Arial" w:hAnsi="Arial"/>
                <w:sz w:val="18"/>
                <w:szCs w:val="18"/>
                <w:color w:val="auto"/>
              </w:rPr>
              <w:t>Net income (loss) attributable to TechnipFMC plc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(2,259.3)</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w w:val="96"/>
              </w:rPr>
              <w:t>Earnings (loss) per share attributable to TechnipFMC plc:</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554"/>
        </w:trPr>
        <w:tc>
          <w:tcPr>
            <w:tcW w:w="44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0"/>
        </w:trPr>
        <w:tc>
          <w:tcPr>
            <w:tcW w:w="4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554"/>
        </w:trPr>
        <w:tc>
          <w:tcPr>
            <w:tcW w:w="44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ectPr>
          <w:pgSz w:w="11900" w:h="16838" w:orient="portrait"/>
          <w:cols w:equalWidth="0" w:num="1">
            <w:col w:w="10260"/>
          </w:cols>
          <w:pgMar w:left="1400" w:top="52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4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0"/>
                <w:szCs w:val="20"/>
                <w:color w:val="auto"/>
              </w:rPr>
            </w:pPr>
          </w:p>
        </w:tc>
        <w:tc>
          <w:tcPr>
            <w:tcW w:w="20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3"/>
                <w:szCs w:val="23"/>
                <w:color w:val="auto"/>
              </w:rPr>
            </w:pPr>
          </w:p>
        </w:tc>
        <w:tc>
          <w:tcPr>
            <w:tcW w:w="20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4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Subsea</w:t>
            </w:r>
          </w:p>
        </w:tc>
        <w:tc>
          <w:tcPr>
            <w:tcW w:w="3780" w:type="dxa"/>
            <w:vAlign w:val="bottom"/>
            <w:gridSpan w:val="4"/>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1,292.2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4,840.0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5,877.4</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6,120.7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7,904.5</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1,274.6</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3,323.0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3,683.0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12,552.9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15,056.9</w:t>
            </w:r>
          </w:p>
        </w:tc>
        <w:tc>
          <w:tcPr>
            <w:tcW w:w="0" w:type="dxa"/>
            <w:vAlign w:val="bottom"/>
          </w:tcPr>
          <w:p>
            <w:pPr>
              <w:spacing w:after="0"/>
              <w:rPr>
                <w:sz w:val="1"/>
                <w:szCs w:val="1"/>
                <w:color w:val="auto"/>
              </w:rPr>
            </w:pPr>
          </w:p>
        </w:tc>
      </w:tr>
      <w:tr>
        <w:trPr>
          <w:trHeight w:val="27"/>
        </w:trPr>
        <w:tc>
          <w:tcPr>
            <w:tcW w:w="2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7"/>
              </w:rPr>
              <w:t>Income before income taxes</w:t>
            </w:r>
          </w:p>
        </w:tc>
        <w:tc>
          <w:tcPr>
            <w:tcW w:w="2300" w:type="dxa"/>
            <w:vAlign w:val="bottom"/>
            <w:gridSpan w:val="2"/>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40" w:type="dxa"/>
            <w:vAlign w:val="bottom"/>
            <w:gridSpan w:val="3"/>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140" w:type="dxa"/>
            <w:vAlign w:val="bottom"/>
            <w:tcBorders>
              <w:bottom w:val="single" w:sz="8" w:color="auto"/>
            </w:tcBorders>
            <w:gridSpan w:val="3"/>
            <w:vMerge w:val="continue"/>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440" w:type="dxa"/>
            <w:vAlign w:val="bottom"/>
            <w:gridSpan w:val="5"/>
          </w:tcPr>
          <w:p>
            <w:pPr>
              <w:spacing w:after="0"/>
              <w:rPr>
                <w:sz w:val="20"/>
                <w:szCs w:val="20"/>
                <w:color w:val="auto"/>
              </w:rPr>
            </w:pPr>
            <w:r>
              <w:rPr>
                <w:rFonts w:ascii="Arial" w:cs="Arial" w:eastAsia="Arial" w:hAnsi="Arial"/>
                <w:sz w:val="18"/>
                <w:szCs w:val="18"/>
                <w:color w:val="auto"/>
              </w:rPr>
              <w:t>Segment operating profit (loss)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Subsea</w:t>
            </w:r>
          </w:p>
        </w:tc>
        <w:tc>
          <w:tcPr>
            <w:tcW w:w="2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5"/>
          </w:tcPr>
          <w:p>
            <w:pPr>
              <w:spacing w:after="0"/>
              <w:rPr>
                <w:sz w:val="20"/>
                <w:szCs w:val="20"/>
                <w:color w:val="auto"/>
              </w:rPr>
            </w:pPr>
            <w:r>
              <w:rPr>
                <w:rFonts w:ascii="Arial" w:cs="Arial" w:eastAsia="Arial" w:hAnsi="Arial"/>
                <w:sz w:val="18"/>
                <w:szCs w:val="18"/>
                <w:color w:val="auto"/>
              </w:rPr>
              <w:t>Total segment operating profit (loss)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7"/>
        </w:trPr>
        <w:tc>
          <w:tcPr>
            <w:tcW w:w="1160" w:type="dxa"/>
            <w:vAlign w:val="bottom"/>
            <w:gridSpan w:val="2"/>
            <w:vMerge w:val="restart"/>
          </w:tcPr>
          <w:p>
            <w:pPr>
              <w:spacing w:after="0"/>
              <w:rPr>
                <w:sz w:val="20"/>
                <w:szCs w:val="20"/>
                <w:color w:val="auto"/>
              </w:rPr>
            </w:pPr>
            <w:r>
              <w:rPr>
                <w:rFonts w:ascii="Arial" w:cs="Arial" w:eastAsia="Arial" w:hAnsi="Arial"/>
                <w:sz w:val="18"/>
                <w:szCs w:val="18"/>
                <w:color w:val="auto"/>
                <w:w w:val="88"/>
              </w:rPr>
              <w:t>Corporate items</w:t>
            </w:r>
          </w:p>
        </w:tc>
        <w:tc>
          <w:tcPr>
            <w:tcW w:w="3280" w:type="dxa"/>
            <w:vAlign w:val="bottom"/>
            <w:gridSpan w:val="3"/>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5"/>
        </w:trPr>
        <w:tc>
          <w:tcPr>
            <w:tcW w:w="1160" w:type="dxa"/>
            <w:vAlign w:val="bottom"/>
            <w:tcBorders>
              <w:bottom w:val="single" w:sz="8" w:color="auto"/>
            </w:tcBorders>
            <w:gridSpan w:val="2"/>
            <w:vMerge w:val="continue"/>
          </w:tcPr>
          <w:p>
            <w:pPr>
              <w:spacing w:after="0"/>
              <w:rPr>
                <w:sz w:val="24"/>
                <w:szCs w:val="24"/>
                <w:color w:val="auto"/>
              </w:rPr>
            </w:pPr>
          </w:p>
        </w:tc>
        <w:tc>
          <w:tcPr>
            <w:tcW w:w="32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40" w:type="dxa"/>
            <w:vAlign w:val="bottom"/>
            <w:gridSpan w:val="5"/>
          </w:tcPr>
          <w:p>
            <w:pPr>
              <w:spacing w:after="0"/>
              <w:rPr>
                <w:sz w:val="20"/>
                <w:szCs w:val="20"/>
                <w:color w:val="auto"/>
              </w:rPr>
            </w:pPr>
            <w:r>
              <w:rPr>
                <w:rFonts w:ascii="Arial" w:cs="Arial" w:eastAsia="Arial" w:hAnsi="Arial"/>
                <w:sz w:val="18"/>
                <w:szCs w:val="18"/>
                <w:color w:val="auto"/>
              </w:rPr>
              <w:t>Corporate expense, net (1)</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70"/>
        </w:trPr>
        <w:tc>
          <w:tcPr>
            <w:tcW w:w="444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4440" w:type="dxa"/>
            <w:vAlign w:val="bottom"/>
            <w:gridSpan w:val="5"/>
          </w:tcPr>
          <w:p>
            <w:pPr>
              <w:spacing w:after="0"/>
              <w:rPr>
                <w:sz w:val="20"/>
                <w:szCs w:val="20"/>
                <w:color w:val="auto"/>
              </w:rPr>
            </w:pPr>
            <w:r>
              <w:rPr>
                <w:rFonts w:ascii="Arial" w:cs="Arial" w:eastAsia="Arial" w:hAnsi="Arial"/>
                <w:sz w:val="18"/>
                <w:szCs w:val="18"/>
                <w:color w:val="auto"/>
              </w:rPr>
              <w:t>Net income (loss) before income taxes (2)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expense, net primarily includes corporate staff expenses, stock-based compensation expenses, other employee benefits, certain foreign exchange gains and losses, and merger-related transaction expenses.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ectPr>
          <w:pgSz w:w="11900" w:h="16838" w:orient="portrait"/>
          <w:cols w:equalWidth="0" w:num="1">
            <w:col w:w="11420"/>
          </w:cols>
          <w:pgMar w:left="240" w:top="526"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0"/>
                <w:szCs w:val="20"/>
                <w:color w:val="auto"/>
              </w:rPr>
            </w:pPr>
          </w:p>
        </w:tc>
        <w:tc>
          <w:tcPr>
            <w:tcW w:w="20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Year Ended</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Inbound Orders (1)</w:t>
            </w:r>
          </w:p>
        </w:tc>
        <w:tc>
          <w:tcPr>
            <w:tcW w:w="220" w:type="dxa"/>
            <w:vAlign w:val="bottom"/>
          </w:tcPr>
          <w:p>
            <w:pPr>
              <w:spacing w:after="0"/>
              <w:rPr>
                <w:sz w:val="19"/>
                <w:szCs w:val="19"/>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9"/>
                <w:szCs w:val="19"/>
                <w:color w:val="auto"/>
              </w:rPr>
            </w:pPr>
          </w:p>
        </w:tc>
        <w:tc>
          <w:tcPr>
            <w:tcW w:w="20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48"/>
        </w:trPr>
        <w:tc>
          <w:tcPr>
            <w:tcW w:w="152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7"/>
        </w:trPr>
        <w:tc>
          <w:tcPr>
            <w:tcW w:w="1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20"/>
        </w:trPr>
        <w:tc>
          <w:tcPr>
            <w:tcW w:w="454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880.6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1,724.8</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5,178.5</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5,143.6</w:t>
            </w: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3,812.9</w:t>
            </w:r>
          </w:p>
        </w:tc>
      </w:tr>
      <w:tr>
        <w:trPr>
          <w:trHeight w:val="270"/>
        </w:trPr>
        <w:tc>
          <w:tcPr>
            <w:tcW w:w="454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1,239.8</w:t>
            </w:r>
          </w:p>
        </w:tc>
      </w:tr>
      <w:tr>
        <w:trPr>
          <w:trHeight w:val="27"/>
        </w:trPr>
        <w:tc>
          <w:tcPr>
            <w:tcW w:w="15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54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10,196.3</w:t>
            </w:r>
          </w:p>
        </w:tc>
      </w:tr>
      <w:tr>
        <w:trPr>
          <w:trHeight w:val="20"/>
        </w:trPr>
        <w:tc>
          <w:tcPr>
            <w:tcW w:w="1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Order Backlog (2)</w:t>
            </w:r>
          </w:p>
        </w:tc>
        <w:tc>
          <w:tcPr>
            <w:tcW w:w="220" w:type="dxa"/>
            <w:vAlign w:val="bottom"/>
          </w:tcPr>
          <w:p>
            <w:pPr>
              <w:spacing w:after="0"/>
              <w:rPr>
                <w:sz w:val="17"/>
                <w:szCs w:val="17"/>
                <w:color w:val="auto"/>
              </w:rPr>
            </w:pPr>
          </w:p>
        </w:tc>
        <w:tc>
          <w:tcPr>
            <w:tcW w:w="202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December 31,</w:t>
            </w:r>
          </w:p>
        </w:tc>
      </w:tr>
      <w:tr>
        <w:trPr>
          <w:trHeight w:val="48"/>
        </w:trPr>
        <w:tc>
          <w:tcPr>
            <w:tcW w:w="1400" w:type="dxa"/>
            <w:vAlign w:val="bottom"/>
            <w:tcBorders>
              <w:top w:val="single" w:sz="8" w:color="auto"/>
            </w:tcBorders>
          </w:tcPr>
          <w:p>
            <w:pPr>
              <w:spacing w:after="0"/>
              <w:rPr>
                <w:sz w:val="4"/>
                <w:szCs w:val="4"/>
                <w:color w:val="auto"/>
              </w:rPr>
            </w:pPr>
          </w:p>
        </w:tc>
        <w:tc>
          <w:tcPr>
            <w:tcW w:w="55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7"/>
        </w:trPr>
        <w:tc>
          <w:tcPr>
            <w:tcW w:w="14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1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20"/>
        </w:trPr>
        <w:tc>
          <w:tcPr>
            <w:tcW w:w="694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5,999.6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6,203.9</w:t>
            </w: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6,369.1</w:t>
            </w:r>
          </w:p>
        </w:tc>
      </w:tr>
      <w:tr>
        <w:trPr>
          <w:trHeight w:val="270"/>
        </w:trPr>
        <w:tc>
          <w:tcPr>
            <w:tcW w:w="694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409.8</w:t>
            </w:r>
          </w:p>
        </w:tc>
      </w:tr>
      <w:tr>
        <w:trPr>
          <w:trHeight w:val="27"/>
        </w:trPr>
        <w:tc>
          <w:tcPr>
            <w:tcW w:w="14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694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14,560.0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12,982.8</w:t>
            </w:r>
          </w:p>
        </w:tc>
      </w:tr>
      <w:tr>
        <w:trPr>
          <w:trHeight w:val="20"/>
        </w:trPr>
        <w:tc>
          <w:tcPr>
            <w:tcW w:w="14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ectPr>
          <w:pgSz w:w="11900" w:h="16838" w:orient="portrait"/>
          <w:cols w:equalWidth="0" w:num="1">
            <w:col w:w="11420"/>
          </w:cols>
          <w:pgMar w:left="240" w:top="526"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4</w:t>
      </w:r>
    </w:p>
    <w:p>
      <w:pPr>
        <w:spacing w:after="0" w:line="17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2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18"/>
        </w:trPr>
        <w:tc>
          <w:tcPr>
            <w:tcW w:w="658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20"/>
        </w:trPr>
        <w:tc>
          <w:tcPr>
            <w:tcW w:w="6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5,540.0</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6,737.4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Trade receivables,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1,484.4</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Contract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1,295.0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1,755.5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987.0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2,012.8</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12,977.1</w:t>
            </w:r>
          </w:p>
        </w:tc>
      </w:tr>
      <w:tr>
        <w:trPr>
          <w:trHeight w:val="554"/>
        </w:trPr>
        <w:tc>
          <w:tcPr>
            <w:tcW w:w="6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3,259.8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3,871.5</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7,607.6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8,929.8</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1,333.8</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1,151.5</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25,004.3</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28,263.7</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14"/>
        </w:trPr>
        <w:tc>
          <w:tcPr>
            <w:tcW w:w="65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2,600.3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3,958.7</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3,314.2</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2,479.4</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9,354.2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9,829.4</w:t>
            </w:r>
          </w:p>
        </w:tc>
      </w:tr>
      <w:tr>
        <w:trPr>
          <w:trHeight w:val="554"/>
        </w:trPr>
        <w:tc>
          <w:tcPr>
            <w:tcW w:w="65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4,124.3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3,777.9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1,247.0</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TechnipFMC plc stockholders’ equity</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13,387.9</w:t>
            </w:r>
          </w:p>
        </w:tc>
      </w:tr>
      <w:tr>
        <w:trPr>
          <w:trHeight w:val="270"/>
        </w:trPr>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6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5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25,004.3</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28,263.7</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80"/>
          </w:cols>
          <w:pgMar w:left="1380" w:top="90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5</w:t>
      </w:r>
    </w:p>
    <w:p>
      <w:pPr>
        <w:spacing w:after="0" w:line="176"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u w:val="single" w:color="auto"/>
          <w:color w:val="auto"/>
        </w:rPr>
        <w:t>TECHNIPFMC PLC AND CONSOLIDATED SUBSIDIARIES</w:t>
      </w:r>
    </w:p>
    <w:p>
      <w:pPr>
        <w:spacing w:after="0" w:line="23"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u w:val="single" w:color="auto"/>
          <w:color w:val="auto"/>
        </w:rPr>
        <w:t>CONSOLIDATED STATEMENTS OF CASH FLOWS</w:t>
      </w:r>
    </w:p>
    <w:p>
      <w:pPr>
        <w:spacing w:after="0" w:line="5"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(In millions)</w:t>
      </w:r>
    </w:p>
    <w:p>
      <w:pPr>
        <w:spacing w:after="0" w:line="208"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23495</wp:posOffset>
            </wp:positionV>
            <wp:extent cx="1732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5"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w:t>
      </w:r>
    </w:p>
    <w:p>
      <w:pPr>
        <w:spacing w:after="0" w:line="42"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23495</wp:posOffset>
            </wp:positionV>
            <wp:extent cx="1732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8"/>
        </w:trPr>
        <w:tc>
          <w:tcPr>
            <w:tcW w:w="6460" w:type="dxa"/>
            <w:vAlign w:val="bottom"/>
          </w:tcPr>
          <w:p>
            <w:pPr>
              <w:spacing w:after="0"/>
              <w:rPr>
                <w:sz w:val="20"/>
                <w:szCs w:val="20"/>
                <w:color w:val="auto"/>
              </w:rPr>
            </w:pPr>
            <w:r>
              <w:rPr>
                <w:rFonts w:ascii="Arial" w:cs="Arial" w:eastAsia="Arial" w:hAnsi="Arial"/>
                <w:sz w:val="14"/>
                <w:szCs w:val="14"/>
                <w:color w:val="auto"/>
              </w:rPr>
              <w:t>Cash provided (required) by operating activities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646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(1,910.8)</w:t>
            </w:r>
          </w:p>
        </w:tc>
        <w:tc>
          <w:tcPr>
            <w:tcW w:w="1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134.2</w:t>
            </w:r>
          </w:p>
        </w:tc>
      </w:tr>
      <w:tr>
        <w:trPr>
          <w:trHeight w:val="270"/>
        </w:trPr>
        <w:tc>
          <w:tcPr>
            <w:tcW w:w="6460" w:type="dxa"/>
            <w:vAlign w:val="bottom"/>
          </w:tcPr>
          <w:p>
            <w:pPr>
              <w:spacing w:after="0"/>
              <w:rPr>
                <w:sz w:val="20"/>
                <w:szCs w:val="20"/>
                <w:color w:val="auto"/>
              </w:rPr>
            </w:pPr>
            <w:r>
              <w:rPr>
                <w:rFonts w:ascii="Arial" w:cs="Arial" w:eastAsia="Arial" w:hAnsi="Arial"/>
                <w:sz w:val="14"/>
                <w:szCs w:val="14"/>
                <w:color w:val="auto"/>
              </w:rPr>
              <w:t>Adjustments to reconcile net income (loss) to cash provided (required) by operating activities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367.8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370.2</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244.5</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Employee benefit plan and share-based compensation costs</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18.7</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Deferred income tax provision (benefit), net</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141.6</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(73.5)</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Impairments</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1,792.6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34.3</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Income from equity affiliates, net of dividends received</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571.8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4.7</w:t>
            </w:r>
          </w:p>
        </w:tc>
      </w:tr>
      <w:tr>
        <w:trPr>
          <w:trHeight w:val="270"/>
        </w:trPr>
        <w:tc>
          <w:tcPr>
            <w:tcW w:w="6460" w:type="dxa"/>
            <w:vAlign w:val="bottom"/>
          </w:tcPr>
          <w:p>
            <w:pPr>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Trade receivables, net and contract assets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286.8</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Inventories,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130.9</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Accounts payable, trade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(525.8)</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Contract liabilities</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937.7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(1,111.4)</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Income taxes payable (receivable), net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(152.2)</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Other current assets and liabilities, net</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641.2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646.5</w:t>
            </w:r>
          </w:p>
        </w:tc>
      </w:tr>
      <w:tr>
        <w:trPr>
          <w:trHeight w:val="276"/>
        </w:trPr>
        <w:tc>
          <w:tcPr>
            <w:tcW w:w="6460" w:type="dxa"/>
            <w:vAlign w:val="bottom"/>
          </w:tcPr>
          <w:p>
            <w:pPr>
              <w:ind w:left="340"/>
              <w:spacing w:after="0"/>
              <w:rPr>
                <w:sz w:val="20"/>
                <w:szCs w:val="20"/>
                <w:color w:val="auto"/>
              </w:rPr>
            </w:pPr>
            <w:r>
              <w:rPr>
                <w:rFonts w:ascii="Arial" w:cs="Arial" w:eastAsia="Arial" w:hAnsi="Arial"/>
                <w:sz w:val="14"/>
                <w:szCs w:val="14"/>
                <w:color w:val="auto"/>
              </w:rPr>
              <w:t>Other noncurrent assets and liabilities,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99.1</w:t>
            </w:r>
          </w:p>
        </w:tc>
      </w:tr>
      <w:tr>
        <w:trPr>
          <w:trHeight w:val="250"/>
        </w:trPr>
        <w:tc>
          <w:tcPr>
            <w:tcW w:w="6460" w:type="dxa"/>
            <w:vAlign w:val="bottom"/>
          </w:tcPr>
          <w:p>
            <w:pPr>
              <w:spacing w:after="0"/>
              <w:rPr>
                <w:sz w:val="20"/>
                <w:szCs w:val="20"/>
                <w:color w:val="auto"/>
              </w:rPr>
            </w:pPr>
            <w:r>
              <w:rPr>
                <w:rFonts w:ascii="Arial" w:cs="Arial" w:eastAsia="Arial" w:hAnsi="Arial"/>
                <w:sz w:val="14"/>
                <w:szCs w:val="14"/>
                <w:color w:val="auto"/>
              </w:rPr>
              <w:t>Cash provided (required) by operating activities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210.7</w:t>
            </w:r>
          </w:p>
        </w:tc>
      </w:tr>
      <w:tr>
        <w:trPr>
          <w:trHeight w:val="582"/>
        </w:trPr>
        <w:tc>
          <w:tcPr>
            <w:tcW w:w="6460" w:type="dxa"/>
            <w:vAlign w:val="bottom"/>
          </w:tcPr>
          <w:p>
            <w:pPr>
              <w:spacing w:after="0"/>
              <w:rPr>
                <w:sz w:val="20"/>
                <w:szCs w:val="20"/>
                <w:color w:val="auto"/>
              </w:rPr>
            </w:pPr>
            <w:r>
              <w:rPr>
                <w:rFonts w:ascii="Arial" w:cs="Arial" w:eastAsia="Arial" w:hAnsi="Arial"/>
                <w:sz w:val="14"/>
                <w:szCs w:val="14"/>
                <w:color w:val="auto"/>
              </w:rPr>
              <w:t>Cash provided (required) by investing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(255.7)</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Cash acquired in merger of FMC Technologies, Inc. and Technip S.A.</w:t>
            </w:r>
          </w:p>
        </w:tc>
        <w:tc>
          <w:tcPr>
            <w:tcW w:w="3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1,479.2</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Cash divested from deconsolidation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Proceeds from sale of assets</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14.4</w:t>
            </w:r>
          </w:p>
        </w:tc>
      </w:tr>
      <w:tr>
        <w:trPr>
          <w:trHeight w:val="276"/>
        </w:trPr>
        <w:tc>
          <w:tcPr>
            <w:tcW w:w="6460" w:type="dxa"/>
            <w:vAlign w:val="bottom"/>
          </w:tcPr>
          <w:p>
            <w:pPr>
              <w:ind w:left="3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12.1</w:t>
            </w:r>
          </w:p>
        </w:tc>
      </w:tr>
      <w:tr>
        <w:trPr>
          <w:trHeight w:val="250"/>
        </w:trPr>
        <w:tc>
          <w:tcPr>
            <w:tcW w:w="6460" w:type="dxa"/>
            <w:vAlign w:val="bottom"/>
          </w:tcPr>
          <w:p>
            <w:pPr>
              <w:spacing w:after="0"/>
              <w:rPr>
                <w:sz w:val="20"/>
                <w:szCs w:val="20"/>
                <w:color w:val="auto"/>
              </w:rPr>
            </w:pPr>
            <w:r>
              <w:rPr>
                <w:rFonts w:ascii="Arial" w:cs="Arial" w:eastAsia="Arial" w:hAnsi="Arial"/>
                <w:sz w:val="14"/>
                <w:szCs w:val="14"/>
                <w:color w:val="auto"/>
              </w:rPr>
              <w:t>Cash provided (required) by investing activities</w:t>
            </w: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1,250.0</w:t>
            </w:r>
          </w:p>
        </w:tc>
      </w:tr>
      <w:tr>
        <w:trPr>
          <w:trHeight w:val="542"/>
        </w:trPr>
        <w:tc>
          <w:tcPr>
            <w:tcW w:w="6460" w:type="dxa"/>
            <w:vAlign w:val="bottom"/>
          </w:tcPr>
          <w:p>
            <w:pPr>
              <w:spacing w:after="0"/>
              <w:rPr>
                <w:sz w:val="20"/>
                <w:szCs w:val="20"/>
                <w:color w:val="auto"/>
              </w:rPr>
            </w:pPr>
            <w:r>
              <w:rPr>
                <w:rFonts w:ascii="Arial" w:cs="Arial" w:eastAsia="Arial" w:hAnsi="Arial"/>
                <w:sz w:val="14"/>
                <w:szCs w:val="14"/>
                <w:color w:val="auto"/>
              </w:rPr>
              <w:t>Cash required by financing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Net decrease in short-term debt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(106.4)</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Net increase in commercial paper</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496.6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234.9</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Proceeds from issuance of long-term debt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25.7</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Repayments of long-term debt</w:t>
            </w:r>
          </w:p>
        </w:tc>
        <w:tc>
          <w:tcPr>
            <w:tcW w:w="3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(888.0)</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Payments related to taxes withheld on share-based compensation</w:t>
            </w:r>
          </w:p>
        </w:tc>
        <w:tc>
          <w:tcPr>
            <w:tcW w:w="3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Purchase of ordinary shares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(60.6)</w:t>
            </w:r>
          </w:p>
        </w:tc>
      </w:tr>
      <w:tr>
        <w:trPr>
          <w:trHeight w:val="270"/>
        </w:trPr>
        <w:tc>
          <w:tcPr>
            <w:tcW w:w="6460" w:type="dxa"/>
            <w:vAlign w:val="bottom"/>
          </w:tcPr>
          <w:p>
            <w:pPr>
              <w:ind w:left="340"/>
              <w:spacing w:after="0"/>
              <w:rPr>
                <w:sz w:val="20"/>
                <w:szCs w:val="20"/>
                <w:color w:val="auto"/>
              </w:rPr>
            </w:pPr>
            <w:r>
              <w:rPr>
                <w:rFonts w:ascii="Arial" w:cs="Arial" w:eastAsia="Arial" w:hAnsi="Arial"/>
                <w:sz w:val="14"/>
                <w:szCs w:val="14"/>
                <w:color w:val="auto"/>
              </w:rPr>
              <w:t>Settlements of mandatorily redeemable financial liability</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(156.5)</w:t>
            </w:r>
          </w:p>
        </w:tc>
      </w:tr>
      <w:tr>
        <w:trPr>
          <w:trHeight w:val="276"/>
        </w:trPr>
        <w:tc>
          <w:tcPr>
            <w:tcW w:w="6460" w:type="dxa"/>
            <w:vAlign w:val="bottom"/>
          </w:tcPr>
          <w:p>
            <w:pPr>
              <w:ind w:left="34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250"/>
        </w:trPr>
        <w:tc>
          <w:tcPr>
            <w:tcW w:w="6460" w:type="dxa"/>
            <w:vAlign w:val="bottom"/>
          </w:tcPr>
          <w:p>
            <w:pPr>
              <w:spacing w:after="0"/>
              <w:rPr>
                <w:sz w:val="20"/>
                <w:szCs w:val="20"/>
                <w:color w:val="auto"/>
              </w:rPr>
            </w:pPr>
            <w:r>
              <w:rPr>
                <w:rFonts w:ascii="Arial" w:cs="Arial" w:eastAsia="Arial" w:hAnsi="Arial"/>
                <w:sz w:val="14"/>
                <w:szCs w:val="14"/>
                <w:color w:val="auto"/>
              </w:rPr>
              <w:t>Cash required by financing activities</w:t>
            </w: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(1,054.8)</w:t>
            </w:r>
          </w:p>
        </w:tc>
      </w:tr>
      <w:tr>
        <w:trPr>
          <w:trHeight w:val="250"/>
        </w:trPr>
        <w:tc>
          <w:tcPr>
            <w:tcW w:w="6460" w:type="dxa"/>
            <w:vAlign w:val="bottom"/>
          </w:tcPr>
          <w:p>
            <w:pPr>
              <w:ind w:left="34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62.2</w:t>
            </w:r>
          </w:p>
        </w:tc>
      </w:tr>
      <w:tr>
        <w:trPr>
          <w:trHeight w:val="244"/>
        </w:trPr>
        <w:tc>
          <w:tcPr>
            <w:tcW w:w="6460" w:type="dxa"/>
            <w:vAlign w:val="bottom"/>
          </w:tcPr>
          <w:p>
            <w:pPr>
              <w:ind w:left="340"/>
              <w:spacing w:after="0"/>
              <w:rPr>
                <w:sz w:val="20"/>
                <w:szCs w:val="20"/>
                <w:color w:val="auto"/>
              </w:rPr>
            </w:pPr>
            <w:r>
              <w:rPr>
                <w:rFonts w:ascii="Arial" w:cs="Arial" w:eastAsia="Arial" w:hAnsi="Arial"/>
                <w:sz w:val="14"/>
                <w:szCs w:val="14"/>
                <w:color w:val="auto"/>
              </w:rPr>
              <w:t>Increase (decrease) in cash and cash equivalents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468.1</w:t>
            </w:r>
          </w:p>
        </w:tc>
      </w:tr>
      <w:tr>
        <w:trPr>
          <w:trHeight w:val="276"/>
        </w:trPr>
        <w:tc>
          <w:tcPr>
            <w:tcW w:w="646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6,737.4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6,269.3</w:t>
            </w:r>
          </w:p>
        </w:tc>
      </w:tr>
      <w:tr>
        <w:trPr>
          <w:trHeight w:val="243"/>
        </w:trPr>
        <w:tc>
          <w:tcPr>
            <w:tcW w:w="64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5,540.0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6,737.4</w:t>
            </w:r>
          </w:p>
        </w:tc>
      </w:tr>
      <w:tr>
        <w:trPr>
          <w:trHeight w:val="20"/>
        </w:trPr>
        <w:tc>
          <w:tcPr>
            <w:tcW w:w="6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80"/>
          </w:cols>
          <w:pgMar w:left="1380" w:top="526" w:right="239" w:bottom="1440" w:gutter="0" w:footer="0" w:header="0"/>
        </w:sectPr>
      </w:pPr>
    </w:p>
    <w:bookmarkStart w:id="25" w:name="page26"/>
    <w:bookmarkEnd w:id="25"/>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752725" cy="557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752725"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u w:val="single" w:color="auto"/>
          <w:color w:val="auto"/>
        </w:rPr>
        <w:t>TECHNIPFMC plc AND CONSOLIDATED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200" w:lineRule="exact"/>
        <w:rPr>
          <w:sz w:val="20"/>
          <w:szCs w:val="20"/>
          <w:color w:val="auto"/>
        </w:rPr>
      </w:pPr>
    </w:p>
    <w:p>
      <w:pPr>
        <w:spacing w:after="0" w:line="20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Reconciliation of U.S. GAAP to non-GAAP financial measures for TechnipFMC plc and consolidated subsidiaries are provided on the following pages. The financial results reflect the following information:</w:t>
      </w:r>
    </w:p>
    <w:p>
      <w:pPr>
        <w:spacing w:after="0" w:line="161" w:lineRule="exact"/>
        <w:rPr>
          <w:sz w:val="20"/>
          <w:szCs w:val="20"/>
          <w:color w:val="auto"/>
        </w:rPr>
      </w:pPr>
    </w:p>
    <w:p>
      <w:pPr>
        <w:ind w:left="660" w:hanging="328"/>
        <w:spacing w:after="0" w:line="247"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On January 16, 2017, TechnipFMC was created by the business combination of Technip S.A. (Technip) and FMC Technologies, Inc. (FMC Technologies).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The Non-GAAP results for the twelve months ended December 31, 2017:</w:t>
      </w:r>
    </w:p>
    <w:p>
      <w:pPr>
        <w:spacing w:after="0" w:line="17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Include the results of Technip for the full period;</w:t>
      </w:r>
    </w:p>
    <w:p>
      <w:pPr>
        <w:jc w:val="both"/>
        <w:ind w:left="660" w:hanging="328"/>
        <w:spacing w:after="0" w:line="243"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Include the results of FMC Technologies for the period January 17 to December 31, 2017; revenue of $112.9 million during the period from January 1 to January 16, 2017 were excluded, of which approximately 70 percent was reported in Subsea and the remainder in Surface Technologies.</w:t>
      </w:r>
    </w:p>
    <w:p>
      <w:pPr>
        <w:spacing w:after="0" w:line="39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When referencing these financial statements, adjusted EBITDA is also used to describe EBITDA excluding amortization related to the impact of purchase price accounting and other charges and credits.</w:t>
      </w:r>
    </w:p>
    <w:p>
      <w:pPr>
        <w:sectPr>
          <w:pgSz w:w="11900" w:h="16838" w:orient="portrait"/>
          <w:cols w:equalWidth="0" w:num="1">
            <w:col w:w="11420"/>
          </w:cols>
          <w:pgMar w:left="240" w:top="144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6</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Charges and Credits</w:t>
      </w:r>
    </w:p>
    <w:p>
      <w:pPr>
        <w:spacing w:after="0" w:line="17"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In addition to financial results determined in accordance with U.S. generally accepted accounting principles (GAAP), the fourth quarter 2018 Earnings Release also includes non-GAAP financial measures (as defined in Item 10 of Regulation S-K of the Securities Exchange Act of 1934, as amended) and describes performance on a year-over-year basis against 2017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213360</wp:posOffset>
            </wp:positionV>
            <wp:extent cx="48367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left="154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540"/>
        <w:spacing w:after="0"/>
        <w:rPr>
          <w:sz w:val="20"/>
          <w:szCs w:val="20"/>
          <w:color w:val="auto"/>
        </w:rPr>
      </w:pPr>
      <w:r>
        <w:rPr>
          <w:rFonts w:ascii="Arial" w:cs="Arial" w:eastAsia="Arial" w:hAnsi="Arial"/>
          <w:sz w:val="13"/>
          <w:szCs w:val="13"/>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71120</wp:posOffset>
            </wp:positionV>
            <wp:extent cx="48367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Earnings (loss)</w:t>
            </w: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before net</w:t>
            </w: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2"/>
              </w:rPr>
              <w:t>interest expense,</w:t>
            </w: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before 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r>
      <w:tr>
        <w:trPr>
          <w:trHeight w:val="135"/>
        </w:trPr>
        <w:tc>
          <w:tcPr>
            <w:tcW w:w="148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Net income (loss)</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480" w:type="dxa"/>
            <w:vAlign w:val="bottom"/>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TechnipFMC plc</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1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(Operating 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TechnipFMC plc, as</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r>
        <w:trPr>
          <w:trHeight w:val="160"/>
        </w:trPr>
        <w:tc>
          <w:tcPr>
            <w:tcW w:w="1480" w:type="dxa"/>
            <w:vAlign w:val="bottom"/>
          </w:tcPr>
          <w:p>
            <w:pPr>
              <w:spacing w:after="0"/>
              <w:rPr>
                <w:sz w:val="20"/>
                <w:szCs w:val="20"/>
                <w:color w:val="auto"/>
              </w:rPr>
            </w:pPr>
            <w:r>
              <w:rPr>
                <w:rFonts w:ascii="Arial" w:cs="Arial" w:eastAsia="Arial" w:hAnsi="Arial"/>
                <w:sz w:val="13"/>
                <w:szCs w:val="13"/>
                <w:color w:val="auto"/>
              </w:rPr>
              <w:t>reported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(2,259.3)</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242.0</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(116.6)</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(1,887.9)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137.9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(1,750.0)</w:t>
            </w:r>
          </w:p>
        </w:tc>
      </w:tr>
      <w:tr>
        <w:trPr>
          <w:trHeight w:val="486"/>
        </w:trPr>
        <w:tc>
          <w:tcPr>
            <w:tcW w:w="148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4"/>
        </w:trPr>
        <w:tc>
          <w:tcPr>
            <w:tcW w:w="1480" w:type="dxa"/>
            <w:vAlign w:val="bottom"/>
          </w:tcPr>
          <w:p>
            <w:pPr>
              <w:ind w:left="240"/>
              <w:spacing w:after="0"/>
              <w:rPr>
                <w:sz w:val="20"/>
                <w:szCs w:val="20"/>
                <w:color w:val="auto"/>
              </w:rPr>
            </w:pPr>
            <w:r>
              <w:rPr>
                <w:rFonts w:ascii="Arial" w:cs="Arial" w:eastAsia="Arial" w:hAnsi="Arial"/>
                <w:sz w:val="13"/>
                <w:szCs w:val="13"/>
                <w:color w:val="auto"/>
                <w:w w:val="98"/>
              </w:rPr>
              <w:t>Impairment and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48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1,688.8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89.7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1,778.5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1,778.5</w:t>
            </w:r>
          </w:p>
        </w:tc>
      </w:tr>
      <w:tr>
        <w:trPr>
          <w:trHeight w:val="164"/>
        </w:trPr>
        <w:tc>
          <w:tcPr>
            <w:tcW w:w="1480" w:type="dxa"/>
            <w:vAlign w:val="bottom"/>
          </w:tcPr>
          <w:p>
            <w:pPr>
              <w:ind w:left="240"/>
              <w:spacing w:after="0"/>
              <w:rPr>
                <w:sz w:val="20"/>
                <w:szCs w:val="20"/>
                <w:color w:val="auto"/>
              </w:rPr>
            </w:pPr>
            <w:r>
              <w:rPr>
                <w:rFonts w:ascii="Arial" w:cs="Arial" w:eastAsia="Arial" w:hAnsi="Arial"/>
                <w:sz w:val="13"/>
                <w:szCs w:val="13"/>
                <w:color w:val="auto"/>
                <w:w w:val="89"/>
              </w:rPr>
              <w:t>Restructuring and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48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20.1</w:t>
            </w:r>
          </w:p>
        </w:tc>
      </w:tr>
      <w:tr>
        <w:trPr>
          <w:trHeight w:val="164"/>
        </w:trPr>
        <w:tc>
          <w:tcPr>
            <w:tcW w:w="1480" w:type="dxa"/>
            <w:vAlign w:val="bottom"/>
          </w:tcPr>
          <w:p>
            <w:pPr>
              <w:ind w:left="240"/>
              <w:spacing w:after="0"/>
              <w:rPr>
                <w:sz w:val="20"/>
                <w:szCs w:val="20"/>
                <w:color w:val="auto"/>
              </w:rPr>
            </w:pPr>
            <w:r>
              <w:rPr>
                <w:rFonts w:ascii="Arial" w:cs="Arial" w:eastAsia="Arial" w:hAnsi="Arial"/>
                <w:sz w:val="13"/>
                <w:szCs w:val="13"/>
                <w:color w:val="auto"/>
                <w:w w:val="96"/>
              </w:rPr>
              <w:t>Business combination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5"/>
        </w:trPr>
        <w:tc>
          <w:tcPr>
            <w:tcW w:w="148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0"/>
        </w:trPr>
        <w:tc>
          <w:tcPr>
            <w:tcW w:w="148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15.6</w:t>
            </w:r>
          </w:p>
        </w:tc>
      </w:tr>
      <w:tr>
        <w:trPr>
          <w:trHeight w:val="270"/>
        </w:trPr>
        <w:tc>
          <w:tcPr>
            <w:tcW w:w="1480" w:type="dxa"/>
            <w:vAlign w:val="bottom"/>
          </w:tcPr>
          <w:p>
            <w:pPr>
              <w:ind w:left="240"/>
              <w:spacing w:after="0"/>
              <w:rPr>
                <w:sz w:val="20"/>
                <w:szCs w:val="20"/>
                <w:color w:val="auto"/>
              </w:rPr>
            </w:pPr>
            <w:r>
              <w:rPr>
                <w:rFonts w:ascii="Arial" w:cs="Arial" w:eastAsia="Arial" w:hAnsi="Arial"/>
                <w:sz w:val="13"/>
                <w:szCs w:val="13"/>
                <w:color w:val="auto"/>
              </w:rPr>
              <w:t>Legal provision</w:t>
            </w:r>
          </w:p>
        </w:tc>
        <w:tc>
          <w:tcPr>
            <w:tcW w:w="100" w:type="dxa"/>
            <w:vAlign w:val="bottom"/>
          </w:tcPr>
          <w:p>
            <w:pPr>
              <w:spacing w:after="0"/>
              <w:rPr>
                <w:sz w:val="23"/>
                <w:szCs w:val="2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280.0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280.0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280.0</w:t>
            </w:r>
          </w:p>
        </w:tc>
      </w:tr>
      <w:tr>
        <w:trPr>
          <w:trHeight w:val="164"/>
        </w:trPr>
        <w:tc>
          <w:tcPr>
            <w:tcW w:w="1480" w:type="dxa"/>
            <w:vAlign w:val="bottom"/>
          </w:tcPr>
          <w:p>
            <w:pPr>
              <w:ind w:left="240"/>
              <w:spacing w:after="0"/>
              <w:rPr>
                <w:sz w:val="20"/>
                <w:szCs w:val="20"/>
                <w:color w:val="auto"/>
              </w:rPr>
            </w:pPr>
            <w:r>
              <w:rPr>
                <w:rFonts w:ascii="Arial" w:cs="Arial" w:eastAsia="Arial" w:hAnsi="Arial"/>
                <w:sz w:val="13"/>
                <w:szCs w:val="13"/>
                <w:color w:val="auto"/>
              </w:rPr>
              <w:t>Purchase price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480" w:type="dxa"/>
            <w:vAlign w:val="bottom"/>
          </w:tcPr>
          <w:p>
            <w:pPr>
              <w:ind w:left="240"/>
              <w:spacing w:after="0"/>
              <w:rPr>
                <w:sz w:val="20"/>
                <w:szCs w:val="20"/>
                <w:color w:val="auto"/>
              </w:rPr>
            </w:pPr>
            <w:r>
              <w:rPr>
                <w:rFonts w:ascii="Arial" w:cs="Arial" w:eastAsia="Arial" w:hAnsi="Arial"/>
                <w:sz w:val="13"/>
                <w:szCs w:val="13"/>
                <w:color w:val="auto"/>
                <w:w w:val="93"/>
              </w:rPr>
              <w:t>accounting adjustment</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270"/>
        </w:trPr>
        <w:tc>
          <w:tcPr>
            <w:tcW w:w="1480" w:type="dxa"/>
            <w:vAlign w:val="bottom"/>
          </w:tcPr>
          <w:p>
            <w:pPr>
              <w:ind w:left="240"/>
              <w:spacing w:after="0"/>
              <w:rPr>
                <w:sz w:val="20"/>
                <w:szCs w:val="20"/>
                <w:color w:val="auto"/>
              </w:rPr>
            </w:pPr>
            <w:r>
              <w:rPr>
                <w:rFonts w:ascii="Arial" w:cs="Arial" w:eastAsia="Arial" w:hAnsi="Arial"/>
                <w:sz w:val="13"/>
                <w:szCs w:val="13"/>
                <w:color w:val="auto"/>
              </w:rPr>
              <w:t>Tax reform</w:t>
            </w:r>
          </w:p>
        </w:tc>
        <w:tc>
          <w:tcPr>
            <w:tcW w:w="100" w:type="dxa"/>
            <w:vAlign w:val="bottom"/>
          </w:tcPr>
          <w:p>
            <w:pPr>
              <w:spacing w:after="0"/>
              <w:rPr>
                <w:sz w:val="23"/>
                <w:szCs w:val="2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80"/>
        </w:trPr>
        <w:tc>
          <w:tcPr>
            <w:tcW w:w="1480" w:type="dxa"/>
            <w:vAlign w:val="bottom"/>
          </w:tcPr>
          <w:p>
            <w:pPr>
              <w:ind w:left="24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24"/>
                <w:szCs w:val="2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202.4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42"/>
        </w:trPr>
        <w:tc>
          <w:tcPr>
            <w:tcW w:w="1480" w:type="dxa"/>
            <w:vAlign w:val="bottom"/>
          </w:tcPr>
          <w:p>
            <w:pPr>
              <w:spacing w:after="0"/>
              <w:rPr>
                <w:sz w:val="20"/>
                <w:szCs w:val="20"/>
                <w:color w:val="auto"/>
              </w:rPr>
            </w:pPr>
            <w:r>
              <w:rPr>
                <w:rFonts w:ascii="Arial" w:cs="Arial" w:eastAsia="Arial" w:hAnsi="Arial"/>
                <w:sz w:val="13"/>
                <w:szCs w:val="13"/>
                <w:color w:val="auto"/>
                <w:w w:val="89"/>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138.1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228.5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113.9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342.4</w:t>
            </w:r>
          </w:p>
        </w:tc>
      </w:tr>
      <w:tr>
        <w:trPr>
          <w:trHeight w:val="20"/>
        </w:trPr>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497205</wp:posOffset>
            </wp:positionV>
            <wp:extent cx="4793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620"/>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620"/>
        <w:spacing w:after="0"/>
        <w:rPr>
          <w:sz w:val="20"/>
          <w:szCs w:val="20"/>
          <w:color w:val="auto"/>
        </w:rPr>
      </w:pPr>
      <w:r>
        <w:rPr>
          <w:rFonts w:ascii="Arial" w:cs="Arial" w:eastAsia="Arial" w:hAnsi="Arial"/>
          <w:sz w:val="13"/>
          <w:szCs w:val="13"/>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71120</wp:posOffset>
            </wp:positionV>
            <wp:extent cx="47936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3"/>
              </w:rPr>
              <w:t>expense, income</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Net loss (income)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taxes,</w:t>
            </w:r>
          </w:p>
        </w:tc>
      </w:tr>
      <w:tr>
        <w:trPr>
          <w:trHeight w:val="135"/>
        </w:trPr>
        <w:tc>
          <w:tcPr>
            <w:tcW w:w="1560" w:type="dxa"/>
            <w:vAlign w:val="bottom"/>
          </w:tcPr>
          <w:p>
            <w:pPr>
              <w:spacing w:after="0"/>
              <w:rPr>
                <w:sz w:val="11"/>
                <w:szCs w:val="11"/>
                <w:color w:val="auto"/>
              </w:rPr>
            </w:pPr>
          </w:p>
        </w:tc>
        <w:tc>
          <w:tcPr>
            <w:tcW w:w="11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Net income (loss)</w:t>
            </w: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r>
      <w:tr>
        <w:trPr>
          <w:trHeight w:val="135"/>
        </w:trPr>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noncontrolling</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Net interest</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560" w:type="dxa"/>
            <w:vAlign w:val="bottom"/>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TechnipFMC plc</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0"/>
              </w:rPr>
              <w:t>expense</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15"/>
                <w:szCs w:val="15"/>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(EBITDA)</w:t>
            </w:r>
          </w:p>
        </w:tc>
      </w:tr>
      <w:tr>
        <w:trPr>
          <w:trHeight w:val="241"/>
        </w:trPr>
        <w:tc>
          <w:tcPr>
            <w:tcW w:w="1560" w:type="dxa"/>
            <w:vAlign w:val="bottom"/>
          </w:tcPr>
          <w:p>
            <w:pPr>
              <w:spacing w:after="0"/>
              <w:rPr>
                <w:sz w:val="20"/>
                <w:szCs w:val="20"/>
                <w:color w:val="auto"/>
              </w:rPr>
            </w:pPr>
            <w:r>
              <w:rPr>
                <w:rFonts w:ascii="Arial" w:cs="Arial" w:eastAsia="Arial" w:hAnsi="Arial"/>
                <w:sz w:val="13"/>
                <w:szCs w:val="13"/>
                <w:color w:val="auto"/>
                <w:w w:val="91"/>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(153.9)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295.8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243.0</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153.0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396.0</w:t>
            </w:r>
          </w:p>
        </w:tc>
      </w:tr>
      <w:tr>
        <w:trPr>
          <w:trHeight w:val="486"/>
        </w:trPr>
        <w:tc>
          <w:tcPr>
            <w:tcW w:w="156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18.5</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w w:val="95"/>
              </w:rPr>
              <w:t>Restructuring and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73.5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116.2</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35"/>
        </w:trPr>
        <w:tc>
          <w:tcPr>
            <w:tcW w:w="156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14.6</w:t>
            </w:r>
          </w:p>
        </w:tc>
      </w:tr>
      <w:tr>
        <w:trPr>
          <w:trHeight w:val="164"/>
        </w:trPr>
        <w:tc>
          <w:tcPr>
            <w:tcW w:w="1560" w:type="dxa"/>
            <w:vAlign w:val="bottom"/>
          </w:tcPr>
          <w:p>
            <w:pPr>
              <w:ind w:left="240"/>
              <w:spacing w:after="0"/>
              <w:rPr>
                <w:sz w:val="20"/>
                <w:szCs w:val="20"/>
                <w:color w:val="auto"/>
              </w:rPr>
            </w:pPr>
            <w:r>
              <w:rPr>
                <w:rFonts w:ascii="Arial" w:cs="Arial" w:eastAsia="Arial" w:hAnsi="Arial"/>
                <w:sz w:val="13"/>
                <w:szCs w:val="13"/>
                <w:color w:val="auto"/>
              </w:rPr>
              <w:t>Purchase price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0"/>
        </w:trPr>
        <w:tc>
          <w:tcPr>
            <w:tcW w:w="1560" w:type="dxa"/>
            <w:vAlign w:val="bottom"/>
          </w:tcPr>
          <w:p>
            <w:pPr>
              <w:ind w:left="240"/>
              <w:spacing w:after="0"/>
              <w:rPr>
                <w:sz w:val="20"/>
                <w:szCs w:val="20"/>
                <w:color w:val="auto"/>
              </w:rPr>
            </w:pPr>
            <w:r>
              <w:rPr>
                <w:rFonts w:ascii="Arial" w:cs="Arial" w:eastAsia="Arial" w:hAnsi="Arial"/>
                <w:sz w:val="13"/>
                <w:szCs w:val="13"/>
                <w:color w:val="auto"/>
                <w:w w:val="99"/>
              </w:rPr>
              <w:t>accounting adjustment</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(20.3)</w:t>
            </w:r>
          </w:p>
        </w:tc>
      </w:tr>
      <w:tr>
        <w:trPr>
          <w:trHeight w:val="280"/>
        </w:trPr>
        <w:tc>
          <w:tcPr>
            <w:tcW w:w="1560" w:type="dxa"/>
            <w:vAlign w:val="bottom"/>
          </w:tcPr>
          <w:p>
            <w:pPr>
              <w:ind w:left="240"/>
              <w:spacing w:after="0"/>
              <w:rPr>
                <w:sz w:val="20"/>
                <w:szCs w:val="20"/>
                <w:color w:val="auto"/>
              </w:rPr>
            </w:pPr>
            <w:r>
              <w:rPr>
                <w:rFonts w:ascii="Arial" w:cs="Arial" w:eastAsia="Arial" w:hAnsi="Arial"/>
                <w:sz w:val="13"/>
                <w:szCs w:val="13"/>
                <w:color w:val="auto"/>
              </w:rPr>
              <w:t>Tax reform</w:t>
            </w:r>
          </w:p>
        </w:tc>
        <w:tc>
          <w:tcPr>
            <w:tcW w:w="100" w:type="dxa"/>
            <w:vAlign w:val="bottom"/>
          </w:tcPr>
          <w:p>
            <w:pPr>
              <w:spacing w:after="0"/>
              <w:rPr>
                <w:sz w:val="24"/>
                <w:szCs w:val="2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138.2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42"/>
        </w:trPr>
        <w:tc>
          <w:tcPr>
            <w:tcW w:w="1560" w:type="dxa"/>
            <w:vAlign w:val="bottom"/>
          </w:tcPr>
          <w:p>
            <w:pPr>
              <w:spacing w:after="0"/>
              <w:rPr>
                <w:sz w:val="20"/>
                <w:szCs w:val="20"/>
                <w:color w:val="auto"/>
              </w:rPr>
            </w:pPr>
            <w:r>
              <w:rPr>
                <w:rFonts w:ascii="Arial" w:cs="Arial" w:eastAsia="Arial" w:hAnsi="Arial"/>
                <w:sz w:val="13"/>
                <w:szCs w:val="13"/>
                <w:color w:val="auto"/>
                <w:w w:val="94"/>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90.9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215.1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(74.7)</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525.0</w:t>
            </w:r>
          </w:p>
        </w:tc>
      </w:tr>
      <w:tr>
        <w:trPr>
          <w:trHeight w:val="20"/>
        </w:trPr>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26"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TECHNIPFMC PLC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RECONCILIATION OF GAAP TO NON-GAAP FINANCIAL MEASURES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Charges and Credits</w:t>
      </w:r>
    </w:p>
    <w:p>
      <w:pPr>
        <w:spacing w:after="0" w:line="20" w:lineRule="exact"/>
        <w:rPr>
          <w:sz w:val="20"/>
          <w:szCs w:val="20"/>
          <w:color w:val="auto"/>
        </w:rPr>
      </w:pPr>
    </w:p>
    <w:p>
      <w:pPr>
        <w:ind w:right="140"/>
        <w:spacing w:after="0" w:line="288" w:lineRule="auto"/>
        <w:rPr>
          <w:sz w:val="20"/>
          <w:szCs w:val="20"/>
          <w:color w:val="auto"/>
        </w:rPr>
      </w:pPr>
      <w:r>
        <w:rPr>
          <w:rFonts w:ascii="Arial" w:cs="Arial" w:eastAsia="Arial" w:hAnsi="Arial"/>
          <w:sz w:val="11"/>
          <w:szCs w:val="11"/>
          <w:color w:val="auto"/>
        </w:rPr>
        <w:t>In addition to financial results determined in accordance with U.S. generally accepted accounting principles (GAAP), the fourth quarter 2018 Earnings Release also includes non-GAAP financial measures (as defined in Item 10 of Regulation S-K of the Securities Exchange Act of 1934, as amended) and describes performance on a year-over-year basis against 2017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209550</wp:posOffset>
            </wp:positionV>
            <wp:extent cx="4836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399" w:lineRule="exact"/>
        <w:rPr>
          <w:sz w:val="20"/>
          <w:szCs w:val="20"/>
          <w:color w:val="auto"/>
        </w:rPr>
      </w:pPr>
    </w:p>
    <w:p>
      <w:pPr>
        <w:jc w:val="center"/>
        <w:ind w:left="1540"/>
        <w:spacing w:after="0"/>
        <w:rPr>
          <w:sz w:val="20"/>
          <w:szCs w:val="20"/>
          <w:color w:val="auto"/>
        </w:rPr>
      </w:pPr>
      <w:r>
        <w:rPr>
          <w:rFonts w:ascii="Arial" w:cs="Arial" w:eastAsia="Arial" w:hAnsi="Arial"/>
          <w:sz w:val="13"/>
          <w:szCs w:val="13"/>
          <w:b w:val="1"/>
          <w:bCs w:val="1"/>
          <w:color w:val="auto"/>
        </w:rPr>
        <w:t>Year Ended</w:t>
      </w:r>
    </w:p>
    <w:p>
      <w:pPr>
        <w:spacing w:after="0" w:line="40" w:lineRule="exact"/>
        <w:rPr>
          <w:sz w:val="20"/>
          <w:szCs w:val="20"/>
          <w:color w:val="auto"/>
        </w:rPr>
      </w:pPr>
    </w:p>
    <w:p>
      <w:pPr>
        <w:jc w:val="center"/>
        <w:ind w:left="1540"/>
        <w:spacing w:after="0"/>
        <w:rPr>
          <w:sz w:val="20"/>
          <w:szCs w:val="20"/>
          <w:color w:val="auto"/>
        </w:rPr>
      </w:pPr>
      <w:r>
        <w:rPr>
          <w:rFonts w:ascii="Arial" w:cs="Arial" w:eastAsia="Arial" w:hAnsi="Arial"/>
          <w:sz w:val="13"/>
          <w:szCs w:val="13"/>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71120</wp:posOffset>
            </wp:positionV>
            <wp:extent cx="48367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Earnings (loss)</w:t>
            </w: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before net</w:t>
            </w: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2"/>
              </w:rPr>
              <w:t>interest expense,</w:t>
            </w: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before 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r>
      <w:tr>
        <w:trPr>
          <w:trHeight w:val="135"/>
        </w:trPr>
        <w:tc>
          <w:tcPr>
            <w:tcW w:w="148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Net income (loss)</w:t>
            </w:r>
          </w:p>
        </w:tc>
        <w:tc>
          <w:tcPr>
            <w:tcW w:w="10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expense and</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depreciation and</w:t>
            </w:r>
          </w:p>
        </w:tc>
      </w:tr>
      <w:tr>
        <w:trPr>
          <w:trHeight w:val="135"/>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480" w:type="dxa"/>
            <w:vAlign w:val="bottom"/>
          </w:tcPr>
          <w:p>
            <w:pPr>
              <w:spacing w:after="0"/>
              <w:rPr>
                <w:sz w:val="15"/>
                <w:szCs w:val="15"/>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TechnipFMC plc</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1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(Operating 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r>
      <w:tr>
        <w:trPr>
          <w:trHeight w:val="134"/>
        </w:trPr>
        <w:tc>
          <w:tcPr>
            <w:tcW w:w="1480" w:type="dxa"/>
            <w:vAlign w:val="bottom"/>
          </w:tcPr>
          <w:p>
            <w:pPr>
              <w:spacing w:after="0" w:line="134" w:lineRule="exact"/>
              <w:rPr>
                <w:sz w:val="20"/>
                <w:szCs w:val="20"/>
                <w:color w:val="auto"/>
              </w:rPr>
            </w:pPr>
            <w:r>
              <w:rPr>
                <w:rFonts w:ascii="Arial" w:cs="Arial" w:eastAsia="Arial" w:hAnsi="Arial"/>
                <w:sz w:val="13"/>
                <w:szCs w:val="13"/>
                <w:color w:val="auto"/>
              </w:rPr>
              <w:t>TechnipFMC plc, as</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r>
        <w:trPr>
          <w:trHeight w:val="160"/>
        </w:trPr>
        <w:tc>
          <w:tcPr>
            <w:tcW w:w="1480" w:type="dxa"/>
            <w:vAlign w:val="bottom"/>
          </w:tcPr>
          <w:p>
            <w:pPr>
              <w:spacing w:after="0"/>
              <w:rPr>
                <w:sz w:val="20"/>
                <w:szCs w:val="20"/>
                <w:color w:val="auto"/>
              </w:rPr>
            </w:pPr>
            <w:r>
              <w:rPr>
                <w:rFonts w:ascii="Arial" w:cs="Arial" w:eastAsia="Arial" w:hAnsi="Arial"/>
                <w:sz w:val="13"/>
                <w:szCs w:val="13"/>
                <w:color w:val="auto"/>
              </w:rPr>
              <w:t>reported</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(1,921.6)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422.7</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(360.9)</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(1,127.2)</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550.4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(576.8)</w:t>
            </w:r>
          </w:p>
        </w:tc>
      </w:tr>
      <w:tr>
        <w:trPr>
          <w:trHeight w:val="486"/>
        </w:trPr>
        <w:tc>
          <w:tcPr>
            <w:tcW w:w="148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4"/>
        </w:trPr>
        <w:tc>
          <w:tcPr>
            <w:tcW w:w="1480" w:type="dxa"/>
            <w:vAlign w:val="bottom"/>
          </w:tcPr>
          <w:p>
            <w:pPr>
              <w:ind w:left="240"/>
              <w:spacing w:after="0"/>
              <w:rPr>
                <w:sz w:val="20"/>
                <w:szCs w:val="20"/>
                <w:color w:val="auto"/>
              </w:rPr>
            </w:pPr>
            <w:r>
              <w:rPr>
                <w:rFonts w:ascii="Arial" w:cs="Arial" w:eastAsia="Arial" w:hAnsi="Arial"/>
                <w:sz w:val="13"/>
                <w:szCs w:val="13"/>
                <w:color w:val="auto"/>
                <w:w w:val="98"/>
              </w:rPr>
              <w:t>Impairment and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480" w:type="dxa"/>
            <w:vAlign w:val="bottom"/>
          </w:tcPr>
          <w:p>
            <w:pPr>
              <w:ind w:left="240"/>
              <w:spacing w:after="0"/>
              <w:rPr>
                <w:sz w:val="20"/>
                <w:szCs w:val="20"/>
                <w:color w:val="auto"/>
              </w:rPr>
            </w:pPr>
            <w:r>
              <w:rPr>
                <w:rFonts w:ascii="Arial" w:cs="Arial" w:eastAsia="Arial" w:hAnsi="Arial"/>
                <w:sz w:val="13"/>
                <w:szCs w:val="13"/>
                <w:color w:val="auto"/>
              </w:rPr>
              <w:t>charges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1,698.2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1,792.6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1,792.6</w:t>
            </w:r>
          </w:p>
        </w:tc>
      </w:tr>
      <w:tr>
        <w:trPr>
          <w:trHeight w:val="164"/>
        </w:trPr>
        <w:tc>
          <w:tcPr>
            <w:tcW w:w="1480" w:type="dxa"/>
            <w:vAlign w:val="bottom"/>
          </w:tcPr>
          <w:p>
            <w:pPr>
              <w:ind w:left="240"/>
              <w:spacing w:after="0"/>
              <w:rPr>
                <w:sz w:val="20"/>
                <w:szCs w:val="20"/>
                <w:color w:val="auto"/>
              </w:rPr>
            </w:pPr>
            <w:r>
              <w:rPr>
                <w:rFonts w:ascii="Arial" w:cs="Arial" w:eastAsia="Arial" w:hAnsi="Arial"/>
                <w:sz w:val="13"/>
                <w:szCs w:val="13"/>
                <w:color w:val="auto"/>
                <w:w w:val="89"/>
              </w:rPr>
              <w:t>Restructuring and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48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38.6</w:t>
            </w:r>
          </w:p>
        </w:tc>
      </w:tr>
      <w:tr>
        <w:trPr>
          <w:trHeight w:val="164"/>
        </w:trPr>
        <w:tc>
          <w:tcPr>
            <w:tcW w:w="1480" w:type="dxa"/>
            <w:vAlign w:val="bottom"/>
          </w:tcPr>
          <w:p>
            <w:pPr>
              <w:ind w:left="240"/>
              <w:spacing w:after="0"/>
              <w:rPr>
                <w:sz w:val="20"/>
                <w:szCs w:val="20"/>
                <w:color w:val="auto"/>
              </w:rPr>
            </w:pPr>
            <w:r>
              <w:rPr>
                <w:rFonts w:ascii="Arial" w:cs="Arial" w:eastAsia="Arial" w:hAnsi="Arial"/>
                <w:sz w:val="13"/>
                <w:szCs w:val="13"/>
                <w:color w:val="auto"/>
                <w:w w:val="96"/>
              </w:rPr>
              <w:t>Business combination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5"/>
        </w:trPr>
        <w:tc>
          <w:tcPr>
            <w:tcW w:w="1480" w:type="dxa"/>
            <w:vAlign w:val="bottom"/>
          </w:tcPr>
          <w:p>
            <w:pPr>
              <w:ind w:left="240"/>
              <w:spacing w:after="0" w:line="135" w:lineRule="exact"/>
              <w:rPr>
                <w:sz w:val="20"/>
                <w:szCs w:val="20"/>
                <w:color w:val="auto"/>
              </w:rPr>
            </w:pPr>
            <w:r>
              <w:rPr>
                <w:rFonts w:ascii="Arial" w:cs="Arial" w:eastAsia="Arial" w:hAnsi="Arial"/>
                <w:sz w:val="13"/>
                <w:szCs w:val="13"/>
                <w:color w:val="auto"/>
              </w:rPr>
              <w:t>transaction and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0"/>
        </w:trPr>
        <w:tc>
          <w:tcPr>
            <w:tcW w:w="1480" w:type="dxa"/>
            <w:vAlign w:val="bottom"/>
          </w:tcPr>
          <w:p>
            <w:pPr>
              <w:ind w:left="24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36.5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36.5</w:t>
            </w:r>
          </w:p>
        </w:tc>
      </w:tr>
      <w:tr>
        <w:trPr>
          <w:trHeight w:val="270"/>
        </w:trPr>
        <w:tc>
          <w:tcPr>
            <w:tcW w:w="1480" w:type="dxa"/>
            <w:vAlign w:val="bottom"/>
          </w:tcPr>
          <w:p>
            <w:pPr>
              <w:ind w:left="240"/>
              <w:spacing w:after="0"/>
              <w:rPr>
                <w:sz w:val="20"/>
                <w:szCs w:val="20"/>
                <w:color w:val="auto"/>
              </w:rPr>
            </w:pPr>
            <w:r>
              <w:rPr>
                <w:rFonts w:ascii="Arial" w:cs="Arial" w:eastAsia="Arial" w:hAnsi="Arial"/>
                <w:sz w:val="13"/>
                <w:szCs w:val="13"/>
                <w:color w:val="auto"/>
              </w:rPr>
              <w:t>Legal provision</w:t>
            </w:r>
          </w:p>
        </w:tc>
        <w:tc>
          <w:tcPr>
            <w:tcW w:w="100" w:type="dxa"/>
            <w:vAlign w:val="bottom"/>
          </w:tcPr>
          <w:p>
            <w:pPr>
              <w:spacing w:after="0"/>
              <w:rPr>
                <w:sz w:val="23"/>
                <w:szCs w:val="2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280.0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280.0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280.0</w:t>
            </w:r>
          </w:p>
        </w:tc>
      </w:tr>
      <w:tr>
        <w:trPr>
          <w:trHeight w:val="270"/>
        </w:trPr>
        <w:tc>
          <w:tcPr>
            <w:tcW w:w="1480" w:type="dxa"/>
            <w:vAlign w:val="bottom"/>
          </w:tcPr>
          <w:p>
            <w:pPr>
              <w:ind w:left="240"/>
              <w:spacing w:after="0"/>
              <w:rPr>
                <w:sz w:val="20"/>
                <w:szCs w:val="20"/>
                <w:color w:val="auto"/>
              </w:rPr>
            </w:pPr>
            <w:r>
              <w:rPr>
                <w:rFonts w:ascii="Arial" w:cs="Arial" w:eastAsia="Arial" w:hAnsi="Arial"/>
                <w:sz w:val="13"/>
                <w:szCs w:val="13"/>
                <w:color w:val="auto"/>
              </w:rPr>
              <w:t>Gain on divestitures</w:t>
            </w:r>
          </w:p>
        </w:tc>
        <w:tc>
          <w:tcPr>
            <w:tcW w:w="10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(31.6)</w:t>
            </w:r>
          </w:p>
        </w:tc>
      </w:tr>
      <w:tr>
        <w:trPr>
          <w:trHeight w:val="164"/>
        </w:trPr>
        <w:tc>
          <w:tcPr>
            <w:tcW w:w="1480" w:type="dxa"/>
            <w:vAlign w:val="bottom"/>
          </w:tcPr>
          <w:p>
            <w:pPr>
              <w:ind w:left="240"/>
              <w:spacing w:after="0"/>
              <w:rPr>
                <w:sz w:val="20"/>
                <w:szCs w:val="20"/>
                <w:color w:val="auto"/>
              </w:rPr>
            </w:pPr>
            <w:r>
              <w:rPr>
                <w:rFonts w:ascii="Arial" w:cs="Arial" w:eastAsia="Arial" w:hAnsi="Arial"/>
                <w:sz w:val="13"/>
                <w:szCs w:val="13"/>
                <w:color w:val="auto"/>
              </w:rPr>
              <w:t>Purchase price</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0"/>
        </w:trPr>
        <w:tc>
          <w:tcPr>
            <w:tcW w:w="1480" w:type="dxa"/>
            <w:vAlign w:val="bottom"/>
          </w:tcPr>
          <w:p>
            <w:pPr>
              <w:ind w:left="240"/>
              <w:spacing w:after="0"/>
              <w:rPr>
                <w:sz w:val="20"/>
                <w:szCs w:val="20"/>
                <w:color w:val="auto"/>
              </w:rPr>
            </w:pPr>
            <w:r>
              <w:rPr>
                <w:rFonts w:ascii="Arial" w:cs="Arial" w:eastAsia="Arial" w:hAnsi="Arial"/>
                <w:sz w:val="13"/>
                <w:szCs w:val="13"/>
                <w:color w:val="auto"/>
                <w:w w:val="93"/>
              </w:rPr>
              <w:t>accounting adjustment</w:t>
            </w:r>
          </w:p>
        </w:tc>
        <w:tc>
          <w:tcPr>
            <w:tcW w:w="10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88.8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70"/>
        </w:trPr>
        <w:tc>
          <w:tcPr>
            <w:tcW w:w="1480" w:type="dxa"/>
            <w:vAlign w:val="bottom"/>
          </w:tcPr>
          <w:p>
            <w:pPr>
              <w:ind w:left="240"/>
              <w:spacing w:after="0"/>
              <w:rPr>
                <w:sz w:val="20"/>
                <w:szCs w:val="20"/>
                <w:color w:val="auto"/>
              </w:rPr>
            </w:pPr>
            <w:r>
              <w:rPr>
                <w:rFonts w:ascii="Arial" w:cs="Arial" w:eastAsia="Arial" w:hAnsi="Arial"/>
                <w:sz w:val="13"/>
                <w:szCs w:val="13"/>
                <w:color w:val="auto"/>
              </w:rPr>
              <w:t>Tax reform</w:t>
            </w:r>
          </w:p>
        </w:tc>
        <w:tc>
          <w:tcPr>
            <w:tcW w:w="100" w:type="dxa"/>
            <w:vAlign w:val="bottom"/>
          </w:tcPr>
          <w:p>
            <w:pPr>
              <w:spacing w:after="0"/>
              <w:rPr>
                <w:sz w:val="23"/>
                <w:szCs w:val="23"/>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80"/>
        </w:trPr>
        <w:tc>
          <w:tcPr>
            <w:tcW w:w="1480" w:type="dxa"/>
            <w:vAlign w:val="bottom"/>
          </w:tcPr>
          <w:p>
            <w:pPr>
              <w:ind w:left="24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24"/>
                <w:szCs w:val="24"/>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213.8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42"/>
        </w:trPr>
        <w:tc>
          <w:tcPr>
            <w:tcW w:w="1480" w:type="dxa"/>
            <w:vAlign w:val="bottom"/>
          </w:tcPr>
          <w:p>
            <w:pPr>
              <w:spacing w:after="0"/>
              <w:rPr>
                <w:sz w:val="20"/>
                <w:szCs w:val="20"/>
                <w:color w:val="auto"/>
              </w:rPr>
            </w:pPr>
            <w:r>
              <w:rPr>
                <w:rFonts w:ascii="Arial" w:cs="Arial" w:eastAsia="Arial" w:hAnsi="Arial"/>
                <w:sz w:val="13"/>
                <w:szCs w:val="13"/>
                <w:color w:val="auto"/>
                <w:w w:val="89"/>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377.1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328.9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1,077.7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459.1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1,536.8</w:t>
            </w:r>
          </w:p>
        </w:tc>
      </w:tr>
      <w:tr>
        <w:trPr>
          <w:trHeight w:val="20"/>
        </w:trPr>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497205</wp:posOffset>
            </wp:positionV>
            <wp:extent cx="47421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700"/>
        <w:spacing w:after="0"/>
        <w:rPr>
          <w:sz w:val="20"/>
          <w:szCs w:val="20"/>
          <w:color w:val="auto"/>
        </w:rPr>
      </w:pPr>
      <w:r>
        <w:rPr>
          <w:rFonts w:ascii="Arial" w:cs="Arial" w:eastAsia="Arial" w:hAnsi="Arial"/>
          <w:sz w:val="13"/>
          <w:szCs w:val="13"/>
          <w:b w:val="1"/>
          <w:bCs w:val="1"/>
          <w:color w:val="auto"/>
        </w:rPr>
        <w:t>Year Ended</w:t>
      </w:r>
    </w:p>
    <w:p>
      <w:pPr>
        <w:spacing w:after="0" w:line="40" w:lineRule="exact"/>
        <w:rPr>
          <w:sz w:val="20"/>
          <w:szCs w:val="20"/>
          <w:color w:val="auto"/>
        </w:rPr>
      </w:pPr>
    </w:p>
    <w:p>
      <w:pPr>
        <w:jc w:val="center"/>
        <w:ind w:left="1700"/>
        <w:spacing w:after="0"/>
        <w:rPr>
          <w:sz w:val="20"/>
          <w:szCs w:val="20"/>
          <w:color w:val="auto"/>
        </w:rPr>
      </w:pPr>
      <w:r>
        <w:rPr>
          <w:rFonts w:ascii="Arial" w:cs="Arial" w:eastAsia="Arial" w:hAnsi="Arial"/>
          <w:sz w:val="13"/>
          <w:szCs w:val="13"/>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71120</wp:posOffset>
            </wp:positionV>
            <wp:extent cx="47421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0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Earnings before</w:t>
            </w:r>
          </w:p>
        </w:tc>
      </w:tr>
      <w:tr>
        <w:trPr>
          <w:trHeight w:val="135"/>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net interest</w:t>
            </w:r>
          </w:p>
        </w:tc>
      </w:tr>
      <w:tr>
        <w:trPr>
          <w:trHeight w:val="135"/>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Income before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8"/>
              </w:rPr>
              <w:t>expense,</w:t>
            </w:r>
          </w:p>
        </w:tc>
      </w:tr>
      <w:tr>
        <w:trPr>
          <w:trHeight w:val="135"/>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net interest</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income taxes,</w:t>
            </w:r>
          </w:p>
        </w:tc>
      </w:tr>
      <w:tr>
        <w:trPr>
          <w:trHeight w:val="135"/>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Net income</w:t>
            </w:r>
          </w:p>
        </w:tc>
        <w:tc>
          <w:tcPr>
            <w:tcW w:w="8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Net loss (income)</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expense and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depreciation</w:t>
            </w:r>
          </w:p>
        </w:tc>
      </w:tr>
      <w:tr>
        <w:trPr>
          <w:trHeight w:val="135"/>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attributable to</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income taxes</w:t>
            </w: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35"/>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TechnipFMC</w:t>
            </w:r>
          </w:p>
        </w:tc>
        <w:tc>
          <w:tcPr>
            <w:tcW w:w="8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noncontrolling</w:t>
            </w:r>
          </w:p>
        </w:tc>
        <w:tc>
          <w:tcPr>
            <w:tcW w:w="10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Provision for</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Net interest</w:t>
            </w:r>
          </w:p>
        </w:tc>
        <w:tc>
          <w:tcPr>
            <w:tcW w:w="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(Operating</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and</w:t>
            </w:r>
          </w:p>
        </w:tc>
        <w:tc>
          <w:tcPr>
            <w:tcW w:w="100" w:type="dxa"/>
            <w:vAlign w:val="bottom"/>
          </w:tcPr>
          <w:p>
            <w:pPr>
              <w:spacing w:after="0"/>
              <w:rPr>
                <w:sz w:val="11"/>
                <w:szCs w:val="11"/>
                <w:color w:val="auto"/>
              </w:rPr>
            </w:pPr>
          </w:p>
        </w:tc>
        <w:tc>
          <w:tcPr>
            <w:tcW w:w="8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amortization</w:t>
            </w:r>
          </w:p>
        </w:tc>
      </w:tr>
      <w:tr>
        <w:trPr>
          <w:trHeight w:val="174"/>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plc</w:t>
            </w:r>
          </w:p>
        </w:tc>
        <w:tc>
          <w:tcPr>
            <w:tcW w:w="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income taxes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8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profit)</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r>
      <w:tr>
        <w:trPr>
          <w:trHeight w:val="241"/>
        </w:trPr>
        <w:tc>
          <w:tcPr>
            <w:tcW w:w="1640" w:type="dxa"/>
            <w:vAlign w:val="bottom"/>
          </w:tcPr>
          <w:p>
            <w:pPr>
              <w:spacing w:after="0"/>
              <w:rPr>
                <w:sz w:val="20"/>
                <w:szCs w:val="20"/>
                <w:color w:val="auto"/>
              </w:rPr>
            </w:pPr>
            <w:r>
              <w:rPr>
                <w:rFonts w:ascii="Arial" w:cs="Arial" w:eastAsia="Arial" w:hAnsi="Arial"/>
                <w:sz w:val="13"/>
                <w:szCs w:val="13"/>
                <w:color w:val="auto"/>
                <w:w w:val="96"/>
              </w:rPr>
              <w:t>TechnipFMC plc, as reported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113.3</w:t>
            </w:r>
          </w:p>
        </w:tc>
        <w:tc>
          <w:tcPr>
            <w:tcW w:w="10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545.5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(315.2)</w:t>
            </w:r>
          </w:p>
        </w:tc>
        <w:tc>
          <w:tcPr>
            <w:tcW w:w="10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994.9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614.7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1,609.6</w:t>
            </w:r>
          </w:p>
        </w:tc>
      </w:tr>
      <w:tr>
        <w:trPr>
          <w:trHeight w:val="486"/>
        </w:trPr>
        <w:tc>
          <w:tcPr>
            <w:tcW w:w="1640" w:type="dxa"/>
            <w:vAlign w:val="bottom"/>
          </w:tcPr>
          <w:p>
            <w:pPr>
              <w:spacing w:after="0"/>
              <w:rPr>
                <w:sz w:val="20"/>
                <w:szCs w:val="20"/>
                <w:color w:val="auto"/>
              </w:rPr>
            </w:pPr>
            <w:r>
              <w:rPr>
                <w:rFonts w:ascii="Arial" w:cs="Arial" w:eastAsia="Arial" w:hAnsi="Arial"/>
                <w:sz w:val="13"/>
                <w:szCs w:val="13"/>
                <w:color w:val="auto"/>
              </w:rPr>
              <w:t>Charges and (credits):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1640" w:type="dxa"/>
            <w:vAlign w:val="bottom"/>
          </w:tcPr>
          <w:p>
            <w:pPr>
              <w:ind w:left="240"/>
              <w:spacing w:after="0"/>
              <w:rPr>
                <w:sz w:val="20"/>
                <w:szCs w:val="20"/>
                <w:color w:val="auto"/>
              </w:rPr>
            </w:pPr>
            <w:r>
              <w:rPr>
                <w:rFonts w:ascii="Arial" w:cs="Arial" w:eastAsia="Arial" w:hAnsi="Arial"/>
                <w:sz w:val="13"/>
                <w:szCs w:val="13"/>
                <w:color w:val="auto"/>
              </w:rPr>
              <w:t>Impairment and 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640" w:type="dxa"/>
            <w:vAlign w:val="bottom"/>
          </w:tcPr>
          <w:p>
            <w:pPr>
              <w:ind w:left="240"/>
              <w:spacing w:after="0"/>
              <w:rPr>
                <w:sz w:val="20"/>
                <w:szCs w:val="20"/>
                <w:color w:val="auto"/>
              </w:rPr>
            </w:pPr>
            <w:r>
              <w:rPr>
                <w:rFonts w:ascii="Arial" w:cs="Arial" w:eastAsia="Arial" w:hAnsi="Arial"/>
                <w:sz w:val="13"/>
                <w:szCs w:val="13"/>
                <w:color w:val="auto"/>
              </w:rPr>
              <w:t>charges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27.5</w:t>
            </w:r>
          </w:p>
        </w:tc>
      </w:tr>
      <w:tr>
        <w:trPr>
          <w:trHeight w:val="164"/>
        </w:trPr>
        <w:tc>
          <w:tcPr>
            <w:tcW w:w="1640" w:type="dxa"/>
            <w:vAlign w:val="bottom"/>
          </w:tcPr>
          <w:p>
            <w:pPr>
              <w:ind w:left="240"/>
              <w:spacing w:after="0"/>
              <w:rPr>
                <w:sz w:val="20"/>
                <w:szCs w:val="20"/>
                <w:color w:val="auto"/>
              </w:rPr>
            </w:pPr>
            <w:r>
              <w:rPr>
                <w:rFonts w:ascii="Arial" w:cs="Arial" w:eastAsia="Arial" w:hAnsi="Arial"/>
                <w:sz w:val="13"/>
                <w:szCs w:val="13"/>
                <w:color w:val="auto"/>
              </w:rPr>
              <w:t>Restructuring and other</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640" w:type="dxa"/>
            <w:vAlign w:val="bottom"/>
          </w:tcPr>
          <w:p>
            <w:pPr>
              <w:ind w:left="240"/>
              <w:spacing w:after="0"/>
              <w:rPr>
                <w:sz w:val="20"/>
                <w:szCs w:val="20"/>
                <w:color w:val="auto"/>
              </w:rPr>
            </w:pPr>
            <w:r>
              <w:rPr>
                <w:rFonts w:ascii="Arial" w:cs="Arial" w:eastAsia="Arial" w:hAnsi="Arial"/>
                <w:sz w:val="13"/>
                <w:szCs w:val="13"/>
                <w:color w:val="auto"/>
              </w:rPr>
              <w:t>severance charges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61.4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164.0</w:t>
            </w:r>
          </w:p>
        </w:tc>
      </w:tr>
      <w:tr>
        <w:trPr>
          <w:trHeight w:val="164"/>
        </w:trPr>
        <w:tc>
          <w:tcPr>
            <w:tcW w:w="1640" w:type="dxa"/>
            <w:vAlign w:val="bottom"/>
          </w:tcPr>
          <w:p>
            <w:pPr>
              <w:ind w:left="240"/>
              <w:spacing w:after="0"/>
              <w:rPr>
                <w:sz w:val="20"/>
                <w:szCs w:val="20"/>
                <w:color w:val="auto"/>
              </w:rPr>
            </w:pPr>
            <w:r>
              <w:rPr>
                <w:rFonts w:ascii="Arial" w:cs="Arial" w:eastAsia="Arial" w:hAnsi="Arial"/>
                <w:sz w:val="13"/>
                <w:szCs w:val="13"/>
                <w:color w:val="auto"/>
              </w:rPr>
              <w:t>Business combination</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35"/>
        </w:trPr>
        <w:tc>
          <w:tcPr>
            <w:tcW w:w="1640" w:type="dxa"/>
            <w:vAlign w:val="bottom"/>
          </w:tcPr>
          <w:p>
            <w:pPr>
              <w:ind w:left="240"/>
              <w:spacing w:after="0" w:line="135" w:lineRule="exact"/>
              <w:rPr>
                <w:sz w:val="20"/>
                <w:szCs w:val="20"/>
                <w:color w:val="auto"/>
              </w:rPr>
            </w:pPr>
            <w:r>
              <w:rPr>
                <w:rFonts w:ascii="Arial" w:cs="Arial" w:eastAsia="Arial" w:hAnsi="Arial"/>
                <w:sz w:val="13"/>
                <w:szCs w:val="13"/>
                <w:color w:val="auto"/>
                <w:w w:val="90"/>
              </w:rPr>
              <w:t>transaction and integration</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1640" w:type="dxa"/>
            <w:vAlign w:val="bottom"/>
          </w:tcPr>
          <w:p>
            <w:pPr>
              <w:ind w:left="240"/>
              <w:spacing w:after="0"/>
              <w:rPr>
                <w:sz w:val="20"/>
                <w:szCs w:val="20"/>
                <w:color w:val="auto"/>
              </w:rPr>
            </w:pPr>
            <w:r>
              <w:rPr>
                <w:rFonts w:ascii="Arial" w:cs="Arial" w:eastAsia="Arial" w:hAnsi="Arial"/>
                <w:sz w:val="13"/>
                <w:szCs w:val="13"/>
                <w:color w:val="auto"/>
              </w:rPr>
              <w:t>costs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38.1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101.8</w:t>
            </w:r>
          </w:p>
        </w:tc>
      </w:tr>
      <w:tr>
        <w:trPr>
          <w:trHeight w:val="164"/>
        </w:trPr>
        <w:tc>
          <w:tcPr>
            <w:tcW w:w="1640" w:type="dxa"/>
            <w:vAlign w:val="bottom"/>
          </w:tcPr>
          <w:p>
            <w:pPr>
              <w:ind w:left="240"/>
              <w:spacing w:after="0"/>
              <w:rPr>
                <w:sz w:val="20"/>
                <w:szCs w:val="20"/>
                <w:color w:val="auto"/>
              </w:rPr>
            </w:pPr>
            <w:r>
              <w:rPr>
                <w:rFonts w:ascii="Arial" w:cs="Arial" w:eastAsia="Arial" w:hAnsi="Arial"/>
                <w:sz w:val="13"/>
                <w:szCs w:val="13"/>
                <w:color w:val="auto"/>
              </w:rPr>
              <w:t>Change in accounting</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640" w:type="dxa"/>
            <w:vAlign w:val="bottom"/>
          </w:tcPr>
          <w:p>
            <w:pPr>
              <w:ind w:left="240"/>
              <w:spacing w:after="0"/>
              <w:rPr>
                <w:sz w:val="20"/>
                <w:szCs w:val="20"/>
                <w:color w:val="auto"/>
              </w:rPr>
            </w:pPr>
            <w:r>
              <w:rPr>
                <w:rFonts w:ascii="Arial" w:cs="Arial" w:eastAsia="Arial" w:hAnsi="Arial"/>
                <w:sz w:val="13"/>
                <w:szCs w:val="13"/>
                <w:color w:val="auto"/>
              </w:rPr>
              <w:t>estimate</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21.9</w:t>
            </w:r>
          </w:p>
        </w:tc>
      </w:tr>
      <w:tr>
        <w:trPr>
          <w:trHeight w:val="164"/>
        </w:trPr>
        <w:tc>
          <w:tcPr>
            <w:tcW w:w="1640" w:type="dxa"/>
            <w:vAlign w:val="bottom"/>
          </w:tcPr>
          <w:p>
            <w:pPr>
              <w:ind w:left="240"/>
              <w:spacing w:after="0"/>
              <w:rPr>
                <w:sz w:val="20"/>
                <w:szCs w:val="20"/>
                <w:color w:val="auto"/>
              </w:rPr>
            </w:pPr>
            <w:r>
              <w:rPr>
                <w:rFonts w:ascii="Arial" w:cs="Arial" w:eastAsia="Arial" w:hAnsi="Arial"/>
                <w:sz w:val="13"/>
                <w:szCs w:val="13"/>
                <w:color w:val="auto"/>
                <w:w w:val="90"/>
              </w:rPr>
              <w:t>Purchase price accounting</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0"/>
        </w:trPr>
        <w:tc>
          <w:tcPr>
            <w:tcW w:w="1640" w:type="dxa"/>
            <w:vAlign w:val="bottom"/>
          </w:tcPr>
          <w:p>
            <w:pPr>
              <w:ind w:left="240"/>
              <w:spacing w:after="0"/>
              <w:rPr>
                <w:sz w:val="20"/>
                <w:szCs w:val="20"/>
                <w:color w:val="auto"/>
              </w:rPr>
            </w:pPr>
            <w:r>
              <w:rPr>
                <w:rFonts w:ascii="Arial" w:cs="Arial" w:eastAsia="Arial" w:hAnsi="Arial"/>
                <w:sz w:val="13"/>
                <w:szCs w:val="13"/>
                <w:color w:val="auto"/>
              </w:rPr>
              <w:t>adjustment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56.4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58.2</w:t>
            </w:r>
          </w:p>
        </w:tc>
      </w:tr>
      <w:tr>
        <w:trPr>
          <w:trHeight w:val="280"/>
        </w:trPr>
        <w:tc>
          <w:tcPr>
            <w:tcW w:w="1640" w:type="dxa"/>
            <w:vAlign w:val="bottom"/>
          </w:tcPr>
          <w:p>
            <w:pPr>
              <w:ind w:left="240"/>
              <w:spacing w:after="0"/>
              <w:rPr>
                <w:sz w:val="20"/>
                <w:szCs w:val="20"/>
                <w:color w:val="auto"/>
              </w:rPr>
            </w:pPr>
            <w:r>
              <w:rPr>
                <w:rFonts w:ascii="Arial" w:cs="Arial" w:eastAsia="Arial" w:hAnsi="Arial"/>
                <w:sz w:val="13"/>
                <w:szCs w:val="13"/>
                <w:color w:val="auto"/>
              </w:rPr>
              <w:t>Tax reform</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138.2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42"/>
        </w:trPr>
        <w:tc>
          <w:tcPr>
            <w:tcW w:w="1640" w:type="dxa"/>
            <w:vAlign w:val="bottom"/>
          </w:tcPr>
          <w:p>
            <w:pPr>
              <w:spacing w:after="0"/>
              <w:rPr>
                <w:sz w:val="20"/>
                <w:szCs w:val="20"/>
                <w:color w:val="auto"/>
              </w:rPr>
            </w:pPr>
            <w:r>
              <w:rPr>
                <w:rFonts w:ascii="Arial" w:cs="Arial" w:eastAsia="Arial" w:hAnsi="Arial"/>
                <w:sz w:val="13"/>
                <w:szCs w:val="13"/>
                <w:color w:val="auto"/>
                <w:w w:val="99"/>
              </w:rPr>
              <w:t>Adjusted financial measures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603.5</w:t>
            </w:r>
          </w:p>
        </w:tc>
        <w:tc>
          <w:tcPr>
            <w:tcW w:w="10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579.4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(314.9)</w:t>
            </w:r>
          </w:p>
        </w:tc>
        <w:tc>
          <w:tcPr>
            <w:tcW w:w="10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1,518.7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464.3</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1,983.0</w:t>
            </w:r>
          </w:p>
        </w:tc>
      </w:tr>
      <w:tr>
        <w:trPr>
          <w:trHeight w:val="20"/>
        </w:trPr>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26"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8</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except per share amounts)</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3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380" w:type="dxa"/>
            <w:vAlign w:val="bottom"/>
          </w:tcPr>
          <w:p>
            <w:pPr>
              <w:spacing w:after="0"/>
              <w:rPr>
                <w:sz w:val="23"/>
                <w:szCs w:val="23"/>
                <w:color w:val="auto"/>
              </w:rPr>
            </w:pPr>
          </w:p>
        </w:tc>
        <w:tc>
          <w:tcPr>
            <w:tcW w:w="19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4400" w:type="dxa"/>
            <w:vAlign w:val="bottom"/>
            <w:gridSpan w:val="2"/>
            <w:vMerge w:val="restart"/>
          </w:tcPr>
          <w:p>
            <w:pPr>
              <w:spacing w:after="0"/>
              <w:rPr>
                <w:sz w:val="20"/>
                <w:szCs w:val="20"/>
                <w:color w:val="auto"/>
              </w:rPr>
            </w:pPr>
            <w:r>
              <w:rPr>
                <w:rFonts w:ascii="Arial" w:cs="Arial" w:eastAsia="Arial" w:hAnsi="Arial"/>
                <w:sz w:val="16"/>
                <w:szCs w:val="16"/>
                <w:color w:val="auto"/>
              </w:rPr>
              <w:t>(after-tax)</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Net income (loss) attributable to TechnipFMC plc, as reported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(1,922)</w:t>
            </w:r>
          </w:p>
        </w:tc>
        <w:tc>
          <w:tcPr>
            <w:tcW w:w="1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519"/>
        </w:trPr>
        <w:tc>
          <w:tcPr>
            <w:tcW w:w="4400" w:type="dxa"/>
            <w:vAlign w:val="bottom"/>
            <w:gridSpan w:val="2"/>
          </w:tcPr>
          <w:p>
            <w:pPr>
              <w:spacing w:after="0"/>
              <w:rPr>
                <w:sz w:val="20"/>
                <w:szCs w:val="20"/>
                <w:color w:val="auto"/>
              </w:rPr>
            </w:pPr>
            <w:r>
              <w:rPr>
                <w:rFonts w:ascii="Arial" w:cs="Arial" w:eastAsia="Arial" w:hAnsi="Arial"/>
                <w:sz w:val="16"/>
                <w:szCs w:val="16"/>
                <w:color w:val="auto"/>
              </w:rPr>
              <w:t>Charges and (credits):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400" w:type="dxa"/>
            <w:vAlign w:val="bottom"/>
            <w:gridSpan w:val="2"/>
          </w:tcPr>
          <w:p>
            <w:pPr>
              <w:spacing w:after="0"/>
              <w:rPr>
                <w:sz w:val="20"/>
                <w:szCs w:val="20"/>
                <w:color w:val="auto"/>
              </w:rPr>
            </w:pPr>
            <w:r>
              <w:rPr>
                <w:rFonts w:ascii="Arial" w:cs="Arial" w:eastAsia="Arial" w:hAnsi="Arial"/>
                <w:sz w:val="16"/>
                <w:szCs w:val="16"/>
                <w:color w:val="auto"/>
              </w:rPr>
              <w:t>Impairment and other charges (1)</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Restructuring and other severance charges (2)</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Business combination transaction and integration costs (3)</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Legal provision (4)</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Gain on divestitures (5)</w:t>
            </w:r>
          </w:p>
        </w:tc>
        <w:tc>
          <w:tcPr>
            <w:tcW w:w="2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Change in accounting estimate (6)</w:t>
            </w:r>
          </w:p>
        </w:tc>
        <w:tc>
          <w:tcPr>
            <w:tcW w:w="26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Purchase price accounting adjustments (7)</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Tax reform (8)</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Arial" w:cs="Arial" w:eastAsia="Arial" w:hAnsi="Arial"/>
                <w:sz w:val="16"/>
                <w:szCs w:val="16"/>
                <w:color w:val="auto"/>
              </w:rPr>
              <w:t>Valuation allowance (9)</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4400" w:type="dxa"/>
            <w:vAlign w:val="bottom"/>
            <w:gridSpan w:val="2"/>
          </w:tcPr>
          <w:p>
            <w:pPr>
              <w:spacing w:after="0"/>
              <w:rPr>
                <w:sz w:val="20"/>
                <w:szCs w:val="20"/>
                <w:color w:val="auto"/>
              </w:rPr>
            </w:pPr>
            <w:r>
              <w:rPr>
                <w:rFonts w:ascii="Arial" w:cs="Arial" w:eastAsia="Arial" w:hAnsi="Arial"/>
                <w:sz w:val="16"/>
                <w:szCs w:val="16"/>
                <w:color w:val="auto"/>
              </w:rPr>
              <w:t>Adjusted net income (loss) attributable to TechnipFMC plc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6"/>
                <w:szCs w:val="16"/>
                <w:color w:val="auto"/>
                <w:w w:val="95"/>
              </w:rPr>
              <w:t>Diluted earnings (loss) per share attributable to TechnipFMC plc,</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00" w:type="dxa"/>
            <w:vAlign w:val="bottom"/>
            <w:gridSpan w:val="2"/>
          </w:tcPr>
          <w:p>
            <w:pPr>
              <w:spacing w:after="0"/>
              <w:rPr>
                <w:sz w:val="20"/>
                <w:szCs w:val="20"/>
                <w:color w:val="auto"/>
              </w:rPr>
            </w:pPr>
            <w:r>
              <w:rPr>
                <w:rFonts w:ascii="Arial" w:cs="Arial" w:eastAsia="Arial" w:hAnsi="Arial"/>
                <w:sz w:val="16"/>
                <w:szCs w:val="16"/>
                <w:color w:val="auto"/>
              </w:rPr>
              <w:t>as reported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536"/>
        </w:trPr>
        <w:tc>
          <w:tcPr>
            <w:tcW w:w="4400" w:type="dxa"/>
            <w:vAlign w:val="bottom"/>
            <w:gridSpan w:val="2"/>
          </w:tcPr>
          <w:p>
            <w:pPr>
              <w:spacing w:after="0"/>
              <w:rPr>
                <w:sz w:val="20"/>
                <w:szCs w:val="20"/>
                <w:color w:val="auto"/>
              </w:rPr>
            </w:pPr>
            <w:r>
              <w:rPr>
                <w:rFonts w:ascii="Arial" w:cs="Arial" w:eastAsia="Arial" w:hAnsi="Arial"/>
                <w:sz w:val="16"/>
                <w:szCs w:val="16"/>
                <w:color w:val="auto"/>
              </w:rPr>
              <w:t>Adjusted diluted earnings (loss) per share attributable to</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00" w:type="dxa"/>
            <w:vAlign w:val="bottom"/>
            <w:gridSpan w:val="2"/>
          </w:tcPr>
          <w:p>
            <w:pPr>
              <w:spacing w:after="0"/>
              <w:rPr>
                <w:sz w:val="20"/>
                <w:szCs w:val="20"/>
                <w:color w:val="auto"/>
              </w:rPr>
            </w:pPr>
            <w:r>
              <w:rPr>
                <w:rFonts w:ascii="Arial" w:cs="Arial" w:eastAsia="Arial" w:hAnsi="Arial"/>
                <w:sz w:val="16"/>
                <w:szCs w:val="16"/>
                <w:color w:val="auto"/>
              </w:rPr>
              <w:t>TechnipFMC plc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40" w:right="32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effect of $90 million and $7 million during the three months ended December 31, 2018 and 2017, respectively, and $94 million and $10 million during the twelve months ended December 31, 2018 and 2017, respectively.</w:t>
      </w:r>
    </w:p>
    <w:p>
      <w:pPr>
        <w:spacing w:after="0" w:line="118" w:lineRule="exact"/>
        <w:rPr>
          <w:rFonts w:ascii="Arial" w:cs="Arial" w:eastAsia="Arial" w:hAnsi="Arial"/>
          <w:sz w:val="16"/>
          <w:szCs w:val="16"/>
          <w:color w:val="auto"/>
        </w:rPr>
      </w:pPr>
    </w:p>
    <w:p>
      <w:pPr>
        <w:ind w:left="340" w:right="32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effect of $9 million and $43 million during the three months ended December 31, 2018 and 2017, respectively, and $15 million and $61 million during the twelve months ended December 31, 2018 and 2017, respectively.</w:t>
      </w:r>
    </w:p>
    <w:p>
      <w:pPr>
        <w:spacing w:after="0" w:line="118" w:lineRule="exact"/>
        <w:rPr>
          <w:rFonts w:ascii="Arial" w:cs="Arial" w:eastAsia="Arial" w:hAnsi="Arial"/>
          <w:sz w:val="16"/>
          <w:szCs w:val="16"/>
          <w:color w:val="auto"/>
        </w:rPr>
      </w:pPr>
    </w:p>
    <w:p>
      <w:pPr>
        <w:ind w:left="340" w:right="40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effect of $7 million and $4 million during the three months ended December 31, 2018 and 2017, respectively, and $14 million and $38 million during the twelve months ended December 31, 2018 and 2017, respectively.</w:t>
      </w:r>
    </w:p>
    <w:p>
      <w:pPr>
        <w:spacing w:after="0" w:line="118"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was no tax effect during the three and twelve months ended December 31, 2018 and 2017, respectively.</w:t>
      </w:r>
    </w:p>
    <w:p>
      <w:pPr>
        <w:spacing w:after="0" w:line="167" w:lineRule="exact"/>
        <w:rPr>
          <w:rFonts w:ascii="Arial" w:cs="Arial" w:eastAsia="Arial" w:hAnsi="Arial"/>
          <w:sz w:val="16"/>
          <w:szCs w:val="16"/>
          <w:color w:val="auto"/>
        </w:rPr>
      </w:pPr>
    </w:p>
    <w:p>
      <w:pPr>
        <w:ind w:left="340" w:right="22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effect of nil and nil during the three months ended December 31, 2018 and 2017, respectively, and $(12) million and nil during the twelve months ended December 31, 2018 and 2017, respectively.</w:t>
      </w:r>
    </w:p>
    <w:p>
      <w:pPr>
        <w:spacing w:after="0" w:line="118" w:lineRule="exact"/>
        <w:rPr>
          <w:rFonts w:ascii="Arial" w:cs="Arial" w:eastAsia="Arial" w:hAnsi="Arial"/>
          <w:sz w:val="16"/>
          <w:szCs w:val="16"/>
          <w:color w:val="auto"/>
        </w:rPr>
      </w:pPr>
    </w:p>
    <w:p>
      <w:pPr>
        <w:ind w:left="340" w:right="16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effect of nil and nil during the three months ended December 31, 2018 and 2017, respectively, and nil and $6 million during the twelve months ended December 31, 2018 and 2017, respectively.</w:t>
      </w:r>
    </w:p>
    <w:p>
      <w:pPr>
        <w:spacing w:after="0" w:line="118" w:lineRule="exact"/>
        <w:rPr>
          <w:rFonts w:ascii="Arial" w:cs="Arial" w:eastAsia="Arial" w:hAnsi="Arial"/>
          <w:sz w:val="16"/>
          <w:szCs w:val="16"/>
          <w:color w:val="auto"/>
        </w:rPr>
      </w:pPr>
    </w:p>
    <w:p>
      <w:pPr>
        <w:ind w:left="340" w:right="40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effect of $5 million and $4 million during the three months ended December 31, 2018 and 2017, respectively, and $21 million and $56 million during the twelve months ended December 31, 2018 and 2017, respectively.</w:t>
      </w:r>
    </w:p>
    <w:p>
      <w:pPr>
        <w:spacing w:after="0" w:line="118" w:lineRule="exact"/>
        <w:rPr>
          <w:rFonts w:ascii="Arial" w:cs="Arial" w:eastAsia="Arial" w:hAnsi="Arial"/>
          <w:sz w:val="16"/>
          <w:szCs w:val="16"/>
          <w:color w:val="auto"/>
        </w:rPr>
      </w:pPr>
    </w:p>
    <w:p>
      <w:pPr>
        <w:ind w:left="340" w:right="40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Tax effect of $12 million and $138 million during the three months ended and $12 million and $138 million during the twelve months ended December 31, 2018 and 2017, respectively.</w:t>
      </w:r>
    </w:p>
    <w:p>
      <w:pPr>
        <w:spacing w:after="0" w:line="118"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Tax effect of $202 million and nil during the three months ended and $214 million and nil during the twelve months ended December 31, 2018 and 2017, respectively.</w:t>
      </w:r>
    </w:p>
    <w:p>
      <w:pPr>
        <w:sectPr>
          <w:pgSz w:w="11900" w:h="16838" w:orient="portrait"/>
          <w:cols w:equalWidth="0" w:num="1">
            <w:col w:w="11420"/>
          </w:cols>
          <w:pgMar w:left="240" w:top="526"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w:t>
      </w:r>
    </w:p>
    <w:p>
      <w:pPr>
        <w:spacing w:after="0" w:line="171" w:lineRule="exact"/>
        <w:rPr>
          <w:sz w:val="20"/>
          <w:szCs w:val="20"/>
          <w:color w:val="auto"/>
        </w:rPr>
      </w:pPr>
    </w:p>
    <w:p>
      <w:pPr>
        <w:jc w:val="center"/>
        <w:ind w:right="1160"/>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209550</wp:posOffset>
            </wp:positionV>
            <wp:extent cx="3284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7"/>
          </w:tcPr>
          <w:p>
            <w:pPr>
              <w:jc w:val="center"/>
              <w:ind w:left="608"/>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4"/>
              </w:rPr>
              <w:t>Onshore/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Offshore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1,233.3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1,672.4</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417.3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3,323.0</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(1,739.5)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206.4</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(393.6)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(1,887.9)</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1,775.6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1,778.5</w:t>
            </w: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4"/>
                <w:szCs w:val="14"/>
                <w:color w:val="auto"/>
              </w:rPr>
              <w:t>Legal provision</w:t>
            </w:r>
          </w:p>
        </w:tc>
        <w:tc>
          <w:tcPr>
            <w:tcW w:w="1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69"/>
        </w:trPr>
        <w:tc>
          <w:tcPr>
            <w:tcW w:w="3960" w:type="dxa"/>
            <w:vAlign w:val="bottom"/>
          </w:tcPr>
          <w:p>
            <w:pPr>
              <w:ind w:left="24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960" w:type="dxa"/>
            <w:vAlign w:val="bottom"/>
          </w:tcPr>
          <w:p>
            <w:pPr>
              <w:ind w:left="240"/>
              <w:spacing w:after="0"/>
              <w:rPr>
                <w:sz w:val="20"/>
                <w:szCs w:val="20"/>
                <w:color w:val="auto"/>
              </w:rPr>
            </w:pPr>
            <w:r>
              <w:rPr>
                <w:rFonts w:ascii="Arial" w:cs="Arial" w:eastAsia="Arial" w:hAnsi="Arial"/>
                <w:sz w:val="14"/>
                <w:szCs w:val="14"/>
                <w:color w:val="auto"/>
                <w:w w:val="97"/>
              </w:rPr>
              <w:t>Purchase price accounting adjustments - amortization related</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44"/>
        </w:trPr>
        <w:tc>
          <w:tcPr>
            <w:tcW w:w="39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1,803.1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303.3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2,116.4</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208.8</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228.5</w:t>
            </w:r>
          </w:p>
        </w:tc>
        <w:tc>
          <w:tcPr>
            <w:tcW w:w="0" w:type="dxa"/>
            <w:vAlign w:val="bottom"/>
          </w:tcPr>
          <w:p>
            <w:pPr>
              <w:spacing w:after="0"/>
              <w:rPr>
                <w:sz w:val="1"/>
                <w:szCs w:val="1"/>
                <w:color w:val="auto"/>
              </w:rPr>
            </w:pPr>
          </w:p>
        </w:tc>
      </w:tr>
      <w:tr>
        <w:trPr>
          <w:trHeight w:val="474"/>
        </w:trPr>
        <w:tc>
          <w:tcPr>
            <w:tcW w:w="39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217.2</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342.4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9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-141.0 %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-56.8 %</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504825</wp:posOffset>
            </wp:positionV>
            <wp:extent cx="32327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7"/>
          </w:tcPr>
          <w:p>
            <w:pPr>
              <w:jc w:val="center"/>
              <w:ind w:left="608"/>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Subsea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4"/>
              </w:rPr>
              <w:t>Onshore/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Offshore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1,292.2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2,019.5</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372.3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3,683.0</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257.2</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70"/>
        </w:trPr>
        <w:tc>
          <w:tcPr>
            <w:tcW w:w="404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69"/>
        </w:trPr>
        <w:tc>
          <w:tcPr>
            <w:tcW w:w="4040" w:type="dxa"/>
            <w:vAlign w:val="bottom"/>
          </w:tcPr>
          <w:p>
            <w:pPr>
              <w:ind w:left="24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40" w:type="dxa"/>
            <w:vAlign w:val="bottom"/>
          </w:tcPr>
          <w:p>
            <w:pPr>
              <w:ind w:left="24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6"/>
        </w:trPr>
        <w:tc>
          <w:tcPr>
            <w:tcW w:w="4040" w:type="dxa"/>
            <w:vAlign w:val="bottom"/>
          </w:tcPr>
          <w:p>
            <w:pPr>
              <w:ind w:left="240"/>
              <w:spacing w:after="0"/>
              <w:rPr>
                <w:sz w:val="20"/>
                <w:szCs w:val="20"/>
                <w:color w:val="auto"/>
              </w:rPr>
            </w:pPr>
            <w:r>
              <w:rPr>
                <w:rFonts w:ascii="Arial" w:cs="Arial" w:eastAsia="Arial" w:hAnsi="Arial"/>
                <w:sz w:val="14"/>
                <w:szCs w:val="14"/>
                <w:color w:val="auto"/>
                <w:w w:val="99"/>
              </w:rPr>
              <w:t>Purchase price accounting adjustments - amortization related</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44"/>
        </w:trPr>
        <w:tc>
          <w:tcPr>
            <w:tcW w:w="4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Pr>
          <w:p>
            <w:pPr>
              <w:spacing w:after="0"/>
              <w:rPr>
                <w:sz w:val="21"/>
                <w:szCs w:val="21"/>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283.3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407.1</w:t>
            </w:r>
          </w:p>
        </w:tc>
        <w:tc>
          <w:tcPr>
            <w:tcW w:w="0" w:type="dxa"/>
            <w:vAlign w:val="bottom"/>
          </w:tcPr>
          <w:p>
            <w:pPr>
              <w:spacing w:after="0"/>
              <w:rPr>
                <w:sz w:val="1"/>
                <w:szCs w:val="1"/>
                <w:color w:val="auto"/>
              </w:rPr>
            </w:pPr>
          </w:p>
        </w:tc>
      </w:tr>
      <w:tr>
        <w:trPr>
          <w:trHeight w:val="474"/>
        </w:trPr>
        <w:tc>
          <w:tcPr>
            <w:tcW w:w="404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244.1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294.5</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525.0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486"/>
        </w:trPr>
        <w:tc>
          <w:tcPr>
            <w:tcW w:w="4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1400" w:top="526" w:right="239" w:bottom="0" w:gutter="0" w:footer="0" w:header="0"/>
        </w:sectPr>
      </w:pPr>
    </w:p>
    <w:p>
      <w:pPr>
        <w:spacing w:after="0" w:line="104" w:lineRule="exact"/>
        <w:rPr>
          <w:sz w:val="20"/>
          <w:szCs w:val="20"/>
          <w:color w:val="auto"/>
        </w:rPr>
      </w:pPr>
    </w:p>
    <w:p>
      <w:pPr>
        <w:spacing w:after="0"/>
        <w:tabs>
          <w:tab w:leader="none" w:pos="4560" w:val="left"/>
          <w:tab w:leader="none" w:pos="5600" w:val="left"/>
          <w:tab w:leader="none" w:pos="666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18.9%</w:t>
      </w:r>
      <w:r>
        <w:rPr>
          <w:sz w:val="20"/>
          <w:szCs w:val="20"/>
          <w:color w:val="auto"/>
        </w:rPr>
        <w:tab/>
      </w:r>
      <w:r>
        <w:rPr>
          <w:rFonts w:ascii="Arial" w:cs="Arial" w:eastAsia="Arial" w:hAnsi="Arial"/>
          <w:sz w:val="14"/>
          <w:szCs w:val="14"/>
          <w:color w:val="auto"/>
        </w:rPr>
        <w:t>14.6%</w:t>
      </w:r>
      <w:r>
        <w:rPr>
          <w:sz w:val="20"/>
          <w:szCs w:val="20"/>
          <w:color w:val="auto"/>
        </w:rPr>
        <w:tab/>
      </w:r>
      <w:r>
        <w:rPr>
          <w:rFonts w:ascii="Arial" w:cs="Arial" w:eastAsia="Arial" w:hAnsi="Arial"/>
          <w:sz w:val="14"/>
          <w:szCs w:val="14"/>
          <w:color w:val="auto"/>
        </w:rPr>
        <w:t>20.4%</w:t>
      </w:r>
      <w:r>
        <w:rPr>
          <w:sz w:val="20"/>
          <w:szCs w:val="20"/>
          <w:color w:val="auto"/>
        </w:rPr>
        <w:tab/>
      </w:r>
      <w:r>
        <w:rPr>
          <w:rFonts w:ascii="Arial" w:cs="Arial" w:eastAsia="Arial" w:hAnsi="Arial"/>
          <w:sz w:val="12"/>
          <w:szCs w:val="12"/>
          <w:color w:val="auto"/>
        </w:rPr>
        <w:t>14.3%</w:t>
      </w:r>
    </w:p>
    <w:p>
      <w:pPr>
        <w:sectPr>
          <w:pgSz w:w="11900" w:h="16838" w:orient="portrait"/>
          <w:cols w:equalWidth="0" w:num="1">
            <w:col w:w="10260"/>
          </w:cols>
          <w:pgMar w:left="1400" w:top="526" w:right="239" w:bottom="0" w:gutter="0" w:footer="0" w:header="0"/>
          <w:type w:val="continuous"/>
        </w:sectPr>
      </w:pPr>
    </w:p>
    <w:bookmarkStart w:id="30" w:name="page31"/>
    <w:bookmarkEnd w:id="30"/>
    <w:p>
      <w:pPr>
        <w:spacing w:after="0"/>
        <w:tabs>
          <w:tab w:leader="none" w:pos="4560" w:val="left"/>
          <w:tab w:leader="none" w:pos="5600" w:val="left"/>
          <w:tab w:leader="none" w:pos="6660" w:val="left"/>
          <w:tab w:leader="none" w:pos="8720" w:val="left"/>
        </w:tabs>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w:t>
      </w:r>
    </w:p>
    <w:p>
      <w:pPr>
        <w:spacing w:after="0" w:line="176" w:lineRule="exact"/>
        <w:rPr>
          <w:sz w:val="20"/>
          <w:szCs w:val="20"/>
          <w:color w:val="auto"/>
        </w:rPr>
      </w:pPr>
    </w:p>
    <w:p>
      <w:pPr>
        <w:jc w:val="center"/>
        <w:ind w:right="1120"/>
        <w:spacing w:after="0" w:line="263" w:lineRule="auto"/>
        <w:rPr>
          <w:sz w:val="20"/>
          <w:szCs w:val="20"/>
          <w:color w:val="auto"/>
        </w:rPr>
      </w:pPr>
      <w:r>
        <w:rPr>
          <w:rFonts w:ascii="Arial" w:cs="Arial" w:eastAsia="Arial" w:hAnsi="Arial"/>
          <w:sz w:val="16"/>
          <w:szCs w:val="16"/>
          <w:b w:val="1"/>
          <w:bCs w:val="1"/>
          <w:u w:val="single" w:color="auto"/>
          <w:color w:val="auto"/>
        </w:rPr>
        <w:t xml:space="preserve">TECHNIPFMC PLC AND CONSOLIDATED SUBSIDIARIES RECONCILIATION OF GAAP TO NON-GAAP FINANCIAL MEASURES </w:t>
      </w:r>
      <w:r>
        <w:rPr>
          <w:rFonts w:ascii="Arial" w:cs="Arial" w:eastAsia="Arial" w:hAnsi="Arial"/>
          <w:sz w:val="16"/>
          <w:szCs w:val="16"/>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207645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9"/>
              </w:rPr>
              <w:t>Year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80"/>
        </w:trPr>
        <w:tc>
          <w:tcPr>
            <w:tcW w:w="4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3"/>
                <w:szCs w:val="13"/>
                <w:b w:val="1"/>
                <w:bCs w:val="1"/>
                <w:color w:val="auto"/>
                <w:w w:val="87"/>
              </w:rPr>
              <w:t>December 31,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44"/>
        </w:trPr>
        <w:tc>
          <w:tcPr>
            <w:tcW w:w="4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65"/>
              <w:spacing w:after="0" w:line="144" w:lineRule="exact"/>
              <w:rPr>
                <w:sz w:val="20"/>
                <w:szCs w:val="20"/>
                <w:color w:val="auto"/>
              </w:rPr>
            </w:pPr>
            <w:r>
              <w:rPr>
                <w:rFonts w:ascii="Arial" w:cs="Arial" w:eastAsia="Arial" w:hAnsi="Arial"/>
                <w:sz w:val="13"/>
                <w:szCs w:val="13"/>
                <w:b w:val="1"/>
                <w:bCs w:val="1"/>
                <w:color w:val="auto"/>
                <w:w w:val="94"/>
              </w:rPr>
              <w:t>Onshore/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Surface</w:t>
            </w:r>
          </w:p>
        </w:tc>
        <w:tc>
          <w:tcPr>
            <w:tcW w:w="20" w:type="dxa"/>
            <w:vAlign w:val="bottom"/>
          </w:tcPr>
          <w:p>
            <w:pPr>
              <w:spacing w:after="0"/>
              <w:rPr>
                <w:sz w:val="12"/>
                <w:szCs w:val="12"/>
                <w:color w:val="auto"/>
              </w:rPr>
            </w:pPr>
          </w:p>
        </w:tc>
        <w:tc>
          <w:tcPr>
            <w:tcW w:w="98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rPr>
              <w:t>Corporate and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4"/>
        </w:trPr>
        <w:tc>
          <w:tcPr>
            <w:tcW w:w="40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w w:val="95"/>
              </w:rPr>
              <w:t>Subsea</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w w:val="95"/>
              </w:rPr>
              <w:t>Offshore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3"/>
              </w:rPr>
              <w:t>Technologies</w:t>
            </w:r>
          </w:p>
        </w:tc>
        <w:tc>
          <w:tcPr>
            <w:tcW w:w="1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Other</w:t>
            </w:r>
          </w:p>
        </w:tc>
        <w:tc>
          <w:tcPr>
            <w:tcW w:w="100" w:type="dxa"/>
            <w:vAlign w:val="bottom"/>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Total</w:t>
            </w:r>
          </w:p>
        </w:tc>
      </w:tr>
      <w:tr>
        <w:trPr>
          <w:trHeight w:val="235"/>
        </w:trPr>
        <w:tc>
          <w:tcPr>
            <w:tcW w:w="4080" w:type="dxa"/>
            <w:vAlign w:val="bottom"/>
          </w:tcPr>
          <w:p>
            <w:pPr>
              <w:spacing w:after="0"/>
              <w:rPr>
                <w:sz w:val="20"/>
                <w:szCs w:val="20"/>
                <w:color w:val="auto"/>
              </w:rPr>
            </w:pPr>
            <w:r>
              <w:rPr>
                <w:rFonts w:ascii="Arial" w:cs="Arial" w:eastAsia="Arial" w:hAnsi="Arial"/>
                <w:sz w:val="11"/>
                <w:szCs w:val="11"/>
                <w:color w:val="auto"/>
              </w:rPr>
              <w:t>Revenue</w:t>
            </w:r>
          </w:p>
        </w:tc>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4,840.0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6,120.7</w:t>
            </w:r>
          </w:p>
        </w:tc>
        <w:tc>
          <w:tcPr>
            <w:tcW w:w="22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1,592.2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12,552.9</w:t>
            </w:r>
          </w:p>
        </w:tc>
      </w:tr>
      <w:tr>
        <w:trPr>
          <w:trHeight w:val="486"/>
        </w:trPr>
        <w:tc>
          <w:tcPr>
            <w:tcW w:w="4080" w:type="dxa"/>
            <w:vAlign w:val="bottom"/>
          </w:tcPr>
          <w:p>
            <w:pPr>
              <w:spacing w:after="0"/>
              <w:rPr>
                <w:sz w:val="20"/>
                <w:szCs w:val="20"/>
                <w:color w:val="auto"/>
              </w:rPr>
            </w:pPr>
            <w:r>
              <w:rPr>
                <w:rFonts w:ascii="Arial" w:cs="Arial" w:eastAsia="Arial" w:hAnsi="Arial"/>
                <w:sz w:val="11"/>
                <w:szCs w:val="11"/>
                <w:color w:val="auto"/>
              </w:rPr>
              <w:t>Operating profit (loss), as reported (pre-tax)</w:t>
            </w:r>
          </w:p>
        </w:tc>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(1,529.5)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824.0</w:t>
            </w:r>
          </w:p>
        </w:tc>
        <w:tc>
          <w:tcPr>
            <w:tcW w:w="22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172.8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(594.5)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(1,127.2)</w:t>
            </w:r>
          </w:p>
        </w:tc>
      </w:tr>
      <w:tr>
        <w:trPr>
          <w:trHeight w:val="486"/>
        </w:trPr>
        <w:tc>
          <w:tcPr>
            <w:tcW w:w="4080" w:type="dxa"/>
            <w:vAlign w:val="bottom"/>
          </w:tcPr>
          <w:p>
            <w:pPr>
              <w:spacing w:after="0"/>
              <w:rPr>
                <w:sz w:val="20"/>
                <w:szCs w:val="20"/>
                <w:color w:val="auto"/>
              </w:rPr>
            </w:pPr>
            <w:r>
              <w:rPr>
                <w:rFonts w:ascii="Arial" w:cs="Arial" w:eastAsia="Arial" w:hAnsi="Arial"/>
                <w:sz w:val="11"/>
                <w:szCs w:val="11"/>
                <w:color w:val="auto"/>
              </w:rPr>
              <w:t>Charges and (credits):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Impairment and other charges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1,784.2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4.5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1,792.6</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Restructuring and other severance charges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17.7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(3.4)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9.3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15.0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38.6</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Business combination transaction and integration costs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36.5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36.5</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Legal provision</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280.0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280.0</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Gain on divestitures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(3.3)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(28.3)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(31.6)</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Purchase price accounting adjustments - non-amortization related</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(9.4)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7.1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(2.5)</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Purchase price accounting adjustments - amortization related</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91.3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91.3</w:t>
            </w:r>
          </w:p>
        </w:tc>
      </w:tr>
      <w:tr>
        <w:trPr>
          <w:trHeight w:val="22"/>
        </w:trPr>
        <w:tc>
          <w:tcPr>
            <w:tcW w:w="4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4080" w:type="dxa"/>
            <w:vAlign w:val="bottom"/>
          </w:tcPr>
          <w:p>
            <w:pPr>
              <w:ind w:left="460"/>
              <w:spacing w:after="0"/>
              <w:rPr>
                <w:sz w:val="20"/>
                <w:szCs w:val="20"/>
                <w:color w:val="auto"/>
              </w:rPr>
            </w:pPr>
            <w:r>
              <w:rPr>
                <w:rFonts w:ascii="Arial" w:cs="Arial" w:eastAsia="Arial" w:hAnsi="Arial"/>
                <w:sz w:val="11"/>
                <w:szCs w:val="11"/>
                <w:color w:val="auto"/>
              </w:rPr>
              <w:t>Subtotal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1,880.5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(31.7)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20.9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335.2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2,204.9</w:t>
            </w:r>
          </w:p>
        </w:tc>
      </w:tr>
      <w:tr>
        <w:trPr>
          <w:trHeight w:val="238"/>
        </w:trPr>
        <w:tc>
          <w:tcPr>
            <w:tcW w:w="40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8"/>
        </w:trPr>
        <w:tc>
          <w:tcPr>
            <w:tcW w:w="4080" w:type="dxa"/>
            <w:vAlign w:val="bottom"/>
          </w:tcPr>
          <w:p>
            <w:pPr>
              <w:spacing w:after="0"/>
              <w:rPr>
                <w:sz w:val="20"/>
                <w:szCs w:val="20"/>
                <w:color w:val="auto"/>
              </w:rPr>
            </w:pPr>
            <w:r>
              <w:rPr>
                <w:rFonts w:ascii="Arial" w:cs="Arial" w:eastAsia="Arial" w:hAnsi="Arial"/>
                <w:sz w:val="11"/>
                <w:szCs w:val="11"/>
                <w:color w:val="auto"/>
              </w:rPr>
              <w:t>Adjusted Operating profit (loss)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351.0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792.3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193.7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(259.3)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1,077.7</w:t>
            </w:r>
          </w:p>
        </w:tc>
      </w:tr>
      <w:tr>
        <w:trPr>
          <w:trHeight w:val="22"/>
        </w:trPr>
        <w:tc>
          <w:tcPr>
            <w:tcW w:w="4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8"/>
        </w:trPr>
        <w:tc>
          <w:tcPr>
            <w:tcW w:w="4080" w:type="dxa"/>
            <w:vAlign w:val="bottom"/>
          </w:tcPr>
          <w:p>
            <w:pPr>
              <w:spacing w:after="0"/>
              <w:rPr>
                <w:sz w:val="20"/>
                <w:szCs w:val="20"/>
                <w:color w:val="auto"/>
              </w:rPr>
            </w:pPr>
            <w:r>
              <w:rPr>
                <w:rFonts w:ascii="Arial" w:cs="Arial" w:eastAsia="Arial" w:hAnsi="Arial"/>
                <w:sz w:val="11"/>
                <w:szCs w:val="11"/>
                <w:color w:val="auto"/>
              </w:rPr>
              <w:t>Adjusted Depreciation and amortization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349.2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38.1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66.6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459.1</w:t>
            </w:r>
          </w:p>
        </w:tc>
      </w:tr>
      <w:tr>
        <w:trPr>
          <w:trHeight w:val="238"/>
        </w:trPr>
        <w:tc>
          <w:tcPr>
            <w:tcW w:w="40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32"/>
        </w:trPr>
        <w:tc>
          <w:tcPr>
            <w:tcW w:w="4080" w:type="dxa"/>
            <w:vAlign w:val="bottom"/>
          </w:tcPr>
          <w:p>
            <w:pPr>
              <w:spacing w:after="0"/>
              <w:rPr>
                <w:sz w:val="20"/>
                <w:szCs w:val="20"/>
                <w:color w:val="auto"/>
              </w:rPr>
            </w:pPr>
            <w:r>
              <w:rPr>
                <w:rFonts w:ascii="Arial" w:cs="Arial" w:eastAsia="Arial" w:hAnsi="Arial"/>
                <w:sz w:val="11"/>
                <w:szCs w:val="11"/>
                <w:color w:val="auto"/>
              </w:rPr>
              <w:t>Adjusted EBITDA</w:t>
            </w:r>
          </w:p>
        </w:tc>
        <w:tc>
          <w:tcPr>
            <w:tcW w:w="200" w:type="dxa"/>
            <w:vAlign w:val="bottom"/>
            <w:gridSpan w:val="2"/>
          </w:tcPr>
          <w:p>
            <w:pPr>
              <w:jc w:val="right"/>
              <w:ind w:right="120"/>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700.2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830.4</w:t>
            </w:r>
          </w:p>
        </w:tc>
        <w:tc>
          <w:tcPr>
            <w:tcW w:w="22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5"/>
              <w:spacing w:after="0"/>
              <w:rPr>
                <w:sz w:val="20"/>
                <w:szCs w:val="20"/>
                <w:color w:val="auto"/>
              </w:rPr>
            </w:pPr>
            <w:r>
              <w:rPr>
                <w:rFonts w:ascii="Arial" w:cs="Arial" w:eastAsia="Arial" w:hAnsi="Arial"/>
                <w:sz w:val="11"/>
                <w:szCs w:val="11"/>
                <w:color w:val="auto"/>
              </w:rPr>
              <w:t>260.3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(254.1)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86"/>
              <w:spacing w:after="0"/>
              <w:rPr>
                <w:sz w:val="20"/>
                <w:szCs w:val="20"/>
                <w:color w:val="auto"/>
              </w:rPr>
            </w:pPr>
            <w:r>
              <w:rPr>
                <w:rFonts w:ascii="Arial" w:cs="Arial" w:eastAsia="Arial" w:hAnsi="Arial"/>
                <w:sz w:val="11"/>
                <w:szCs w:val="11"/>
                <w:color w:val="auto"/>
              </w:rPr>
              <w:t>1,536.8</w:t>
            </w:r>
          </w:p>
        </w:tc>
      </w:tr>
      <w:tr>
        <w:trPr>
          <w:trHeight w:val="20"/>
        </w:trPr>
        <w:tc>
          <w:tcPr>
            <w:tcW w:w="40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49"/>
        </w:trPr>
        <w:tc>
          <w:tcPr>
            <w:tcW w:w="4080" w:type="dxa"/>
            <w:vAlign w:val="bottom"/>
          </w:tcPr>
          <w:p>
            <w:pPr>
              <w:spacing w:after="0"/>
              <w:rPr>
                <w:sz w:val="20"/>
                <w:szCs w:val="20"/>
                <w:color w:val="auto"/>
              </w:rPr>
            </w:pPr>
            <w:r>
              <w:rPr>
                <w:rFonts w:ascii="Arial" w:cs="Arial" w:eastAsia="Arial" w:hAnsi="Arial"/>
                <w:sz w:val="11"/>
                <w:szCs w:val="11"/>
                <w:color w:val="auto"/>
              </w:rPr>
              <w:t>Operating profit margin, as reported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-31.6 %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-9.0 %</w:t>
            </w:r>
          </w:p>
        </w:tc>
      </w:tr>
      <w:tr>
        <w:trPr>
          <w:trHeight w:val="486"/>
        </w:trPr>
        <w:tc>
          <w:tcPr>
            <w:tcW w:w="4080" w:type="dxa"/>
            <w:vAlign w:val="bottom"/>
          </w:tcPr>
          <w:p>
            <w:pPr>
              <w:spacing w:after="0"/>
              <w:rPr>
                <w:sz w:val="20"/>
                <w:szCs w:val="20"/>
                <w:color w:val="auto"/>
              </w:rPr>
            </w:pPr>
            <w:r>
              <w:rPr>
                <w:rFonts w:ascii="Arial" w:cs="Arial" w:eastAsia="Arial" w:hAnsi="Arial"/>
                <w:sz w:val="11"/>
                <w:szCs w:val="11"/>
                <w:color w:val="auto"/>
              </w:rPr>
              <w:t>Adjusted Operating profit margin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7.3 %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8.6 %</w:t>
            </w:r>
          </w:p>
        </w:tc>
      </w:tr>
      <w:tr>
        <w:trPr>
          <w:trHeight w:val="486"/>
        </w:trPr>
        <w:tc>
          <w:tcPr>
            <w:tcW w:w="4080" w:type="dxa"/>
            <w:vAlign w:val="bottom"/>
          </w:tcPr>
          <w:p>
            <w:pPr>
              <w:spacing w:after="0"/>
              <w:rPr>
                <w:sz w:val="20"/>
                <w:szCs w:val="20"/>
                <w:color w:val="auto"/>
              </w:rPr>
            </w:pPr>
            <w:r>
              <w:rPr>
                <w:rFonts w:ascii="Arial" w:cs="Arial" w:eastAsia="Arial" w:hAnsi="Arial"/>
                <w:sz w:val="11"/>
                <w:szCs w:val="11"/>
                <w:color w:val="auto"/>
              </w:rPr>
              <w:t>Adjusted EBITDA margin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14.5 %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12.2 %</w:t>
            </w:r>
          </w:p>
        </w:tc>
      </w:tr>
      <w:tr>
        <w:trPr>
          <w:trHeight w:val="481"/>
        </w:trPr>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28"/>
        </w:trPr>
        <w:tc>
          <w:tcPr>
            <w:tcW w:w="4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2"/>
              </w:rPr>
              <w:t>Year Ended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70"/>
        </w:trPr>
        <w:tc>
          <w:tcPr>
            <w:tcW w:w="4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4"/>
          </w:tcPr>
          <w:p>
            <w:pPr>
              <w:ind w:left="40"/>
              <w:spacing w:after="0"/>
              <w:rPr>
                <w:sz w:val="20"/>
                <w:szCs w:val="20"/>
                <w:color w:val="auto"/>
              </w:rPr>
            </w:pPr>
            <w:r>
              <w:rPr>
                <w:rFonts w:ascii="Arial" w:cs="Arial" w:eastAsia="Arial" w:hAnsi="Arial"/>
                <w:sz w:val="11"/>
                <w:szCs w:val="11"/>
                <w:b w:val="1"/>
                <w:bCs w:val="1"/>
                <w:color w:val="auto"/>
                <w:w w:val="98"/>
              </w:rPr>
              <w:t>December 31, 2017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2"/>
        </w:trPr>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8"/>
        </w:trPr>
        <w:tc>
          <w:tcPr>
            <w:tcW w:w="4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85"/>
              <w:spacing w:after="0"/>
              <w:rPr>
                <w:sz w:val="20"/>
                <w:szCs w:val="20"/>
                <w:color w:val="auto"/>
              </w:rPr>
            </w:pPr>
            <w:r>
              <w:rPr>
                <w:rFonts w:ascii="Arial" w:cs="Arial" w:eastAsia="Arial" w:hAnsi="Arial"/>
                <w:sz w:val="11"/>
                <w:szCs w:val="11"/>
                <w:b w:val="1"/>
                <w:bCs w:val="1"/>
                <w:color w:val="auto"/>
              </w:rPr>
              <w:t>Onshore/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9"/>
              </w:rPr>
              <w:t>Surface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rPr>
              <w:t>Corporate and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0"/>
        </w:trPr>
        <w:tc>
          <w:tcPr>
            <w:tcW w:w="4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Subsea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85"/>
              <w:spacing w:after="0"/>
              <w:rPr>
                <w:sz w:val="20"/>
                <w:szCs w:val="20"/>
                <w:color w:val="auto"/>
              </w:rPr>
            </w:pPr>
            <w:r>
              <w:rPr>
                <w:rFonts w:ascii="Arial" w:cs="Arial" w:eastAsia="Arial" w:hAnsi="Arial"/>
                <w:sz w:val="11"/>
                <w:szCs w:val="11"/>
                <w:b w:val="1"/>
                <w:bCs w:val="1"/>
                <w:color w:val="auto"/>
              </w:rPr>
              <w:t>Offshore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4"/>
              </w:rPr>
              <w:t>Technologies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86"/>
              <w:spacing w:after="0"/>
              <w:rPr>
                <w:sz w:val="20"/>
                <w:szCs w:val="20"/>
                <w:color w:val="auto"/>
              </w:rPr>
            </w:pPr>
            <w:r>
              <w:rPr>
                <w:rFonts w:ascii="Arial" w:cs="Arial" w:eastAsia="Arial" w:hAnsi="Arial"/>
                <w:sz w:val="11"/>
                <w:szCs w:val="11"/>
                <w:b w:val="1"/>
                <w:bCs w:val="1"/>
                <w:color w:val="auto"/>
              </w:rPr>
              <w:t>Total</w:t>
            </w:r>
          </w:p>
        </w:tc>
      </w:tr>
      <w:tr>
        <w:trPr>
          <w:trHeight w:val="22"/>
        </w:trPr>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4080" w:type="dxa"/>
            <w:vAlign w:val="bottom"/>
          </w:tcPr>
          <w:p>
            <w:pPr>
              <w:spacing w:after="0"/>
              <w:rPr>
                <w:sz w:val="20"/>
                <w:szCs w:val="20"/>
                <w:color w:val="auto"/>
              </w:rPr>
            </w:pPr>
            <w:r>
              <w:rPr>
                <w:rFonts w:ascii="Arial" w:cs="Arial" w:eastAsia="Arial" w:hAnsi="Arial"/>
                <w:sz w:val="11"/>
                <w:szCs w:val="11"/>
                <w:color w:val="auto"/>
              </w:rPr>
              <w:t>Revenue</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5,877.4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7,904.5</w:t>
            </w:r>
          </w:p>
        </w:tc>
        <w:tc>
          <w:tcPr>
            <w:tcW w:w="220" w:type="dxa"/>
            <w:vAlign w:val="bottom"/>
            <w:gridSpan w:val="4"/>
          </w:tcPr>
          <w:p>
            <w:pPr>
              <w:ind w:left="1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1,274.6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15,056.9</w:t>
            </w:r>
          </w:p>
        </w:tc>
      </w:tr>
      <w:tr>
        <w:trPr>
          <w:trHeight w:val="496"/>
        </w:trPr>
        <w:tc>
          <w:tcPr>
            <w:tcW w:w="4080" w:type="dxa"/>
            <w:vAlign w:val="bottom"/>
          </w:tcPr>
          <w:p>
            <w:pPr>
              <w:spacing w:after="0"/>
              <w:rPr>
                <w:sz w:val="20"/>
                <w:szCs w:val="20"/>
                <w:color w:val="auto"/>
              </w:rPr>
            </w:pPr>
            <w:r>
              <w:rPr>
                <w:rFonts w:ascii="Arial" w:cs="Arial" w:eastAsia="Arial" w:hAnsi="Arial"/>
                <w:sz w:val="14"/>
                <w:szCs w:val="14"/>
                <w:color w:val="auto"/>
              </w:rPr>
              <w:t>Operating profit, as reported (pre-tax)</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460.5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810.9</w:t>
            </w:r>
          </w:p>
        </w:tc>
        <w:tc>
          <w:tcPr>
            <w:tcW w:w="220" w:type="dxa"/>
            <w:vAlign w:val="bottom"/>
            <w:gridSpan w:val="4"/>
          </w:tcPr>
          <w:p>
            <w:pPr>
              <w:ind w:left="1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82.7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(359.2)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994.9</w:t>
            </w:r>
          </w:p>
        </w:tc>
      </w:tr>
      <w:tr>
        <w:trPr>
          <w:trHeight w:val="476"/>
        </w:trPr>
        <w:tc>
          <w:tcPr>
            <w:tcW w:w="4080" w:type="dxa"/>
            <w:vAlign w:val="bottom"/>
          </w:tcPr>
          <w:p>
            <w:pPr>
              <w:spacing w:after="0"/>
              <w:rPr>
                <w:sz w:val="20"/>
                <w:szCs w:val="20"/>
                <w:color w:val="auto"/>
              </w:rPr>
            </w:pPr>
            <w:r>
              <w:rPr>
                <w:rFonts w:ascii="Arial" w:cs="Arial" w:eastAsia="Arial" w:hAnsi="Arial"/>
                <w:sz w:val="11"/>
                <w:szCs w:val="11"/>
                <w:color w:val="auto"/>
              </w:rPr>
              <w:t>Charges and (credits):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Impairment and other charges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10.2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6.0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27.5</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Restructuring and other severance charges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88.5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27.0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9.1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39.4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164.0</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Business combination transaction and integration costs</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101.8</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Change in accounting estimate</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10.1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21.9</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Purchase price accounting adjustments - non-amortization related</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40.5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43.3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(25.6)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58.2</w:t>
            </w:r>
          </w:p>
        </w:tc>
      </w:tr>
      <w:tr>
        <w:trPr>
          <w:trHeight w:val="270"/>
        </w:trPr>
        <w:tc>
          <w:tcPr>
            <w:tcW w:w="4080" w:type="dxa"/>
            <w:vAlign w:val="bottom"/>
          </w:tcPr>
          <w:p>
            <w:pPr>
              <w:ind w:left="260"/>
              <w:spacing w:after="0"/>
              <w:rPr>
                <w:sz w:val="20"/>
                <w:szCs w:val="20"/>
                <w:color w:val="auto"/>
              </w:rPr>
            </w:pPr>
            <w:r>
              <w:rPr>
                <w:rFonts w:ascii="Arial" w:cs="Arial" w:eastAsia="Arial" w:hAnsi="Arial"/>
                <w:sz w:val="11"/>
                <w:szCs w:val="11"/>
                <w:color w:val="auto"/>
              </w:rPr>
              <w:t>Purchase price accounting adjustments - amortization related</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139.2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12.4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150.4</w:t>
            </w:r>
          </w:p>
        </w:tc>
      </w:tr>
      <w:tr>
        <w:trPr>
          <w:trHeight w:val="22"/>
        </w:trPr>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8"/>
        </w:trPr>
        <w:tc>
          <w:tcPr>
            <w:tcW w:w="4080" w:type="dxa"/>
            <w:vAlign w:val="bottom"/>
          </w:tcPr>
          <w:p>
            <w:pPr>
              <w:ind w:left="460"/>
              <w:spacing w:after="0"/>
              <w:rPr>
                <w:sz w:val="20"/>
                <w:szCs w:val="20"/>
                <w:color w:val="auto"/>
              </w:rPr>
            </w:pPr>
            <w:r>
              <w:rPr>
                <w:rFonts w:ascii="Arial" w:cs="Arial" w:eastAsia="Arial" w:hAnsi="Arial"/>
                <w:sz w:val="11"/>
                <w:szCs w:val="11"/>
                <w:color w:val="auto"/>
              </w:rPr>
              <w:t>Subtotal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291.3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85.1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523.8</w:t>
            </w:r>
          </w:p>
        </w:tc>
      </w:tr>
      <w:tr>
        <w:trPr>
          <w:trHeight w:val="238"/>
        </w:trPr>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8"/>
        </w:trPr>
        <w:tc>
          <w:tcPr>
            <w:tcW w:w="4080" w:type="dxa"/>
            <w:vAlign w:val="bottom"/>
          </w:tcPr>
          <w:p>
            <w:pPr>
              <w:spacing w:after="0"/>
              <w:rPr>
                <w:sz w:val="20"/>
                <w:szCs w:val="20"/>
                <w:color w:val="auto"/>
              </w:rPr>
            </w:pPr>
            <w:r>
              <w:rPr>
                <w:rFonts w:ascii="Arial" w:cs="Arial" w:eastAsia="Arial" w:hAnsi="Arial"/>
                <w:sz w:val="11"/>
                <w:szCs w:val="11"/>
                <w:color w:val="auto"/>
              </w:rPr>
              <w:t>Adjusted Operating profit (loss)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751.8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837.9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167.8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(238.8)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1,518.7</w:t>
            </w:r>
          </w:p>
        </w:tc>
      </w:tr>
      <w:tr>
        <w:trPr>
          <w:trHeight w:val="22"/>
        </w:trPr>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8"/>
        </w:trPr>
        <w:tc>
          <w:tcPr>
            <w:tcW w:w="4080" w:type="dxa"/>
            <w:vAlign w:val="bottom"/>
          </w:tcPr>
          <w:p>
            <w:pPr>
              <w:spacing w:after="0"/>
              <w:rPr>
                <w:sz w:val="20"/>
                <w:szCs w:val="20"/>
                <w:color w:val="auto"/>
              </w:rPr>
            </w:pPr>
            <w:r>
              <w:rPr>
                <w:rFonts w:ascii="Arial" w:cs="Arial" w:eastAsia="Arial" w:hAnsi="Arial"/>
                <w:sz w:val="11"/>
                <w:szCs w:val="11"/>
                <w:color w:val="auto"/>
              </w:rPr>
              <w:t>Adjusted Depreciation and amortization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368.0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41.1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51.1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464.3</w:t>
            </w:r>
          </w:p>
        </w:tc>
      </w:tr>
      <w:tr>
        <w:trPr>
          <w:trHeight w:val="238"/>
        </w:trPr>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32"/>
        </w:trPr>
        <w:tc>
          <w:tcPr>
            <w:tcW w:w="4080" w:type="dxa"/>
            <w:vAlign w:val="bottom"/>
          </w:tcPr>
          <w:p>
            <w:pPr>
              <w:spacing w:after="0"/>
              <w:rPr>
                <w:sz w:val="20"/>
                <w:szCs w:val="20"/>
                <w:color w:val="auto"/>
              </w:rPr>
            </w:pPr>
            <w:r>
              <w:rPr>
                <w:rFonts w:ascii="Arial" w:cs="Arial" w:eastAsia="Arial" w:hAnsi="Arial"/>
                <w:sz w:val="11"/>
                <w:szCs w:val="11"/>
                <w:color w:val="auto"/>
              </w:rPr>
              <w:t>Adjusted EBITDA</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1,119.8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879.0</w:t>
            </w:r>
          </w:p>
        </w:tc>
        <w:tc>
          <w:tcPr>
            <w:tcW w:w="220" w:type="dxa"/>
            <w:vAlign w:val="bottom"/>
            <w:gridSpan w:val="4"/>
          </w:tcPr>
          <w:p>
            <w:pPr>
              <w:ind w:left="16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25"/>
              <w:spacing w:after="0"/>
              <w:rPr>
                <w:sz w:val="20"/>
                <w:szCs w:val="20"/>
                <w:color w:val="auto"/>
              </w:rPr>
            </w:pPr>
            <w:r>
              <w:rPr>
                <w:rFonts w:ascii="Arial" w:cs="Arial" w:eastAsia="Arial" w:hAnsi="Arial"/>
                <w:sz w:val="11"/>
                <w:szCs w:val="11"/>
                <w:color w:val="auto"/>
              </w:rPr>
              <w:t>218.9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ind w:left="40"/>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(234.7)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1,983.0</w:t>
            </w:r>
          </w:p>
        </w:tc>
      </w:tr>
      <w:tr>
        <w:trPr>
          <w:trHeight w:val="20"/>
        </w:trPr>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49"/>
        </w:trPr>
        <w:tc>
          <w:tcPr>
            <w:tcW w:w="4080" w:type="dxa"/>
            <w:vAlign w:val="bottom"/>
          </w:tcPr>
          <w:p>
            <w:pPr>
              <w:spacing w:after="0"/>
              <w:rPr>
                <w:sz w:val="20"/>
                <w:szCs w:val="20"/>
                <w:color w:val="auto"/>
              </w:rPr>
            </w:pPr>
            <w:r>
              <w:rPr>
                <w:rFonts w:ascii="Arial" w:cs="Arial" w:eastAsia="Arial" w:hAnsi="Arial"/>
                <w:sz w:val="11"/>
                <w:szCs w:val="11"/>
                <w:color w:val="auto"/>
              </w:rPr>
              <w:t>Operating profit margin, as reported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w:t>
            </w:r>
          </w:p>
        </w:tc>
      </w:tr>
      <w:tr>
        <w:trPr>
          <w:trHeight w:val="486"/>
        </w:trPr>
        <w:tc>
          <w:tcPr>
            <w:tcW w:w="4080" w:type="dxa"/>
            <w:vAlign w:val="bottom"/>
          </w:tcPr>
          <w:p>
            <w:pPr>
              <w:spacing w:after="0"/>
              <w:rPr>
                <w:sz w:val="20"/>
                <w:szCs w:val="20"/>
                <w:color w:val="auto"/>
              </w:rPr>
            </w:pPr>
            <w:r>
              <w:rPr>
                <w:rFonts w:ascii="Arial" w:cs="Arial" w:eastAsia="Arial" w:hAnsi="Arial"/>
                <w:sz w:val="11"/>
                <w:szCs w:val="11"/>
                <w:color w:val="auto"/>
              </w:rPr>
              <w:t>Adjusted Operating profit margin</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10.1%</w:t>
            </w:r>
          </w:p>
        </w:tc>
      </w:tr>
    </w:tbl>
    <w:p>
      <w:pPr>
        <w:spacing w:after="0" w:line="200" w:lineRule="exact"/>
        <w:rPr>
          <w:sz w:val="20"/>
          <w:szCs w:val="20"/>
          <w:color w:val="auto"/>
        </w:rPr>
      </w:pPr>
    </w:p>
    <w:p>
      <w:pPr>
        <w:sectPr>
          <w:pgSz w:w="11900" w:h="16838" w:orient="portrait"/>
          <w:cols w:equalWidth="0" w:num="1">
            <w:col w:w="10300"/>
          </w:cols>
          <w:pgMar w:left="1360" w:top="526" w:right="239" w:bottom="0" w:gutter="0" w:footer="0" w:header="0"/>
        </w:sectPr>
      </w:pPr>
    </w:p>
    <w:p>
      <w:pPr>
        <w:spacing w:after="0" w:line="150" w:lineRule="exact"/>
        <w:rPr>
          <w:sz w:val="20"/>
          <w:szCs w:val="20"/>
          <w:color w:val="auto"/>
        </w:rPr>
      </w:pPr>
    </w:p>
    <w:p>
      <w:pPr>
        <w:spacing w:after="0"/>
        <w:tabs>
          <w:tab w:leader="none" w:pos="4720" w:val="left"/>
          <w:tab w:leader="none" w:pos="5780" w:val="left"/>
          <w:tab w:leader="none" w:pos="6820" w:val="left"/>
          <w:tab w:leader="none" w:pos="8880" w:val="left"/>
        </w:tabs>
        <w:rPr>
          <w:sz w:val="20"/>
          <w:szCs w:val="20"/>
          <w:color w:val="auto"/>
        </w:rPr>
      </w:pPr>
      <w:r>
        <w:rPr>
          <w:rFonts w:ascii="Arial" w:cs="Arial" w:eastAsia="Arial" w:hAnsi="Arial"/>
          <w:sz w:val="11"/>
          <w:szCs w:val="11"/>
          <w:color w:val="auto"/>
        </w:rPr>
        <w:t>Adjusted EBITDA margin</w:t>
      </w:r>
      <w:r>
        <w:rPr>
          <w:sz w:val="20"/>
          <w:szCs w:val="20"/>
          <w:color w:val="auto"/>
        </w:rPr>
        <w:tab/>
      </w:r>
      <w:r>
        <w:rPr>
          <w:rFonts w:ascii="Arial" w:cs="Arial" w:eastAsia="Arial" w:hAnsi="Arial"/>
          <w:sz w:val="11"/>
          <w:szCs w:val="11"/>
          <w:color w:val="auto"/>
        </w:rPr>
        <w:t>19.1%</w:t>
      </w:r>
      <w:r>
        <w:rPr>
          <w:sz w:val="20"/>
          <w:szCs w:val="20"/>
          <w:color w:val="auto"/>
        </w:rPr>
        <w:tab/>
      </w:r>
      <w:r>
        <w:rPr>
          <w:rFonts w:ascii="Arial" w:cs="Arial" w:eastAsia="Arial" w:hAnsi="Arial"/>
          <w:sz w:val="11"/>
          <w:szCs w:val="11"/>
          <w:color w:val="auto"/>
        </w:rPr>
        <w:t>11.1%</w:t>
      </w:r>
      <w:r>
        <w:rPr>
          <w:sz w:val="20"/>
          <w:szCs w:val="20"/>
          <w:color w:val="auto"/>
        </w:rPr>
        <w:tab/>
      </w:r>
      <w:r>
        <w:rPr>
          <w:rFonts w:ascii="Arial" w:cs="Arial" w:eastAsia="Arial" w:hAnsi="Arial"/>
          <w:sz w:val="11"/>
          <w:szCs w:val="11"/>
          <w:color w:val="auto"/>
        </w:rPr>
        <w:t>17.2%</w:t>
      </w:r>
      <w:r>
        <w:rPr>
          <w:sz w:val="20"/>
          <w:szCs w:val="20"/>
          <w:color w:val="auto"/>
        </w:rPr>
        <w:tab/>
      </w:r>
      <w:r>
        <w:rPr>
          <w:rFonts w:ascii="Arial" w:cs="Arial" w:eastAsia="Arial" w:hAnsi="Arial"/>
          <w:sz w:val="9"/>
          <w:szCs w:val="9"/>
          <w:color w:val="auto"/>
        </w:rPr>
        <w:t>13.2%</w:t>
      </w:r>
    </w:p>
    <w:p>
      <w:pPr>
        <w:sectPr>
          <w:pgSz w:w="11900" w:h="16838" w:orient="portrait"/>
          <w:cols w:equalWidth="0" w:num="1">
            <w:col w:w="10300"/>
          </w:cols>
          <w:pgMar w:left="1360" w:top="526" w:right="239" w:bottom="0" w:gutter="0" w:footer="0" w:header="0"/>
          <w:type w:val="continuous"/>
        </w:sectPr>
      </w:pPr>
    </w:p>
    <w:bookmarkStart w:id="32" w:name="page33"/>
    <w:bookmarkEnd w:id="32"/>
    <w:p>
      <w:pPr>
        <w:spacing w:after="0"/>
        <w:tabs>
          <w:tab w:leader="none" w:pos="4720" w:val="left"/>
          <w:tab w:leader="none" w:pos="5780" w:val="left"/>
          <w:tab w:leader="none" w:pos="6820" w:val="left"/>
          <w:tab w:leader="none" w:pos="8880" w:val="left"/>
        </w:tabs>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520"/>
        </w:trPr>
        <w:tc>
          <w:tcPr>
            <w:tcW w:w="6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5,540.0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6,737.4</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(3,777.9)</w:t>
            </w:r>
          </w:p>
        </w:tc>
      </w:tr>
      <w:tr>
        <w:trPr>
          <w:trHeight w:val="27"/>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Net cash</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1,348.3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2,882.4</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Net cash (debt) is a non-GAAP financial measure reflecting cash and cash equivalents, net of debt. Management uses this non-GAAP financial measure to evaluate TechnipFMC's capital structure and financial leverage. Management believes net cash (debt) is a meaningful financial measure that may also assist investors in understanding TechnipFMC's financial condition and underlying trends in its capital structure.</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lvl w:ilvl="1">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lvl w:ilvl="1">
      <w:lvlJc w:val="left"/>
      <w:lvlText w:val="*"/>
      <w:numFmt w:val="bullet"/>
      <w:start w:val="1"/>
    </w:lvl>
  </w:abstractNum>
  <w:abstractNum w:abstractNumId="10">
    <w:nsid w:val="519B500D"/>
    <w:multiLevelType w:val="hybridMultilevel"/>
    <w:lvl w:ilvl="0">
      <w:lvlJc w:val="left"/>
      <w:lvlText w:val="•"/>
      <w:numFmt w:val="bullet"/>
      <w:start w:val="1"/>
    </w:lvl>
    <w:lvl w:ilvl="1">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2019-12-28T16:31:24Z</dcterms:created>
  <dcterms:modified xsi:type="dcterms:W3CDTF">2019-12-28T16:31:24Z</dcterms:modified>
</cp:coreProperties>
</file>