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31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Pieton Arnaud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People &amp; Culture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21,569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20,169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19,966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19,966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02/26/2021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02/26/2028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units, each of which represents a contingent right to receive one Ordinary Share, that will vest on February 26, 2021.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Excludes 300 Ordinary Shares held indirectly by spouse that were erroneously included in the Reporting Person's direct ownership on Form 4 filed with the Securities and Exchange Commission on February 21, 2018.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Lisa P. Wang,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902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2019-12-08T14:33:11Z</dcterms:created>
  <dcterms:modified xsi:type="dcterms:W3CDTF">2019-12-08T14:33:11Z</dcterms:modified>
</cp:coreProperties>
</file>