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210820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125095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21, 2018, TechnipFMC plc ("TechnipFMC") issued a news release announcing its financial results for the fiscal quarter ended December 31, 2017. A copy of the news release is furnished as Exhibit 99.1 to this report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454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89"/>
              </w:rPr>
              <w:t>News Release issued by TechnipFMC dated February 21, 2018</w:t>
            </w: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gridSpan w:val="2"/>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512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8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News Release issued by TechnipFMC plc dated February 21, 2018</w:t>
              </w:r>
            </w:hyperlink>
          </w:p>
        </w:tc>
        <w:tc>
          <w:tcPr>
            <w:tcW w:w="300" w:type="dxa"/>
            <w:vAlign w:val="bottom"/>
          </w:tcPr>
          <w:p>
            <w:pPr>
              <w:spacing w:after="0"/>
              <w:rPr>
                <w:sz w:val="24"/>
                <w:szCs w:val="24"/>
                <w:color w:val="auto"/>
              </w:rPr>
            </w:pPr>
          </w:p>
        </w:tc>
      </w:tr>
    </w:tbl>
    <w:p>
      <w:pPr>
        <w:sectPr>
          <w:pgSz w:w="11900" w:h="16838" w:orient="portrait"/>
          <w:cols w:equalWidth="0" w:num="1">
            <w:col w:w="10219"/>
          </w:cols>
          <w:pgMar w:left="240" w:top="58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February 21, 2018</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Fourth Quarter 2017 Results</w:t>
      </w:r>
    </w:p>
    <w:p>
      <w:pPr>
        <w:spacing w:after="0" w:line="156" w:lineRule="exact"/>
        <w:rPr>
          <w:sz w:val="20"/>
          <w:szCs w:val="20"/>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Successful first year; strong operational performance across all segments</w:t>
      </w:r>
    </w:p>
    <w:p>
      <w:pPr>
        <w:spacing w:after="0" w:line="31" w:lineRule="exact"/>
        <w:rPr>
          <w:rFonts w:ascii="Arial" w:cs="Arial" w:eastAsia="Arial" w:hAnsi="Arial"/>
          <w:sz w:val="18"/>
          <w:szCs w:val="18"/>
          <w:color w:val="auto"/>
        </w:rPr>
      </w:pPr>
    </w:p>
    <w:p>
      <w:pPr>
        <w:ind w:left="680" w:hanging="321"/>
        <w:spacing w:after="0" w:line="196"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Full-year subsea orders of $5.1 billion increased 27%</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over the prior year</w:t>
      </w:r>
    </w:p>
    <w:p>
      <w:pPr>
        <w:ind w:left="680" w:right="440" w:hanging="321"/>
        <w:spacing w:after="0" w:line="24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Onshore/Offshore adjusted EBITDA margin guidance for 2018 raised to at least 10.5%, excluding charges and credits</w:t>
      </w:r>
    </w:p>
    <w:p>
      <w:pPr>
        <w:spacing w:after="0" w:line="39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 xml:space="preserve">LONDON, PARIS, HOUSTON, February 21, 2018 - </w:t>
      </w:r>
      <w:r>
        <w:rPr>
          <w:rFonts w:ascii="Arial" w:cs="Arial" w:eastAsia="Arial" w:hAnsi="Arial"/>
          <w:sz w:val="20"/>
          <w:szCs w:val="20"/>
          <w:color w:val="auto"/>
        </w:rPr>
        <w:t>TechnipFMC plc (NYSE: FTI) (Paris: FTI) today reported fourth quarter 2017</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Total Company revenue in the fourth quarter was $3,683 million. The Company reported a net loss of $153.9 million, or $0.33 per share. These results included $244.8 million of after-tax charges and credits, or $0.53 per share. These charges and credits are comprised of non-cash charges of $138.2 million resulting from tax reform, and other charges and credits of $106.6 million as detailed in the financial schedules. Adjusted diluted earnings per share were $0.20.</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Fourth Quarter 2017</w:t>
      </w:r>
      <w:r>
        <w:rPr>
          <w:rFonts w:ascii="Arial" w:cs="Arial" w:eastAsia="Arial" w:hAnsi="Arial"/>
          <w:sz w:val="25"/>
          <w:szCs w:val="25"/>
          <w:b w:val="1"/>
          <w:bCs w:val="1"/>
          <w:color w:val="auto"/>
          <w:vertAlign w:val="superscript"/>
        </w:rPr>
        <w:t>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359"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6000" w:type="dxa"/>
            <w:vAlign w:val="bottom"/>
            <w:tcBorders>
              <w:top w:val="single" w:sz="8" w:color="B8CCE4"/>
              <w:left w:val="single" w:sz="8" w:color="B8CCE4"/>
              <w:right w:val="single" w:sz="8" w:color="B8CCE4"/>
            </w:tcBorders>
          </w:tcPr>
          <w:p>
            <w:pPr>
              <w:spacing w:after="0"/>
              <w:rPr>
                <w:sz w:val="16"/>
                <w:szCs w:val="16"/>
                <w:color w:val="auto"/>
              </w:rPr>
            </w:pPr>
          </w:p>
        </w:tc>
        <w:tc>
          <w:tcPr>
            <w:tcW w:w="1720" w:type="dxa"/>
            <w:vAlign w:val="bottom"/>
            <w:tcBorders>
              <w:top w:val="single" w:sz="8" w:color="B8CCE4"/>
              <w:right w:val="single" w:sz="8" w:color="B8CCE4"/>
            </w:tcBorders>
          </w:tcPr>
          <w:p>
            <w:pPr>
              <w:spacing w:after="0"/>
              <w:rPr>
                <w:sz w:val="16"/>
                <w:szCs w:val="16"/>
                <w:color w:val="auto"/>
              </w:rPr>
            </w:pP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720" w:type="dxa"/>
            <w:vAlign w:val="bottom"/>
            <w:tcBorders>
              <w:right w:val="single" w:sz="8" w:color="B8CCE4"/>
            </w:tcBorders>
          </w:tcPr>
          <w:p>
            <w:pPr>
              <w:jc w:val="right"/>
              <w:ind w:right="66"/>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6000" w:type="dxa"/>
            <w:vAlign w:val="bottom"/>
            <w:tcBorders>
              <w:left w:val="single" w:sz="8" w:color="B8CCE4"/>
              <w:right w:val="single" w:sz="8" w:color="B8CCE4"/>
            </w:tcBorders>
            <w:vMerge w:val="continue"/>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1260" w:type="dxa"/>
            <w:vAlign w:val="bottom"/>
            <w:tcBorders>
              <w:right w:val="single" w:sz="8" w:color="B8CCE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000" w:type="dxa"/>
            <w:vAlign w:val="bottom"/>
            <w:tcBorders>
              <w:left w:val="single" w:sz="8" w:color="B8CCE4"/>
              <w:right w:val="single" w:sz="8" w:color="B8CCE4"/>
            </w:tcBorders>
            <w:vMerge w:val="continue"/>
          </w:tcPr>
          <w:p>
            <w:pPr>
              <w:spacing w:after="0"/>
              <w:rPr>
                <w:sz w:val="8"/>
                <w:szCs w:val="8"/>
                <w:color w:val="auto"/>
              </w:rPr>
            </w:pPr>
          </w:p>
        </w:tc>
        <w:tc>
          <w:tcPr>
            <w:tcW w:w="1720" w:type="dxa"/>
            <w:vAlign w:val="bottom"/>
            <w:tcBorders>
              <w:right w:val="single" w:sz="8" w:color="B8CCE4"/>
            </w:tcBorders>
            <w:vMerge w:val="restart"/>
          </w:tcPr>
          <w:p>
            <w:pPr>
              <w:jc w:val="right"/>
              <w:ind w:right="146"/>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(Pro Forma)</w:t>
            </w:r>
          </w:p>
        </w:tc>
        <w:tc>
          <w:tcPr>
            <w:tcW w:w="1260" w:type="dxa"/>
            <w:vAlign w:val="bottom"/>
            <w:tcBorders>
              <w:right w:val="single" w:sz="8" w:color="B8CCE4"/>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000" w:type="dxa"/>
            <w:vAlign w:val="bottom"/>
            <w:tcBorders>
              <w:left w:val="single" w:sz="8" w:color="B8CCE4"/>
              <w:right w:val="single" w:sz="8" w:color="B8CCE4"/>
            </w:tcBorders>
          </w:tcPr>
          <w:p>
            <w:pPr>
              <w:spacing w:after="0"/>
              <w:rPr>
                <w:sz w:val="14"/>
                <w:szCs w:val="14"/>
                <w:color w:val="auto"/>
              </w:rPr>
            </w:pPr>
          </w:p>
        </w:tc>
        <w:tc>
          <w:tcPr>
            <w:tcW w:w="1720" w:type="dxa"/>
            <w:vAlign w:val="bottom"/>
            <w:tcBorders>
              <w:right w:val="single" w:sz="8" w:color="B8CCE4"/>
            </w:tcBorders>
            <w:vMerge w:val="continue"/>
          </w:tcPr>
          <w:p>
            <w:pPr>
              <w:spacing w:after="0"/>
              <w:rPr>
                <w:sz w:val="14"/>
                <w:szCs w:val="14"/>
                <w:color w:val="auto"/>
              </w:rPr>
            </w:pPr>
          </w:p>
        </w:tc>
        <w:tc>
          <w:tcPr>
            <w:tcW w:w="1700" w:type="dxa"/>
            <w:vAlign w:val="bottom"/>
            <w:tcBorders>
              <w:right w:val="single" w:sz="8" w:color="B8CCE4"/>
            </w:tcBorders>
            <w:vMerge w:val="continue"/>
          </w:tcPr>
          <w:p>
            <w:pPr>
              <w:spacing w:after="0"/>
              <w:rPr>
                <w:sz w:val="14"/>
                <w:szCs w:val="14"/>
                <w:color w:val="auto"/>
              </w:rPr>
            </w:pPr>
          </w:p>
        </w:tc>
        <w:tc>
          <w:tcPr>
            <w:tcW w:w="1260" w:type="dxa"/>
            <w:vAlign w:val="bottom"/>
            <w:tcBorders>
              <w:right w:val="single" w:sz="8" w:color="B8CCE4"/>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26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$3,683.0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$4,379.7</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(15.9%)</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$(153.9)</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$(100.6)</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(53.0%)</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EPS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$(0.33)</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00" w:type="dxa"/>
            <w:vAlign w:val="bottom"/>
            <w:tcBorders>
              <w:left w:val="single" w:sz="8" w:color="B8CCE4"/>
              <w:bottom w:val="single" w:sz="8" w:color="B8CCE4"/>
              <w:right w:val="single" w:sz="8" w:color="B8CCE4"/>
            </w:tcBorders>
          </w:tcPr>
          <w:p>
            <w:pPr>
              <w:spacing w:after="0"/>
              <w:rPr>
                <w:sz w:val="23"/>
                <w:szCs w:val="23"/>
                <w:color w:val="auto"/>
              </w:rPr>
            </w:pPr>
          </w:p>
        </w:tc>
        <w:tc>
          <w:tcPr>
            <w:tcW w:w="1720" w:type="dxa"/>
            <w:vAlign w:val="bottom"/>
            <w:tcBorders>
              <w:bottom w:val="single" w:sz="8" w:color="B8CCE4"/>
              <w:right w:val="single" w:sz="8" w:color="B8CCE4"/>
            </w:tcBorders>
          </w:tcPr>
          <w:p>
            <w:pPr>
              <w:spacing w:after="0"/>
              <w:rPr>
                <w:sz w:val="23"/>
                <w:szCs w:val="23"/>
                <w:color w:val="auto"/>
              </w:rPr>
            </w:pPr>
          </w:p>
        </w:tc>
        <w:tc>
          <w:tcPr>
            <w:tcW w:w="1700" w:type="dxa"/>
            <w:vAlign w:val="bottom"/>
            <w:tcBorders>
              <w:bottom w:val="single" w:sz="8" w:color="B8CCE4"/>
            </w:tcBorders>
          </w:tcPr>
          <w:p>
            <w:pPr>
              <w:spacing w:after="0"/>
              <w:rPr>
                <w:sz w:val="23"/>
                <w:szCs w:val="23"/>
                <w:color w:val="auto"/>
              </w:rPr>
            </w:pPr>
          </w:p>
        </w:tc>
        <w:tc>
          <w:tcPr>
            <w:tcW w:w="1260" w:type="dxa"/>
            <w:vAlign w:val="bottom"/>
            <w:tcBorders>
              <w:bottom w:val="single" w:sz="8" w:color="B8CCE4"/>
              <w:right w:val="single" w:sz="8" w:color="B8CCE4"/>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$573.1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$525.9</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15.6%</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12.0%</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360 bps</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$90.9</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$0.20</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000" w:type="dxa"/>
            <w:vAlign w:val="bottom"/>
            <w:tcBorders>
              <w:left w:val="single" w:sz="8" w:color="B8CCE4"/>
              <w:bottom w:val="single" w:sz="8" w:color="B8CCE4"/>
              <w:right w:val="single" w:sz="8" w:color="B8CCE4"/>
            </w:tcBorders>
          </w:tcPr>
          <w:p>
            <w:pPr>
              <w:spacing w:after="0"/>
              <w:rPr>
                <w:sz w:val="20"/>
                <w:szCs w:val="20"/>
                <w:color w:val="auto"/>
              </w:rPr>
            </w:pPr>
          </w:p>
        </w:tc>
        <w:tc>
          <w:tcPr>
            <w:tcW w:w="1720" w:type="dxa"/>
            <w:vAlign w:val="bottom"/>
            <w:tcBorders>
              <w:bottom w:val="single" w:sz="8" w:color="B8CCE4"/>
              <w:right w:val="single" w:sz="8" w:color="B8CCE4"/>
            </w:tcBorders>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Borders>
              <w:right w:val="single" w:sz="8" w:color="B8CC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$2,991.9</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$12,982.8</w:t>
            </w:r>
          </w:p>
        </w:tc>
        <w:tc>
          <w:tcPr>
            <w:tcW w:w="1700" w:type="dxa"/>
            <w:vAlign w:val="bottom"/>
            <w:tcBorders>
              <w:bottom w:val="single" w:sz="8" w:color="B8CCE4"/>
            </w:tcBorders>
          </w:tcPr>
          <w:p>
            <w:pPr>
              <w:spacing w:after="0"/>
              <w:rPr>
                <w:sz w:val="22"/>
                <w:szCs w:val="22"/>
                <w:color w:val="auto"/>
              </w:rPr>
            </w:pPr>
          </w:p>
        </w:tc>
        <w:tc>
          <w:tcPr>
            <w:tcW w:w="126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235" w:lineRule="exact"/>
        <w:rPr>
          <w:sz w:val="20"/>
          <w:szCs w:val="20"/>
          <w:color w:val="auto"/>
        </w:rPr>
      </w:pPr>
    </w:p>
    <w:p>
      <w:pPr>
        <w:ind w:right="420" w:firstLine="8"/>
        <w:spacing w:after="0" w:line="207" w:lineRule="auto"/>
        <w:tabs>
          <w:tab w:leader="none" w:pos="105"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Calculated as the percentage difference in 2017 Subsea inbound orders versus the combined FMC Technologies Inc. and Technip S.A. Subsea inbound orders in 2016.</w:t>
      </w:r>
    </w:p>
    <w:p>
      <w:pPr>
        <w:spacing w:after="0" w:line="1" w:lineRule="exact"/>
        <w:rPr>
          <w:rFonts w:ascii="Arial" w:cs="Arial" w:eastAsia="Arial" w:hAnsi="Arial"/>
          <w:sz w:val="22"/>
          <w:szCs w:val="22"/>
          <w:color w:val="auto"/>
          <w:vertAlign w:val="superscript"/>
        </w:rPr>
      </w:pPr>
    </w:p>
    <w:p>
      <w:pPr>
        <w:ind w:right="100"/>
        <w:spacing w:after="0" w:line="216"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All prior year period comparisons are to pro forma results for 2016 as if the merger had been completed on January 1, 2016 and fully consolidated the Yamal LNG joint venture for the full period.</w:t>
      </w:r>
    </w:p>
    <w:p>
      <w:pPr>
        <w:sectPr>
          <w:pgSz w:w="11900" w:h="16838" w:orient="portrait"/>
          <w:cols w:equalWidth="0" w:num="1">
            <w:col w:w="11420"/>
          </w:cols>
          <w:pgMar w:left="240" w:top="1148"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9"/>
          <w:szCs w:val="19"/>
          <w:color w:val="auto"/>
        </w:rPr>
        <w:t>Adjusted EBITDA, which excludes charges and credits, was $573.1 million, an increase of 9 percent from the prior year despite the 16 percent decline in revenue. Adjusted EBITDA margin was 15.6 percent, an increase of 360 basis points from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The Company’s Board of Directors has authorized and declared a quarterly cash dividend of $0.13 per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2017 Results</w:t>
      </w:r>
    </w:p>
    <w:p>
      <w:pPr>
        <w:spacing w:after="0" w:line="200" w:lineRule="exact"/>
        <w:rPr>
          <w:sz w:val="20"/>
          <w:szCs w:val="20"/>
          <w:color w:val="auto"/>
        </w:rPr>
      </w:pP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Total Company revenue for 2017 was $15,056.9 million. The Company reported net income of $113.3 million. Diluted earnings per share were $ 0.24, which includes total Company after-tax charges and credits of $ 490.2 million, or $1.05 per diluted share. These charges and credits are comprised of restructuring and merger-related costs of $352 million, as well as non-cash charges of $138.2 million resulting from tax reform. Adjusted diluted earnings per share were $1.29.</w:t>
      </w:r>
    </w:p>
    <w:p>
      <w:pPr>
        <w:spacing w:after="0" w:line="38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EBITDA, which excludes charges and credits, was $2,031.1 million. Adjusted EBITDA was unchanged from the prior year despite the 21 percent decline in year-over-year revenue. Total Company adjusted EBITDA margin was 13.5 percent, an increase of 290 basis points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Full Year 2017</w:t>
      </w:r>
      <w:r>
        <w:rPr>
          <w:rFonts w:ascii="Arial" w:cs="Arial" w:eastAsia="Arial" w:hAnsi="Arial"/>
          <w:sz w:val="25"/>
          <w:szCs w:val="25"/>
          <w:b w:val="1"/>
          <w:bCs w:val="1"/>
          <w:color w:val="auto"/>
          <w:vertAlign w:val="superscript"/>
        </w:rPr>
        <w:t>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359"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6000" w:type="dxa"/>
            <w:vAlign w:val="bottom"/>
            <w:tcBorders>
              <w:top w:val="single" w:sz="8" w:color="B8CCE4"/>
              <w:left w:val="single" w:sz="8" w:color="B8CCE4"/>
              <w:right w:val="single" w:sz="8" w:color="B8CCE4"/>
            </w:tcBorders>
          </w:tcPr>
          <w:p>
            <w:pPr>
              <w:spacing w:after="0"/>
              <w:rPr>
                <w:sz w:val="16"/>
                <w:szCs w:val="16"/>
                <w:color w:val="auto"/>
              </w:rPr>
            </w:pPr>
          </w:p>
        </w:tc>
        <w:tc>
          <w:tcPr>
            <w:tcW w:w="1720" w:type="dxa"/>
            <w:vAlign w:val="bottom"/>
            <w:tcBorders>
              <w:top w:val="single" w:sz="8" w:color="B8CCE4"/>
              <w:right w:val="single" w:sz="8" w:color="B8CCE4"/>
            </w:tcBorders>
            <w:vMerge w:val="restart"/>
          </w:tcPr>
          <w:p>
            <w:pPr>
              <w:jc w:val="right"/>
              <w:ind w:right="26"/>
              <w:spacing w:after="0"/>
              <w:rPr>
                <w:sz w:val="20"/>
                <w:szCs w:val="20"/>
                <w:color w:val="auto"/>
              </w:rPr>
            </w:pPr>
            <w:r>
              <w:rPr>
                <w:rFonts w:ascii="Arial" w:cs="Arial" w:eastAsia="Arial" w:hAnsi="Arial"/>
                <w:sz w:val="14"/>
                <w:szCs w:val="14"/>
                <w:b w:val="1"/>
                <w:bCs w:val="1"/>
                <w:color w:val="auto"/>
              </w:rPr>
              <w:t>Twelve Months Ended</w:t>
            </w: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126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000" w:type="dxa"/>
            <w:vAlign w:val="bottom"/>
            <w:tcBorders>
              <w:left w:val="single" w:sz="8" w:color="B8CCE4"/>
              <w:right w:val="single" w:sz="8" w:color="B8CCE4"/>
            </w:tcBorders>
          </w:tcPr>
          <w:p>
            <w:pPr>
              <w:spacing w:after="0"/>
              <w:rPr>
                <w:sz w:val="9"/>
                <w:szCs w:val="9"/>
                <w:color w:val="auto"/>
              </w:rPr>
            </w:pPr>
          </w:p>
        </w:tc>
        <w:tc>
          <w:tcPr>
            <w:tcW w:w="1720" w:type="dxa"/>
            <w:vAlign w:val="bottom"/>
            <w:tcBorders>
              <w:right w:val="single" w:sz="8" w:color="B8CCE4"/>
            </w:tcBorders>
            <w:vMerge w:val="continue"/>
          </w:tcPr>
          <w:p>
            <w:pPr>
              <w:spacing w:after="0"/>
              <w:rPr>
                <w:sz w:val="9"/>
                <w:szCs w:val="9"/>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tcBorders>
              <w:right w:val="single" w:sz="8" w:color="B8CCE4"/>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2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000" w:type="dxa"/>
            <w:vAlign w:val="bottom"/>
            <w:tcBorders>
              <w:left w:val="single" w:sz="8" w:color="B8CCE4"/>
              <w:right w:val="single" w:sz="8" w:color="B8CCE4"/>
            </w:tcBorders>
            <w:vMerge w:val="continue"/>
          </w:tcPr>
          <w:p>
            <w:pPr>
              <w:spacing w:after="0"/>
              <w:rPr>
                <w:sz w:val="15"/>
                <w:szCs w:val="15"/>
                <w:color w:val="auto"/>
              </w:rPr>
            </w:pPr>
          </w:p>
        </w:tc>
        <w:tc>
          <w:tcPr>
            <w:tcW w:w="1720" w:type="dxa"/>
            <w:vAlign w:val="bottom"/>
            <w:tcBorders>
              <w:right w:val="single" w:sz="8" w:color="B8CCE4"/>
            </w:tcBorders>
            <w:vMerge w:val="restart"/>
          </w:tcPr>
          <w:p>
            <w:pPr>
              <w:jc w:val="right"/>
              <w:ind w:right="146"/>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(Pro Forma)</w:t>
            </w:r>
          </w:p>
        </w:tc>
        <w:tc>
          <w:tcPr>
            <w:tcW w:w="1260" w:type="dxa"/>
            <w:vAlign w:val="bottom"/>
            <w:tcBorders>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60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2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2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0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26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$15,056.9</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$19,068.8</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(21.0%)</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$113.3</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$378.2</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(70.0%)</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$0.24</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00" w:type="dxa"/>
            <w:vAlign w:val="bottom"/>
            <w:tcBorders>
              <w:left w:val="single" w:sz="8" w:color="B8CCE4"/>
              <w:bottom w:val="single" w:sz="8" w:color="B8CCE4"/>
              <w:right w:val="single" w:sz="8" w:color="B8CCE4"/>
            </w:tcBorders>
          </w:tcPr>
          <w:p>
            <w:pPr>
              <w:spacing w:after="0"/>
              <w:rPr>
                <w:sz w:val="23"/>
                <w:szCs w:val="23"/>
                <w:color w:val="auto"/>
              </w:rPr>
            </w:pPr>
          </w:p>
        </w:tc>
        <w:tc>
          <w:tcPr>
            <w:tcW w:w="1720" w:type="dxa"/>
            <w:vAlign w:val="bottom"/>
            <w:tcBorders>
              <w:bottom w:val="single" w:sz="8" w:color="B8CCE4"/>
              <w:right w:val="single" w:sz="8" w:color="B8CCE4"/>
            </w:tcBorders>
          </w:tcPr>
          <w:p>
            <w:pPr>
              <w:spacing w:after="0"/>
              <w:rPr>
                <w:sz w:val="23"/>
                <w:szCs w:val="23"/>
                <w:color w:val="auto"/>
              </w:rPr>
            </w:pPr>
          </w:p>
        </w:tc>
        <w:tc>
          <w:tcPr>
            <w:tcW w:w="1700" w:type="dxa"/>
            <w:vAlign w:val="bottom"/>
            <w:tcBorders>
              <w:bottom w:val="single" w:sz="8" w:color="B8CCE4"/>
            </w:tcBorders>
          </w:tcPr>
          <w:p>
            <w:pPr>
              <w:spacing w:after="0"/>
              <w:rPr>
                <w:sz w:val="23"/>
                <w:szCs w:val="23"/>
                <w:color w:val="auto"/>
              </w:rPr>
            </w:pPr>
          </w:p>
        </w:tc>
        <w:tc>
          <w:tcPr>
            <w:tcW w:w="1260" w:type="dxa"/>
            <w:vAlign w:val="bottom"/>
            <w:tcBorders>
              <w:bottom w:val="single" w:sz="8" w:color="B8CCE4"/>
              <w:right w:val="single" w:sz="8" w:color="B8CCE4"/>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$2,031.1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$2,030.6</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13.5%</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10.6%</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290 bps</w:t>
            </w: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$603.5</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000" w:type="dxa"/>
            <w:vAlign w:val="bottom"/>
            <w:tcBorders>
              <w:left w:val="single" w:sz="8" w:color="B8CCE4"/>
              <w:bottom w:val="single" w:sz="8" w:color="B8CCE4"/>
              <w:right w:val="single" w:sz="8" w:color="B8CCE4"/>
            </w:tcBorders>
          </w:tcPr>
          <w:p>
            <w:pPr>
              <w:spacing w:after="0"/>
              <w:rPr>
                <w:sz w:val="20"/>
                <w:szCs w:val="20"/>
                <w:color w:val="auto"/>
              </w:rPr>
            </w:pPr>
          </w:p>
        </w:tc>
        <w:tc>
          <w:tcPr>
            <w:tcW w:w="1720" w:type="dxa"/>
            <w:vAlign w:val="bottom"/>
            <w:tcBorders>
              <w:bottom w:val="single" w:sz="8" w:color="B8CCE4"/>
              <w:right w:val="single" w:sz="8" w:color="B8CCE4"/>
            </w:tcBorders>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Borders>
              <w:right w:val="single" w:sz="8" w:color="B8CC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$10,196.3</w:t>
            </w:r>
          </w:p>
        </w:tc>
        <w:tc>
          <w:tcPr>
            <w:tcW w:w="1700" w:type="dxa"/>
            <w:vAlign w:val="bottom"/>
          </w:tcPr>
          <w:p>
            <w:pPr>
              <w:spacing w:after="0"/>
              <w:rPr>
                <w:sz w:val="22"/>
                <w:szCs w:val="22"/>
                <w:color w:val="auto"/>
              </w:rPr>
            </w:pPr>
          </w:p>
        </w:tc>
        <w:tc>
          <w:tcPr>
            <w:tcW w:w="12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$12,982.8</w:t>
            </w:r>
          </w:p>
        </w:tc>
        <w:tc>
          <w:tcPr>
            <w:tcW w:w="1700" w:type="dxa"/>
            <w:vAlign w:val="bottom"/>
            <w:tcBorders>
              <w:bottom w:val="single" w:sz="8" w:color="B8CCE4"/>
            </w:tcBorders>
          </w:tcPr>
          <w:p>
            <w:pPr>
              <w:spacing w:after="0"/>
              <w:rPr>
                <w:sz w:val="22"/>
                <w:szCs w:val="22"/>
                <w:color w:val="auto"/>
              </w:rPr>
            </w:pPr>
          </w:p>
        </w:tc>
        <w:tc>
          <w:tcPr>
            <w:tcW w:w="126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7" w:right="2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t>Doug Pferdehirt, CEO of TechnipFMC, stated, “Our full year operational performance is a result of our relentless focus on project execution and our commitment to delivering client success. This focus was evident once again in the strong operational results demonstrated across all segments in the fourth quarter. Total Company adjusted EBITDA grew sequentially, driven by strong project execution and key milestone achievements on several projects in both Subsea and Onshore/Offshore. Surface Technologies results were broadly in-line with the solid third quarter performance. We are extremely pleased with these results along with the many operational, commercial, and strategic accomplishments of our first year as TechnipFMC.”</w:t>
      </w:r>
    </w:p>
    <w:p>
      <w:pPr>
        <w:spacing w:after="0" w:line="15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“Full year Subsea orders of $5.1 billion increased 27 percent from the prior year, reflecting a book-to-bill approaching one. In Subsea, we recorded $1.7 billion in orders for the quarter; this included our 6</w:t>
      </w:r>
      <w:r>
        <w:rPr>
          <w:rFonts w:ascii="Arial" w:cs="Arial" w:eastAsia="Arial" w:hAnsi="Arial"/>
          <w:sz w:val="25"/>
          <w:szCs w:val="25"/>
          <w:color w:val="auto"/>
          <w:vertAlign w:val="superscript"/>
        </w:rPr>
        <w:t>th</w:t>
      </w:r>
      <w:r>
        <w:rPr>
          <w:rFonts w:ascii="Arial" w:cs="Arial" w:eastAsia="Arial" w:hAnsi="Arial"/>
          <w:sz w:val="20"/>
          <w:szCs w:val="20"/>
          <w:color w:val="auto"/>
        </w:rPr>
        <w:t>, and first major, iEPCI™ award for the VNG Norge Fenja project in Norway. Total Company orders were $3 billion in the quarter, and year-end backlog stands at $13 billion.”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continued, “In 2018, we expect to see another increase in subsea market activity, driven by major projects as well as a blend of small-to-mid size projects and service opportunities. We remain confident that our inbound orders will grow year-over-year and that as much as 25 percent of these orders will come from iEPCI™ in 2018.”</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Onshore/Offshore, we were awarded Bapco’s Sitra refinery expansion in Bahrain, which follows our successful completion of the FEED study. We remain confident in further downstream awards in the near-term. Our front-end engineering activity is also signaling a resurgence in the natural gas market, with notable prospects in North America, the Arctic region and the Middle East. We are further encouraged by growth in our medium-to-long term prospects, which could provide considerable inbound opportunity in the coming years.”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the North American surface market, we see increased activity in unconventional resources, driven by further improvement in rig count and increased frac intensity. In 2018, we believe that revenues for our North American business will begin to approach the levels we achieved at the cycle peak in 2014. We also expect international markets will return to growth in 2018, although at a more moderate pace than North America. The Middle East, Asia Pacific, and Europe are positioned for the strongest growth.”</w:t>
      </w: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Pferdehirt concluded, “We will balance investment for growth against returning capital to our investors and will continue the dividend and share repurchase activity we initiated last year. Our strong execution performance and market acceptance of our integrated business model and new technologies, combined with our continued focus on cost and efficiency, positions us well to deliver strong performance in 2018.”</w:t>
      </w:r>
    </w:p>
    <w:p>
      <w:pPr>
        <w:sectPr>
          <w:pgSz w:w="11900" w:h="16838" w:orient="portrait"/>
          <w:cols w:equalWidth="0" w:num="1">
            <w:col w:w="11420"/>
          </w:cols>
          <w:pgMar w:left="240" w:top="94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Operational and Financial Highlights - Fourth Quarter 2017</w:t>
      </w: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31115</wp:posOffset>
            </wp:positionV>
            <wp:extent cx="71862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2</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341" w:lineRule="exact"/>
        <w:rPr>
          <w:sz w:val="20"/>
          <w:szCs w:val="20"/>
          <w:color w:val="auto"/>
        </w:rPr>
      </w:pPr>
    </w:p>
    <w:tbl>
      <w:tblPr>
        <w:tblLayout w:type="fixed"/>
        <w:tblInd w:w="370" w:type="dxa"/>
        <w:tblCellMar>
          <w:top w:w="0" w:type="dxa"/>
          <w:left w:w="0" w:type="dxa"/>
          <w:bottom w:w="0" w:type="dxa"/>
          <w:right w:w="0" w:type="dxa"/>
        </w:tblCellMar>
      </w:tblPr>
      <w:tr>
        <w:trPr>
          <w:trHeight w:val="218"/>
        </w:trPr>
        <w:tc>
          <w:tcPr>
            <w:tcW w:w="5600" w:type="dxa"/>
            <w:vAlign w:val="bottom"/>
            <w:tcBorders>
              <w:top w:val="single" w:sz="8" w:color="B8CCE4"/>
              <w:left w:val="single" w:sz="8" w:color="B8CCE4"/>
              <w:right w:val="single" w:sz="8" w:color="B8CCE4"/>
            </w:tcBorders>
          </w:tcPr>
          <w:p>
            <w:pPr>
              <w:spacing w:after="0"/>
              <w:rPr>
                <w:sz w:val="18"/>
                <w:szCs w:val="18"/>
                <w:color w:val="auto"/>
              </w:rPr>
            </w:pPr>
          </w:p>
        </w:tc>
        <w:tc>
          <w:tcPr>
            <w:tcW w:w="1720" w:type="dxa"/>
            <w:vAlign w:val="bottom"/>
            <w:tcBorders>
              <w:top w:val="single" w:sz="8" w:color="B8CCE4"/>
              <w:right w:val="single" w:sz="8" w:color="B8CCE4"/>
            </w:tcBorders>
          </w:tcPr>
          <w:p>
            <w:pPr>
              <w:spacing w:after="0"/>
              <w:rPr>
                <w:sz w:val="18"/>
                <w:szCs w:val="18"/>
                <w:color w:val="auto"/>
              </w:rPr>
            </w:pP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right w:val="single" w:sz="8" w:color="B8CCE4"/>
            </w:tcBorders>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continue"/>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600" w:type="dxa"/>
            <w:vAlign w:val="bottom"/>
            <w:tcBorders>
              <w:left w:val="single" w:sz="8" w:color="B8CCE4"/>
              <w:right w:val="single" w:sz="8" w:color="B8CCE4"/>
            </w:tcBorders>
          </w:tcPr>
          <w:p>
            <w:pPr>
              <w:spacing w:after="0"/>
              <w:rPr>
                <w:sz w:val="22"/>
                <w:szCs w:val="22"/>
                <w:color w:val="auto"/>
              </w:rPr>
            </w:pPr>
          </w:p>
        </w:tc>
        <w:tc>
          <w:tcPr>
            <w:tcW w:w="1720" w:type="dxa"/>
            <w:vAlign w:val="bottom"/>
            <w:tcBorders>
              <w:right w:val="single" w:sz="8" w:color="B8CCE4"/>
            </w:tcBorders>
          </w:tcPr>
          <w:p>
            <w:pPr>
              <w:jc w:val="right"/>
              <w:ind w:right="148"/>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(Pro Forma)</w:t>
            </w: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$1,292.2</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$2,024.1</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(36.2%)</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$67.4</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$146.3</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(53.9%)</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$244.1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$395.9</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(38.3%)</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18.9%</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19.6%</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(70 bps)</w:t>
            </w:r>
          </w:p>
        </w:tc>
        <w:tc>
          <w:tcPr>
            <w:tcW w:w="0" w:type="dxa"/>
            <w:vAlign w:val="bottom"/>
          </w:tcPr>
          <w:p>
            <w:pPr>
              <w:spacing w:after="0"/>
              <w:rPr>
                <w:sz w:val="1"/>
                <w:szCs w:val="1"/>
                <w:color w:val="auto"/>
              </w:rPr>
            </w:pPr>
          </w:p>
        </w:tc>
      </w:tr>
      <w:tr>
        <w:trPr>
          <w:trHeight w:val="241"/>
        </w:trPr>
        <w:tc>
          <w:tcPr>
            <w:tcW w:w="5600" w:type="dxa"/>
            <w:vAlign w:val="bottom"/>
            <w:tcBorders>
              <w:left w:val="single" w:sz="8" w:color="B8CCE4"/>
              <w:bottom w:val="single" w:sz="8" w:color="B8CCE4"/>
              <w:right w:val="single" w:sz="8" w:color="B8CCE4"/>
            </w:tcBorders>
          </w:tcPr>
          <w:p>
            <w:pPr>
              <w:spacing w:after="0"/>
              <w:rPr>
                <w:sz w:val="20"/>
                <w:szCs w:val="20"/>
                <w:color w:val="auto"/>
              </w:rPr>
            </w:pPr>
          </w:p>
        </w:tc>
        <w:tc>
          <w:tcPr>
            <w:tcW w:w="1720" w:type="dxa"/>
            <w:vAlign w:val="bottom"/>
            <w:tcBorders>
              <w:bottom w:val="single" w:sz="8" w:color="B8CCE4"/>
              <w:right w:val="single" w:sz="8" w:color="B8CCE4"/>
            </w:tcBorders>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Borders>
              <w:right w:val="single" w:sz="8" w:color="B8CC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$1,724.8</w:t>
            </w:r>
          </w:p>
        </w:tc>
        <w:tc>
          <w:tcPr>
            <w:tcW w:w="1700" w:type="dxa"/>
            <w:vAlign w:val="bottom"/>
          </w:tcPr>
          <w:p>
            <w:pPr>
              <w:spacing w:after="0"/>
              <w:rPr>
                <w:sz w:val="22"/>
                <w:szCs w:val="22"/>
                <w:color w:val="auto"/>
              </w:rPr>
            </w:pP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$6,203.9</w:t>
            </w:r>
          </w:p>
        </w:tc>
        <w:tc>
          <w:tcPr>
            <w:tcW w:w="1700" w:type="dxa"/>
            <w:vAlign w:val="bottom"/>
            <w:tcBorders>
              <w:bottom w:val="single" w:sz="8" w:color="B8CCE4"/>
            </w:tcBorders>
          </w:tcPr>
          <w:p>
            <w:pPr>
              <w:spacing w:after="0"/>
              <w:rPr>
                <w:sz w:val="22"/>
                <w:szCs w:val="22"/>
                <w:color w:val="auto"/>
              </w:rPr>
            </w:pPr>
          </w:p>
        </w:tc>
        <w:tc>
          <w:tcPr>
            <w:tcW w:w="172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fourth quarter revenue of $1,292.2 million. Revenue was down 36.2 percent from the prior year, primarily due to a reduction in project activity within the Europe and Africa as well as Asia Pacific regions. Revenue continues to be negatively impacted by prior period declines in inbound orders related to the market downturn.</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Subsea reported operating profit of $67.4 million; adjusted EBITDA was $ 244.1 million with a margin of 18.9 percent. Operating profit margin decreased from the prior year as a result of the revenue decline, although strong project execution and cost reduction initiatives mitigated the negative impact of reduced project activity. Adjusted EBITDA margin decreased only 70 basis points from the prior-year results despite a 36.2 percent decline in revenue, and benefitted from the same factors that impacted operating profit margin.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Vessel utilization rate for the fourth quarter was 65 percent, down from 70 percent in the third quarter and from 78 percent in the prior year.</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Subsea Highlights</w:t>
      </w:r>
    </w:p>
    <w:p>
      <w:pPr>
        <w:spacing w:after="0" w:line="1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Total Kaombo</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The installation campaign for umbilicals, spools, and other subsea components continues, followed by hook-up of the FPSO.</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Shell Appomattox</w:t>
      </w:r>
    </w:p>
    <w:p>
      <w:pPr>
        <w:spacing w:after="0" w:line="23" w:lineRule="exact"/>
        <w:rPr>
          <w:rFonts w:ascii="Arial" w:cs="Arial" w:eastAsia="Arial" w:hAnsi="Arial"/>
          <w:sz w:val="18"/>
          <w:szCs w:val="18"/>
          <w:color w:val="auto"/>
        </w:rPr>
      </w:pPr>
    </w:p>
    <w:p>
      <w:pPr>
        <w:ind w:left="660"/>
        <w:spacing w:after="0" w:line="216" w:lineRule="auto"/>
        <w:rPr>
          <w:rFonts w:ascii="Arial" w:cs="Arial" w:eastAsia="Arial" w:hAnsi="Arial"/>
          <w:sz w:val="18"/>
          <w:szCs w:val="18"/>
          <w:color w:val="auto"/>
        </w:rPr>
      </w:pPr>
      <w:r>
        <w:rPr>
          <w:rFonts w:ascii="Arial" w:cs="Arial" w:eastAsia="Arial" w:hAnsi="Arial"/>
          <w:sz w:val="20"/>
          <w:szCs w:val="20"/>
          <w:color w:val="auto"/>
        </w:rPr>
        <w:t>Subsea tree assembly and testing of industry’s first extreme high pressure / high temperature (15,000psi / 400</w:t>
      </w:r>
      <w:r>
        <w:rPr>
          <w:rFonts w:ascii="Arial" w:cs="Arial" w:eastAsia="Arial" w:hAnsi="Arial"/>
          <w:sz w:val="25"/>
          <w:szCs w:val="25"/>
          <w:color w:val="auto"/>
          <w:vertAlign w:val="superscript"/>
        </w:rPr>
        <w:t>o</w:t>
      </w:r>
      <w:r>
        <w:rPr>
          <w:rFonts w:ascii="Arial" w:cs="Arial" w:eastAsia="Arial" w:hAnsi="Arial"/>
          <w:sz w:val="20"/>
          <w:szCs w:val="20"/>
          <w:color w:val="auto"/>
        </w:rPr>
        <w:t>F) subsea production system is progressing well.</w:t>
      </w:r>
    </w:p>
    <w:p>
      <w:pPr>
        <w:sectPr>
          <w:pgSz w:w="11900" w:h="16838" w:orient="portrait"/>
          <w:cols w:equalWidth="0" w:num="1">
            <w:col w:w="11420"/>
          </w:cols>
          <w:pgMar w:left="240" w:top="544" w:right="239" w:bottom="1440" w:gutter="0" w:footer="0" w:header="0"/>
        </w:sectPr>
      </w:pPr>
    </w:p>
    <w:bookmarkStart w:id="8" w:name="page9"/>
    <w:bookmarkEnd w:id="8"/>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Statoil Trestakk iEPCI™</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Work on the subsea infrastructure is ongoing and preparations well underway for offshore installation campaign.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Subsea inbound orders for the quarter were $1,724.8 million. The following awards were announced in the period:</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VNG Norge Fenja iEPCI™ Project in Norwegian Sea</w:t>
      </w:r>
    </w:p>
    <w:p>
      <w:pPr>
        <w:spacing w:after="0" w:line="23" w:lineRule="exact"/>
        <w:rPr>
          <w:rFonts w:ascii="Arial" w:cs="Arial" w:eastAsia="Arial" w:hAnsi="Arial"/>
          <w:sz w:val="18"/>
          <w:szCs w:val="18"/>
          <w:color w:val="auto"/>
        </w:rPr>
      </w:pPr>
    </w:p>
    <w:p>
      <w:pPr>
        <w:ind w:left="660" w:right="20"/>
        <w:spacing w:after="0" w:line="247" w:lineRule="auto"/>
        <w:rPr>
          <w:rFonts w:ascii="Arial" w:cs="Arial" w:eastAsia="Arial" w:hAnsi="Arial"/>
          <w:sz w:val="18"/>
          <w:szCs w:val="18"/>
          <w:color w:val="auto"/>
        </w:rPr>
      </w:pPr>
      <w:r>
        <w:rPr>
          <w:rFonts w:ascii="Arial" w:cs="Arial" w:eastAsia="Arial" w:hAnsi="Arial"/>
          <w:sz w:val="20"/>
          <w:szCs w:val="20"/>
          <w:color w:val="auto"/>
        </w:rPr>
        <w:t>Award for integrated engineering, procurement, construction, and installation (iEPCI™) which covers the provision of subsea equipment including umbilicals, risers, flowlines and the subsea production system.</w:t>
      </w:r>
    </w:p>
    <w:p>
      <w:pPr>
        <w:spacing w:after="0" w:line="35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Statoil Snorre Expansion Project in North Sea</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Award for the engineering, procurement, and construction of the Snorre Expansion which covers the delivery of subsea production systems and includes six subsea templates and subsea production equipment.</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Murphy Sabah Oil Block H Gas Development Project in Malaysia</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Award for the engineering, procurement, construction, installation, and commissioning (EPCIC) of the umbilicals, risers, and flowlines as well as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30" w:type="dxa"/>
        <w:tblCellMar>
          <w:top w:w="0" w:type="dxa"/>
          <w:left w:w="0" w:type="dxa"/>
          <w:bottom w:w="0" w:type="dxa"/>
          <w:right w:w="0" w:type="dxa"/>
        </w:tblCellMar>
      </w:tblPr>
      <w:tr>
        <w:trPr>
          <w:trHeight w:val="275"/>
        </w:trPr>
        <w:tc>
          <w:tcPr>
            <w:tcW w:w="754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December 31, 2017</w:t>
            </w:r>
          </w:p>
        </w:tc>
        <w:tc>
          <w:tcPr>
            <w:tcW w:w="3060" w:type="dxa"/>
            <w:vAlign w:val="bottom"/>
            <w:tcBorders>
              <w:top w:val="single" w:sz="8" w:color="B6DDE8"/>
              <w:right w:val="single" w:sz="8" w:color="B6DDE8"/>
            </w:tcBorders>
            <w:vMerge w:val="restart"/>
          </w:tcPr>
          <w:p>
            <w:pPr>
              <w:jc w:val="right"/>
              <w:ind w:right="1101"/>
              <w:spacing w:after="0"/>
              <w:rPr>
                <w:sz w:val="20"/>
                <w:szCs w:val="20"/>
                <w:color w:val="auto"/>
              </w:rPr>
            </w:pPr>
            <w:r>
              <w:rPr>
                <w:rFonts w:ascii="Arial" w:cs="Arial" w:eastAsia="Arial" w:hAnsi="Arial"/>
                <w:sz w:val="20"/>
                <w:szCs w:val="20"/>
                <w:b w:val="1"/>
                <w:bCs w:val="1"/>
                <w:color w:val="auto"/>
              </w:rPr>
              <w:t>Subsea</w:t>
            </w:r>
          </w:p>
        </w:tc>
        <w:tc>
          <w:tcPr>
            <w:tcW w:w="0" w:type="dxa"/>
            <w:vAlign w:val="bottom"/>
          </w:tcPr>
          <w:p>
            <w:pPr>
              <w:spacing w:after="0"/>
              <w:rPr>
                <w:sz w:val="1"/>
                <w:szCs w:val="1"/>
                <w:color w:val="auto"/>
              </w:rPr>
            </w:pPr>
          </w:p>
        </w:tc>
      </w:tr>
      <w:tr>
        <w:trPr>
          <w:trHeight w:val="256"/>
        </w:trPr>
        <w:tc>
          <w:tcPr>
            <w:tcW w:w="754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right w:val="single" w:sz="8" w:color="B6DDE8"/>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7540" w:type="dxa"/>
            <w:vAlign w:val="bottom"/>
            <w:tcBorders>
              <w:left w:val="single" w:sz="8" w:color="B6DDE8"/>
              <w:right w:val="single" w:sz="8" w:color="B6DDE8"/>
            </w:tcBorders>
            <w:vMerge w:val="continue"/>
          </w:tcPr>
          <w:p>
            <w:pPr>
              <w:spacing w:after="0"/>
              <w:rPr>
                <w:sz w:val="6"/>
                <w:szCs w:val="6"/>
                <w:color w:val="auto"/>
              </w:rPr>
            </w:pPr>
          </w:p>
        </w:tc>
        <w:tc>
          <w:tcPr>
            <w:tcW w:w="3060" w:type="dxa"/>
            <w:vAlign w:val="bottom"/>
            <w:tcBorders>
              <w:right w:val="single" w:sz="8" w:color="B6DDE8"/>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540" w:type="dxa"/>
            <w:vAlign w:val="bottom"/>
            <w:tcBorders>
              <w:left w:val="single" w:sz="8" w:color="B6DDE8"/>
              <w:bottom w:val="single" w:sz="8" w:color="B6DDE8"/>
              <w:right w:val="single" w:sz="8" w:color="B6DDE8"/>
            </w:tcBorders>
          </w:tcPr>
          <w:p>
            <w:pPr>
              <w:spacing w:after="0"/>
              <w:rPr>
                <w:sz w:val="16"/>
                <w:szCs w:val="16"/>
                <w:color w:val="auto"/>
              </w:rPr>
            </w:pPr>
          </w:p>
        </w:tc>
        <w:tc>
          <w:tcPr>
            <w:tcW w:w="306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5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$3,358.7</w:t>
            </w:r>
          </w:p>
        </w:tc>
        <w:tc>
          <w:tcPr>
            <w:tcW w:w="0" w:type="dxa"/>
            <w:vAlign w:val="bottom"/>
          </w:tcPr>
          <w:p>
            <w:pPr>
              <w:spacing w:after="0"/>
              <w:rPr>
                <w:sz w:val="1"/>
                <w:szCs w:val="1"/>
                <w:color w:val="auto"/>
              </w:rPr>
            </w:pPr>
          </w:p>
        </w:tc>
      </w:tr>
      <w:tr>
        <w:trPr>
          <w:trHeight w:val="264"/>
        </w:trPr>
        <w:tc>
          <w:tcPr>
            <w:tcW w:w="75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w:t>
            </w:r>
          </w:p>
        </w:tc>
        <w:tc>
          <w:tcPr>
            <w:tcW w:w="3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$1,566.2</w:t>
            </w:r>
          </w:p>
        </w:tc>
        <w:tc>
          <w:tcPr>
            <w:tcW w:w="0" w:type="dxa"/>
            <w:vAlign w:val="bottom"/>
          </w:tcPr>
          <w:p>
            <w:pPr>
              <w:spacing w:after="0"/>
              <w:rPr>
                <w:sz w:val="1"/>
                <w:szCs w:val="1"/>
                <w:color w:val="auto"/>
              </w:rPr>
            </w:pPr>
          </w:p>
        </w:tc>
      </w:tr>
      <w:tr>
        <w:trPr>
          <w:trHeight w:val="264"/>
        </w:trPr>
        <w:tc>
          <w:tcPr>
            <w:tcW w:w="75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3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$1,279.0</w:t>
            </w:r>
          </w:p>
        </w:tc>
        <w:tc>
          <w:tcPr>
            <w:tcW w:w="0" w:type="dxa"/>
            <w:vAlign w:val="bottom"/>
          </w:tcPr>
          <w:p>
            <w:pPr>
              <w:spacing w:after="0"/>
              <w:rPr>
                <w:sz w:val="1"/>
                <w:szCs w:val="1"/>
                <w:color w:val="auto"/>
              </w:rPr>
            </w:pPr>
          </w:p>
        </w:tc>
      </w:tr>
      <w:tr>
        <w:trPr>
          <w:trHeight w:val="264"/>
        </w:trPr>
        <w:tc>
          <w:tcPr>
            <w:tcW w:w="75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$6,203.9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0" w:hanging="25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20"/>
          <w:szCs w:val="20"/>
          <w:i w:val="1"/>
          <w:iCs w:val="1"/>
          <w:color w:val="auto"/>
        </w:rPr>
        <w:t>Backlog does not capture all revenue potential for subsea services.</w:t>
      </w:r>
    </w:p>
    <w:p>
      <w:pPr>
        <w:sectPr>
          <w:pgSz w:w="11900" w:h="16838" w:orient="portrait"/>
          <w:cols w:equalWidth="0" w:num="1">
            <w:col w:w="11420"/>
          </w:cols>
          <w:pgMar w:left="240" w:top="571" w:right="239" w:bottom="1440" w:gutter="0" w:footer="0" w:header="0"/>
        </w:sectPr>
      </w:pPr>
    </w:p>
    <w:bookmarkStart w:id="9" w:name="page10"/>
    <w:bookmarkEnd w:id="9"/>
    <w:p>
      <w:pPr>
        <w:ind w:left="8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31115</wp:posOffset>
            </wp:positionV>
            <wp:extent cx="71862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2</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341" w:lineRule="exact"/>
        <w:rPr>
          <w:sz w:val="20"/>
          <w:szCs w:val="20"/>
          <w:color w:val="auto"/>
        </w:rPr>
      </w:pPr>
    </w:p>
    <w:tbl>
      <w:tblPr>
        <w:tblLayout w:type="fixed"/>
        <w:tblInd w:w="370" w:type="dxa"/>
        <w:tblCellMar>
          <w:top w:w="0" w:type="dxa"/>
          <w:left w:w="0" w:type="dxa"/>
          <w:bottom w:w="0" w:type="dxa"/>
          <w:right w:w="0" w:type="dxa"/>
        </w:tblCellMar>
      </w:tblPr>
      <w:tr>
        <w:trPr>
          <w:trHeight w:val="218"/>
        </w:trPr>
        <w:tc>
          <w:tcPr>
            <w:tcW w:w="5600" w:type="dxa"/>
            <w:vAlign w:val="bottom"/>
            <w:tcBorders>
              <w:top w:val="single" w:sz="8" w:color="B8CCE4"/>
              <w:left w:val="single" w:sz="8" w:color="B8CCE4"/>
              <w:right w:val="single" w:sz="8" w:color="B8CCE4"/>
            </w:tcBorders>
          </w:tcPr>
          <w:p>
            <w:pPr>
              <w:spacing w:after="0"/>
              <w:rPr>
                <w:sz w:val="18"/>
                <w:szCs w:val="18"/>
                <w:color w:val="auto"/>
              </w:rPr>
            </w:pPr>
          </w:p>
        </w:tc>
        <w:tc>
          <w:tcPr>
            <w:tcW w:w="1720" w:type="dxa"/>
            <w:vAlign w:val="bottom"/>
            <w:tcBorders>
              <w:top w:val="single" w:sz="8" w:color="B8CCE4"/>
              <w:right w:val="single" w:sz="8" w:color="B8CCE4"/>
            </w:tcBorders>
          </w:tcPr>
          <w:p>
            <w:pPr>
              <w:spacing w:after="0"/>
              <w:rPr>
                <w:sz w:val="18"/>
                <w:szCs w:val="18"/>
                <w:color w:val="auto"/>
              </w:rPr>
            </w:pP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right w:val="single" w:sz="8" w:color="B8CCE4"/>
            </w:tcBorders>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continue"/>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600" w:type="dxa"/>
            <w:vAlign w:val="bottom"/>
            <w:tcBorders>
              <w:left w:val="single" w:sz="8" w:color="B8CCE4"/>
              <w:right w:val="single" w:sz="8" w:color="B8CCE4"/>
            </w:tcBorders>
          </w:tcPr>
          <w:p>
            <w:pPr>
              <w:spacing w:after="0"/>
              <w:rPr>
                <w:sz w:val="22"/>
                <w:szCs w:val="22"/>
                <w:color w:val="auto"/>
              </w:rPr>
            </w:pPr>
          </w:p>
        </w:tc>
        <w:tc>
          <w:tcPr>
            <w:tcW w:w="1720" w:type="dxa"/>
            <w:vAlign w:val="bottom"/>
            <w:tcBorders>
              <w:right w:val="single" w:sz="8" w:color="B8CCE4"/>
            </w:tcBorders>
          </w:tcPr>
          <w:p>
            <w:pPr>
              <w:jc w:val="right"/>
              <w:ind w:right="148"/>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(Pro Forma)</w:t>
            </w: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$2,019.5</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$2,060.9</w:t>
            </w:r>
          </w:p>
        </w:tc>
        <w:tc>
          <w:tcPr>
            <w:tcW w:w="1720" w:type="dxa"/>
            <w:vAlign w:val="bottom"/>
            <w:tcBorders>
              <w:bottom w:val="single" w:sz="8" w:color="B8CCE4"/>
              <w:right w:val="single" w:sz="8" w:color="B8CCE4"/>
            </w:tcBorders>
          </w:tcPr>
          <w:p>
            <w:pPr>
              <w:jc w:val="right"/>
              <w:ind w:right="486"/>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$257.2</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$(55.0)</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$294.5</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$134.6</w:t>
            </w:r>
          </w:p>
        </w:tc>
        <w:tc>
          <w:tcPr>
            <w:tcW w:w="1720" w:type="dxa"/>
            <w:vAlign w:val="bottom"/>
            <w:tcBorders>
              <w:bottom w:val="single" w:sz="8" w:color="B8CCE4"/>
              <w:right w:val="single" w:sz="8" w:color="B8CCE4"/>
            </w:tcBorders>
          </w:tcPr>
          <w:p>
            <w:pPr>
              <w:jc w:val="right"/>
              <w:ind w:right="446"/>
              <w:spacing w:after="0"/>
              <w:rPr>
                <w:sz w:val="20"/>
                <w:szCs w:val="20"/>
                <w:color w:val="auto"/>
              </w:rPr>
            </w:pPr>
            <w:r>
              <w:rPr>
                <w:rFonts w:ascii="Arial" w:cs="Arial" w:eastAsia="Arial" w:hAnsi="Arial"/>
                <w:sz w:val="20"/>
                <w:szCs w:val="20"/>
                <w:color w:val="auto"/>
              </w:rPr>
              <w:t>118.8%</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6.5%</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810 bps</w:t>
            </w:r>
          </w:p>
        </w:tc>
        <w:tc>
          <w:tcPr>
            <w:tcW w:w="0" w:type="dxa"/>
            <w:vAlign w:val="bottom"/>
          </w:tcPr>
          <w:p>
            <w:pPr>
              <w:spacing w:after="0"/>
              <w:rPr>
                <w:sz w:val="1"/>
                <w:szCs w:val="1"/>
                <w:color w:val="auto"/>
              </w:rPr>
            </w:pPr>
          </w:p>
        </w:tc>
      </w:tr>
      <w:tr>
        <w:trPr>
          <w:trHeight w:val="241"/>
        </w:trPr>
        <w:tc>
          <w:tcPr>
            <w:tcW w:w="5600" w:type="dxa"/>
            <w:vAlign w:val="bottom"/>
            <w:tcBorders>
              <w:left w:val="single" w:sz="8" w:color="B8CCE4"/>
              <w:bottom w:val="single" w:sz="8" w:color="B8CCE4"/>
              <w:right w:val="single" w:sz="8" w:color="B8CCE4"/>
            </w:tcBorders>
          </w:tcPr>
          <w:p>
            <w:pPr>
              <w:spacing w:after="0"/>
              <w:rPr>
                <w:sz w:val="20"/>
                <w:szCs w:val="20"/>
                <w:color w:val="auto"/>
              </w:rPr>
            </w:pPr>
          </w:p>
        </w:tc>
        <w:tc>
          <w:tcPr>
            <w:tcW w:w="1720" w:type="dxa"/>
            <w:vAlign w:val="bottom"/>
            <w:tcBorders>
              <w:bottom w:val="single" w:sz="8" w:color="B8CCE4"/>
              <w:right w:val="single" w:sz="8" w:color="B8CCE4"/>
            </w:tcBorders>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Borders>
              <w:right w:val="single" w:sz="8" w:color="B8CC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$874.2</w:t>
            </w:r>
          </w:p>
        </w:tc>
        <w:tc>
          <w:tcPr>
            <w:tcW w:w="1700" w:type="dxa"/>
            <w:vAlign w:val="bottom"/>
          </w:tcPr>
          <w:p>
            <w:pPr>
              <w:spacing w:after="0"/>
              <w:rPr>
                <w:sz w:val="22"/>
                <w:szCs w:val="22"/>
                <w:color w:val="auto"/>
              </w:rPr>
            </w:pP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$6,369.1</w:t>
            </w:r>
          </w:p>
        </w:tc>
        <w:tc>
          <w:tcPr>
            <w:tcW w:w="1700" w:type="dxa"/>
            <w:vAlign w:val="bottom"/>
            <w:tcBorders>
              <w:bottom w:val="single" w:sz="8" w:color="B8CCE4"/>
            </w:tcBorders>
          </w:tcPr>
          <w:p>
            <w:pPr>
              <w:spacing w:after="0"/>
              <w:rPr>
                <w:sz w:val="22"/>
                <w:szCs w:val="22"/>
                <w:color w:val="auto"/>
              </w:rPr>
            </w:pPr>
          </w:p>
        </w:tc>
        <w:tc>
          <w:tcPr>
            <w:tcW w:w="172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Onshore/Offshore reported fourth quarter revenue of $2,019.5 million. Revenue declined 2 percent from the prior-year quarter. Revenue was modestly lower as we neared completion of the first phase of Yamal LNG, largely offset by increased project activity in the Europe, Middle East, and Asia Pacific regions.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Onshore/Offshore reported operating profit of $257.2 million; adjusted EBITDA was $ 294.5 million with a margin of 14.6 percent. Operating profit and margin improved year-over-year due to solid execution and the achievement of key milestones on several major projects, including Yamal LNG. These same factors drove the significant year-over-year improvement in adjusted EBITDA and margin; adjusted EBITDA margin increased 810 basis points from the prior-year results.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Onshore/Offshore Highlights</w:t>
      </w:r>
    </w:p>
    <w:p>
      <w:pPr>
        <w:spacing w:after="0" w:line="15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Yamal LNG</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Train 1 start-up successful with first cargo loaded in December 2017, with additional cargos achieved to date. Construction and commissioning of Trains 2 and 3 progressing with Train 2 start-up planned for the second half of 2018.</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SIBUR Zapsib 2</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Engineering completed at the end of December, with most equipment already on site and construction activities ongoing.</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ENOC Jebel Ali Refinery Upgrade</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Mechanical as well as electrical and instrumentation subcontracts awarded. Mobilization at site ramping up. Piping prefabrication campaign has begun.</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Shell Prelude FLNG</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Offshore commissioning campaign in progress.</w:t>
      </w:r>
    </w:p>
    <w:p>
      <w:pPr>
        <w:sectPr>
          <w:pgSz w:w="11900" w:h="16838" w:orient="portrait"/>
          <w:cols w:equalWidth="0" w:num="1">
            <w:col w:w="11420"/>
          </w:cols>
          <w:pgMar w:left="240" w:top="711" w:right="239" w:bottom="1440" w:gutter="0" w:footer="0" w:header="0"/>
        </w:sectPr>
      </w:pPr>
    </w:p>
    <w:bookmarkStart w:id="10" w:name="page11"/>
    <w:bookmarkEnd w:id="10"/>
    <w:p>
      <w:pPr>
        <w:ind w:left="660" w:right="8120" w:hanging="328"/>
        <w:spacing w:after="0" w:line="29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9"/>
          <w:szCs w:val="19"/>
          <w:b w:val="1"/>
          <w:bCs w:val="1"/>
          <w:color w:val="auto"/>
        </w:rPr>
        <w:t xml:space="preserve">Statoil Aasta Hansteen Spar </w:t>
      </w:r>
      <w:r>
        <w:rPr>
          <w:rFonts w:ascii="Arial" w:cs="Arial" w:eastAsia="Arial" w:hAnsi="Arial"/>
          <w:sz w:val="19"/>
          <w:szCs w:val="19"/>
          <w:color w:val="auto"/>
        </w:rPr>
        <w:t>Commissioning completed.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Onshore/Offshore inbound orders for the quarter were $874.2 million. The following award was announced in the period:</w:t>
      </w:r>
    </w:p>
    <w:p>
      <w:pPr>
        <w:spacing w:after="0" w:line="15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Bapco Sitra Refinery Expansion in Bahrain</w:t>
      </w:r>
    </w:p>
    <w:p>
      <w:pPr>
        <w:spacing w:after="0" w:line="23"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20"/>
          <w:szCs w:val="20"/>
          <w:color w:val="auto"/>
        </w:rPr>
        <w:t>Award of $4.2 billion from Bahrain Petroleum Company (Bapco), jointly with Samsung Engineering and Tecnicas Reunidas, for the Bapco Modernization Program, which entails capacity expansion of the existing Sitra oil refinery. Project award follows our successful completion of the FEED study and will be executed on an engineering, procurement, construction, and commissioning (EPCC) lump sum turnkey basis. Slated for completion in 2022.</w:t>
      </w:r>
    </w:p>
    <w:p>
      <w:pPr>
        <w:spacing w:after="0" w:line="146"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20"/>
          <w:szCs w:val="20"/>
          <w:i w:val="1"/>
          <w:iCs w:val="1"/>
          <w:color w:val="auto"/>
        </w:rPr>
        <w:t>Note: This award will be reflected in financial results in the first quarter of 2018. Additionally, the Company is not the majority owner of the joint venture and therefore will not fully consolidate the financial results. Inbound orders and backlog for the project will only reflect work awarded directly to affiliates of TechnipFMC by the joint venture.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30" w:type="dxa"/>
        <w:tblCellMar>
          <w:top w:w="0" w:type="dxa"/>
          <w:left w:w="0" w:type="dxa"/>
          <w:bottom w:w="0" w:type="dxa"/>
          <w:right w:w="0" w:type="dxa"/>
        </w:tblCellMar>
      </w:tblPr>
      <w:tr>
        <w:trPr>
          <w:trHeight w:val="275"/>
        </w:trPr>
        <w:tc>
          <w:tcPr>
            <w:tcW w:w="744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December 31, 2017</w:t>
            </w:r>
          </w:p>
        </w:tc>
        <w:tc>
          <w:tcPr>
            <w:tcW w:w="3180" w:type="dxa"/>
            <w:vAlign w:val="bottom"/>
            <w:tcBorders>
              <w:top w:val="single" w:sz="8" w:color="B6DDE8"/>
              <w:right w:val="single" w:sz="8" w:color="B6DDE8"/>
            </w:tcBorders>
            <w:vMerge w:val="restart"/>
          </w:tcPr>
          <w:p>
            <w:pPr>
              <w:jc w:val="right"/>
              <w:ind w:right="661"/>
              <w:spacing w:after="0"/>
              <w:rPr>
                <w:sz w:val="20"/>
                <w:szCs w:val="20"/>
                <w:color w:val="auto"/>
              </w:rPr>
            </w:pPr>
            <w:r>
              <w:rPr>
                <w:rFonts w:ascii="Arial" w:cs="Arial" w:eastAsia="Arial" w:hAnsi="Arial"/>
                <w:sz w:val="20"/>
                <w:szCs w:val="20"/>
                <w:b w:val="1"/>
                <w:bCs w:val="1"/>
                <w:color w:val="auto"/>
              </w:rPr>
              <w:t>Onshore/Offshore</w:t>
            </w:r>
          </w:p>
        </w:tc>
        <w:tc>
          <w:tcPr>
            <w:tcW w:w="0" w:type="dxa"/>
            <w:vAlign w:val="bottom"/>
          </w:tcPr>
          <w:p>
            <w:pPr>
              <w:spacing w:after="0"/>
              <w:rPr>
                <w:sz w:val="1"/>
                <w:szCs w:val="1"/>
                <w:color w:val="auto"/>
              </w:rPr>
            </w:pPr>
          </w:p>
        </w:tc>
      </w:tr>
      <w:tr>
        <w:trPr>
          <w:trHeight w:val="256"/>
        </w:trPr>
        <w:tc>
          <w:tcPr>
            <w:tcW w:w="744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180" w:type="dxa"/>
            <w:vAlign w:val="bottom"/>
            <w:tcBorders>
              <w:right w:val="single" w:sz="8" w:color="B6DDE8"/>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7440" w:type="dxa"/>
            <w:vAlign w:val="bottom"/>
            <w:tcBorders>
              <w:left w:val="single" w:sz="8" w:color="B6DDE8"/>
              <w:right w:val="single" w:sz="8" w:color="B6DDE8"/>
            </w:tcBorders>
            <w:vMerge w:val="continue"/>
          </w:tcPr>
          <w:p>
            <w:pPr>
              <w:spacing w:after="0"/>
              <w:rPr>
                <w:sz w:val="6"/>
                <w:szCs w:val="6"/>
                <w:color w:val="auto"/>
              </w:rPr>
            </w:pPr>
          </w:p>
        </w:tc>
        <w:tc>
          <w:tcPr>
            <w:tcW w:w="3180" w:type="dxa"/>
            <w:vAlign w:val="bottom"/>
            <w:tcBorders>
              <w:right w:val="single" w:sz="8" w:color="B6DDE8"/>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440" w:type="dxa"/>
            <w:vAlign w:val="bottom"/>
            <w:tcBorders>
              <w:left w:val="single" w:sz="8" w:color="B6DDE8"/>
              <w:bottom w:val="single" w:sz="8" w:color="B6DDE8"/>
              <w:right w:val="single" w:sz="8" w:color="B6DDE8"/>
            </w:tcBorders>
          </w:tcPr>
          <w:p>
            <w:pPr>
              <w:spacing w:after="0"/>
              <w:rPr>
                <w:sz w:val="16"/>
                <w:szCs w:val="16"/>
                <w:color w:val="auto"/>
              </w:rPr>
            </w:pPr>
          </w:p>
        </w:tc>
        <w:tc>
          <w:tcPr>
            <w:tcW w:w="318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4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1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$4,236.3</w:t>
            </w:r>
          </w:p>
        </w:tc>
        <w:tc>
          <w:tcPr>
            <w:tcW w:w="0" w:type="dxa"/>
            <w:vAlign w:val="bottom"/>
          </w:tcPr>
          <w:p>
            <w:pPr>
              <w:spacing w:after="0"/>
              <w:rPr>
                <w:sz w:val="1"/>
                <w:szCs w:val="1"/>
                <w:color w:val="auto"/>
              </w:rPr>
            </w:pPr>
          </w:p>
        </w:tc>
      </w:tr>
      <w:tr>
        <w:trPr>
          <w:trHeight w:val="264"/>
        </w:trPr>
        <w:tc>
          <w:tcPr>
            <w:tcW w:w="74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w:t>
            </w:r>
          </w:p>
        </w:tc>
        <w:tc>
          <w:tcPr>
            <w:tcW w:w="31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$1,494.3</w:t>
            </w:r>
          </w:p>
        </w:tc>
        <w:tc>
          <w:tcPr>
            <w:tcW w:w="0" w:type="dxa"/>
            <w:vAlign w:val="bottom"/>
          </w:tcPr>
          <w:p>
            <w:pPr>
              <w:spacing w:after="0"/>
              <w:rPr>
                <w:sz w:val="1"/>
                <w:szCs w:val="1"/>
                <w:color w:val="auto"/>
              </w:rPr>
            </w:pPr>
          </w:p>
        </w:tc>
      </w:tr>
      <w:tr>
        <w:trPr>
          <w:trHeight w:val="264"/>
        </w:trPr>
        <w:tc>
          <w:tcPr>
            <w:tcW w:w="74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31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$638.5</w:t>
            </w:r>
          </w:p>
        </w:tc>
        <w:tc>
          <w:tcPr>
            <w:tcW w:w="0" w:type="dxa"/>
            <w:vAlign w:val="bottom"/>
          </w:tcPr>
          <w:p>
            <w:pPr>
              <w:spacing w:after="0"/>
              <w:rPr>
                <w:sz w:val="1"/>
                <w:szCs w:val="1"/>
                <w:color w:val="auto"/>
              </w:rPr>
            </w:pPr>
          </w:p>
        </w:tc>
      </w:tr>
      <w:tr>
        <w:trPr>
          <w:trHeight w:val="264"/>
        </w:trPr>
        <w:tc>
          <w:tcPr>
            <w:tcW w:w="744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1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$6,369.1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00" w:hanging="257"/>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20"/>
          <w:szCs w:val="20"/>
          <w:i w:val="1"/>
          <w:iCs w:val="1"/>
          <w:color w:val="auto"/>
        </w:rPr>
        <w:t>Backlog does not capture all revenue potential in future periods given reimbursable scope portions of existing contracts.</w:t>
      </w:r>
    </w:p>
    <w:p>
      <w:pPr>
        <w:sectPr>
          <w:pgSz w:w="11900" w:h="16838" w:orient="portrait"/>
          <w:cols w:equalWidth="0" w:num="1">
            <w:col w:w="11420"/>
          </w:cols>
          <w:pgMar w:left="240" w:top="544" w:right="239" w:bottom="1440" w:gutter="0" w:footer="0" w:header="0"/>
        </w:sectPr>
      </w:pPr>
    </w:p>
    <w:bookmarkStart w:id="11" w:name="page12"/>
    <w:bookmarkEnd w:id="11"/>
    <w:p>
      <w:pPr>
        <w:ind w:left="8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31115</wp:posOffset>
            </wp:positionV>
            <wp:extent cx="71862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2</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341" w:lineRule="exact"/>
        <w:rPr>
          <w:sz w:val="20"/>
          <w:szCs w:val="20"/>
          <w:color w:val="auto"/>
        </w:rPr>
      </w:pPr>
    </w:p>
    <w:tbl>
      <w:tblPr>
        <w:tblLayout w:type="fixed"/>
        <w:tblInd w:w="370" w:type="dxa"/>
        <w:tblCellMar>
          <w:top w:w="0" w:type="dxa"/>
          <w:left w:w="0" w:type="dxa"/>
          <w:bottom w:w="0" w:type="dxa"/>
          <w:right w:w="0" w:type="dxa"/>
        </w:tblCellMar>
      </w:tblPr>
      <w:tr>
        <w:trPr>
          <w:trHeight w:val="218"/>
        </w:trPr>
        <w:tc>
          <w:tcPr>
            <w:tcW w:w="5600" w:type="dxa"/>
            <w:vAlign w:val="bottom"/>
            <w:tcBorders>
              <w:top w:val="single" w:sz="8" w:color="B8CCE4"/>
              <w:left w:val="single" w:sz="8" w:color="B8CCE4"/>
              <w:right w:val="single" w:sz="8" w:color="B8CCE4"/>
            </w:tcBorders>
          </w:tcPr>
          <w:p>
            <w:pPr>
              <w:spacing w:after="0"/>
              <w:rPr>
                <w:sz w:val="18"/>
                <w:szCs w:val="18"/>
                <w:color w:val="auto"/>
              </w:rPr>
            </w:pPr>
          </w:p>
        </w:tc>
        <w:tc>
          <w:tcPr>
            <w:tcW w:w="1740" w:type="dxa"/>
            <w:vAlign w:val="bottom"/>
            <w:tcBorders>
              <w:top w:val="single" w:sz="8" w:color="B8CCE4"/>
              <w:right w:val="single" w:sz="8" w:color="B8CCE4"/>
            </w:tcBorders>
          </w:tcPr>
          <w:p>
            <w:pPr>
              <w:spacing w:after="0"/>
              <w:rPr>
                <w:sz w:val="18"/>
                <w:szCs w:val="18"/>
                <w:color w:val="auto"/>
              </w:rPr>
            </w:pP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Borders>
              <w:right w:val="single" w:sz="8" w:color="B8CCE4"/>
            </w:tcBorders>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continue"/>
          </w:tcPr>
          <w:p>
            <w:pPr>
              <w:spacing w:after="0"/>
              <w:rPr>
                <w:sz w:val="7"/>
                <w:szCs w:val="7"/>
                <w:color w:val="auto"/>
              </w:rPr>
            </w:pPr>
          </w:p>
        </w:tc>
        <w:tc>
          <w:tcPr>
            <w:tcW w:w="174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600" w:type="dxa"/>
            <w:vAlign w:val="bottom"/>
            <w:tcBorders>
              <w:left w:val="single" w:sz="8" w:color="B8CCE4"/>
              <w:right w:val="single" w:sz="8" w:color="B8CCE4"/>
            </w:tcBorders>
          </w:tcPr>
          <w:p>
            <w:pPr>
              <w:spacing w:after="0"/>
              <w:rPr>
                <w:sz w:val="22"/>
                <w:szCs w:val="22"/>
                <w:color w:val="auto"/>
              </w:rPr>
            </w:pPr>
          </w:p>
        </w:tc>
        <w:tc>
          <w:tcPr>
            <w:tcW w:w="1740" w:type="dxa"/>
            <w:vAlign w:val="bottom"/>
            <w:tcBorders>
              <w:right w:val="single" w:sz="8" w:color="B8CCE4"/>
            </w:tcBorders>
          </w:tcPr>
          <w:p>
            <w:pPr>
              <w:jc w:val="right"/>
              <w:ind w:right="168"/>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(Pro Forma)</w:t>
            </w:r>
          </w:p>
        </w:tc>
        <w:tc>
          <w:tcPr>
            <w:tcW w:w="170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4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4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$372.3</w:t>
            </w:r>
          </w:p>
        </w:tc>
        <w:tc>
          <w:tcPr>
            <w:tcW w:w="170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$303.6</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22.6%</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4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$53.3</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$(5.3)</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4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$75.8</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$17.5</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333.1%</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4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20.4%</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5.8%</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1,460bps</w:t>
            </w:r>
          </w:p>
        </w:tc>
        <w:tc>
          <w:tcPr>
            <w:tcW w:w="0" w:type="dxa"/>
            <w:vAlign w:val="bottom"/>
          </w:tcPr>
          <w:p>
            <w:pPr>
              <w:spacing w:after="0"/>
              <w:rPr>
                <w:sz w:val="1"/>
                <w:szCs w:val="1"/>
                <w:color w:val="auto"/>
              </w:rPr>
            </w:pPr>
          </w:p>
        </w:tc>
      </w:tr>
      <w:tr>
        <w:trPr>
          <w:trHeight w:val="241"/>
        </w:trPr>
        <w:tc>
          <w:tcPr>
            <w:tcW w:w="5600" w:type="dxa"/>
            <w:vAlign w:val="bottom"/>
            <w:tcBorders>
              <w:left w:val="single" w:sz="8" w:color="B8CCE4"/>
              <w:bottom w:val="single" w:sz="8" w:color="B8CCE4"/>
              <w:right w:val="single" w:sz="8" w:color="B8CCE4"/>
            </w:tcBorders>
          </w:tcPr>
          <w:p>
            <w:pPr>
              <w:spacing w:after="0"/>
              <w:rPr>
                <w:sz w:val="20"/>
                <w:szCs w:val="20"/>
                <w:color w:val="auto"/>
              </w:rPr>
            </w:pPr>
          </w:p>
        </w:tc>
        <w:tc>
          <w:tcPr>
            <w:tcW w:w="1740" w:type="dxa"/>
            <w:vAlign w:val="bottom"/>
            <w:tcBorders>
              <w:bottom w:val="single" w:sz="8" w:color="B8CCE4"/>
              <w:right w:val="single" w:sz="8" w:color="B4C6E7"/>
            </w:tcBorders>
          </w:tcPr>
          <w:p>
            <w:pPr>
              <w:spacing w:after="0"/>
              <w:rPr>
                <w:sz w:val="20"/>
                <w:szCs w:val="20"/>
                <w:color w:val="auto"/>
              </w:rPr>
            </w:pPr>
          </w:p>
        </w:tc>
        <w:tc>
          <w:tcPr>
            <w:tcW w:w="1700" w:type="dxa"/>
            <w:vAlign w:val="bottom"/>
          </w:tcPr>
          <w:p>
            <w:pPr>
              <w:spacing w:after="0"/>
              <w:rPr>
                <w:sz w:val="20"/>
                <w:szCs w:val="20"/>
                <w:color w:val="auto"/>
              </w:rPr>
            </w:pPr>
          </w:p>
        </w:tc>
        <w:tc>
          <w:tcPr>
            <w:tcW w:w="1700" w:type="dxa"/>
            <w:vAlign w:val="bottom"/>
            <w:tcBorders>
              <w:right w:val="single" w:sz="8" w:color="B8CC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4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$392.9</w:t>
            </w:r>
          </w:p>
        </w:tc>
        <w:tc>
          <w:tcPr>
            <w:tcW w:w="1700" w:type="dxa"/>
            <w:vAlign w:val="bottom"/>
          </w:tcPr>
          <w:p>
            <w:pPr>
              <w:spacing w:after="0"/>
              <w:rPr>
                <w:sz w:val="22"/>
                <w:szCs w:val="22"/>
                <w:color w:val="auto"/>
              </w:rPr>
            </w:pPr>
          </w:p>
        </w:tc>
        <w:tc>
          <w:tcPr>
            <w:tcW w:w="170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$409.8</w:t>
            </w:r>
          </w:p>
        </w:tc>
        <w:tc>
          <w:tcPr>
            <w:tcW w:w="1700" w:type="dxa"/>
            <w:vAlign w:val="bottom"/>
            <w:tcBorders>
              <w:bottom w:val="single" w:sz="8" w:color="B8CCE4"/>
            </w:tcBorders>
          </w:tcPr>
          <w:p>
            <w:pPr>
              <w:spacing w:after="0"/>
              <w:rPr>
                <w:sz w:val="22"/>
                <w:szCs w:val="22"/>
                <w:color w:val="auto"/>
              </w:rPr>
            </w:pPr>
          </w:p>
        </w:tc>
        <w:tc>
          <w:tcPr>
            <w:tcW w:w="170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Surface Technologies reported fourth quarter revenue of $372.3 million. Revenue increased 22.6 percent from the prior-year quarter as a result of the increase in North American well completion activity, while international markets remained stable across our products and services portfolio.</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Surface Technologies reported operating profit of $53.3 million. Adjusted EBITDA was $75.8 million with a margin of 20.4 percent.</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Operating profit and margin improved significantly year-over-year due to robust North America surface activity favorably impacting product mix as well as cost savings benefits. These same factors drove the year-over-year improvement in adjusted EBITDA and margin.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Inbound orders for the quarter improved sequentially to $392.9 million. Backlog was $409.8 million. Given the short-cycle nature of the business, most orders are quickly converted into sales revenue; longer contracts are typically converted within twelve months.</w:t>
      </w:r>
    </w:p>
    <w:p>
      <w:pPr>
        <w:sectPr>
          <w:pgSz w:w="11900" w:h="16838" w:orient="portrait"/>
          <w:cols w:equalWidth="0" w:num="1">
            <w:col w:w="11420"/>
          </w:cols>
          <w:pgMar w:left="240" w:top="711"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Corporate Items</w:t>
      </w:r>
    </w:p>
    <w:p>
      <w:pPr>
        <w:spacing w:after="0" w:line="24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Corporate expense in the fourth quarter was $86.8 million. Excluding charges and credits of $44.8 million associated with the merger, corporate expense was $42 million.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$122.8 million in the quarter, which included an increase in the liability payable to joint venture partners of $90.8 million.</w:t>
      </w:r>
    </w:p>
    <w:p>
      <w:pPr>
        <w:spacing w:after="0" w:line="16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recorded a tax provision during the fourth quarter of $295.8 million, which included charges of $138.2 million related to tax reform</w:t>
      </w:r>
      <w:r>
        <w:rPr>
          <w:rFonts w:ascii="Arial" w:cs="Arial" w:eastAsia="Arial" w:hAnsi="Arial"/>
          <w:sz w:val="25"/>
          <w:szCs w:val="25"/>
          <w:color w:val="auto"/>
          <w:vertAlign w:val="superscript"/>
        </w:rPr>
        <w:t>3</w:t>
      </w:r>
      <w:r>
        <w:rPr>
          <w:rFonts w:ascii="Arial" w:cs="Arial" w:eastAsia="Arial" w:hAnsi="Arial"/>
          <w:sz w:val="20"/>
          <w:szCs w:val="20"/>
          <w:color w:val="auto"/>
        </w:rPr>
        <w:t>, mostly in the United States. The quarterly rate also reflects an increase in valuation allowances in certain jurisdictions for which no future profitability is expected, as well as certain project costs realized in the quarter for which no tax benefit is allowed. Excluding the impact of these discrete items and tax law changes, the effective tax rate in the quarter was 33 percent.</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depreciation and amortization for the fourth quarter was $153 million, including depreciation and amortization related to purchase price accounting for the merger of $35.1 million.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$85.3 million during the fourth quarter.</w:t>
      </w:r>
    </w:p>
    <w:p>
      <w:pPr>
        <w:spacing w:after="0" w:line="175"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Company repurchased two million shares during the quarter for total consideration of $54.9 million. The Company remains committed to repurchasing the full authorization of up to $500 million in ordinary shares no later than the end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2960370</wp:posOffset>
            </wp:positionV>
            <wp:extent cx="71862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8"/>
        <w:spacing w:after="0" w:line="258" w:lineRule="auto"/>
        <w:tabs>
          <w:tab w:leader="none" w:pos="95"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Included in the charges related to tax reform is the impact of the Tax Cuts and Jobs Act of 2017 (U.S. tax reform), effective January 1, 2018, which creates a territorial tax system and reduces the U.S. corporate income tax rate to 21 percent. Also included in the charges related to tax reform are French corporate tax surcharges resulting from the 2017 Finance Act introduced in late 2017.</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TechnipFMC recorded $134.9 million of discrete charges as a result of the new U.S. law. These one-time, non-cash charges are comprised of a transition tax (a mandatory tax on previously deferred earnings of certain non-U.S. subsidiaries) and a charge related to revaluation of U.S. deferred tax assets and liabilities to the new lower U.S. corporate income tax rate. These charges are subject to revision as the Company concludes its analysis of the impact of the new law. The Company anticipates that no cash taxes will be due as a result of the transition tax.</w:t>
      </w:r>
    </w:p>
    <w:p>
      <w:pPr>
        <w:sectPr>
          <w:pgSz w:w="11900" w:h="16838" w:orient="portrait"/>
          <w:cols w:equalWidth="0" w:num="1">
            <w:col w:w="11420"/>
          </w:cols>
          <w:pgMar w:left="240" w:top="733"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Guidance</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w:t>
      </w:r>
      <w:r>
        <w:rPr>
          <w:rFonts w:ascii="Arial" w:cs="Arial" w:eastAsia="Arial" w:hAnsi="Arial"/>
          <w:sz w:val="20"/>
          <w:szCs w:val="20"/>
          <w:color w:val="auto"/>
          <w:vertAlign w:val="superscript"/>
        </w:rPr>
        <w:t>4</w:t>
      </w:r>
      <w:r>
        <w:rPr>
          <w:rFonts w:ascii="Arial" w:cs="Arial" w:eastAsia="Arial" w:hAnsi="Arial"/>
          <w:sz w:val="20"/>
          <w:szCs w:val="20"/>
          <w:color w:val="auto"/>
        </w:rPr>
        <w:t xml:space="preserve"> for 2018 is provided below. The following update is reflected in the outlook:</w:t>
      </w:r>
    </w:p>
    <w:p>
      <w:pPr>
        <w:spacing w:after="0" w:line="119" w:lineRule="exact"/>
        <w:rPr>
          <w:sz w:val="20"/>
          <w:szCs w:val="20"/>
          <w:color w:val="auto"/>
        </w:rPr>
      </w:pPr>
    </w:p>
    <w:p>
      <w:pPr>
        <w:ind w:left="660" w:hanging="328"/>
        <w:spacing w:after="0" w:line="21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20"/>
          <w:szCs w:val="20"/>
          <w:color w:val="auto"/>
        </w:rPr>
        <w:t>Onshore/Offshore revenue in a range of $5.3 - 5.7 billion; 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at least 10.5% (excluding charges and credits); margin guidance has been increased from the previous guidance of at least 9.5%.</w:t>
      </w:r>
    </w:p>
    <w:p>
      <w:pPr>
        <w:spacing w:after="0"/>
        <w:rPr>
          <w:sz w:val="20"/>
          <w:szCs w:val="20"/>
          <w:color w:val="auto"/>
        </w:rPr>
      </w:pPr>
      <w:r>
        <w:rPr>
          <w:rFonts w:ascii="Arial" w:cs="Arial" w:eastAsia="Arial" w:hAnsi="Arial"/>
          <w:sz w:val="20"/>
          <w:szCs w:val="20"/>
          <w:color w:val="auto"/>
        </w:rPr>
        <w:t>The following items are unchanged from the previous outlook:</w:t>
      </w:r>
    </w:p>
    <w:p>
      <w:pPr>
        <w:spacing w:after="0" w:line="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Subsea revenue in a range of $5.0 - 5.3 billion; 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at least 14% (excluding charges and credits).</w:t>
      </w:r>
    </w:p>
    <w:p>
      <w:pPr>
        <w:ind w:left="660" w:hanging="328"/>
        <w:spacing w:after="0" w:line="21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Surface Technologies revenue in a range of $1.5 - 1.6 billion; 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at least 17.5% (excluding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203835</wp:posOffset>
            </wp:positionV>
            <wp:extent cx="639762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97625" cy="188595"/>
                    </a:xfrm>
                    <a:prstGeom prst="rect">
                      <a:avLst/>
                    </a:prstGeom>
                    <a:noFill/>
                  </pic:spPr>
                </pic:pic>
              </a:graphicData>
            </a:graphic>
          </wp:anchor>
        </w:drawing>
      </w:r>
    </w:p>
    <w:p>
      <w:pPr>
        <w:spacing w:after="0" w:line="314"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 xml:space="preserve">2018 Guidance </w:t>
      </w:r>
      <w:r>
        <w:rPr>
          <w:rFonts w:ascii="Arial" w:cs="Arial" w:eastAsia="Arial" w:hAnsi="Arial"/>
          <w:sz w:val="14"/>
          <w:szCs w:val="14"/>
          <w:b w:val="1"/>
          <w:bCs w:val="1"/>
          <w:color w:val="auto"/>
        </w:rPr>
        <w:t>*</w:t>
      </w:r>
      <w:r>
        <w:rPr>
          <w:rFonts w:ascii="Arial" w:cs="Arial" w:eastAsia="Arial" w:hAnsi="Arial"/>
          <w:sz w:val="14"/>
          <w:szCs w:val="14"/>
          <w:i w:val="1"/>
          <w:iCs w:val="1"/>
          <w:color w:val="auto"/>
        </w:rPr>
        <w:t>Items updated 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240030</wp:posOffset>
            </wp:positionV>
            <wp:extent cx="6397625" cy="132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7625" cy="132080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396"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FFFFFF"/>
        </w:rPr>
        <w:t>Subsea</w:t>
      </w:r>
    </w:p>
    <w:p>
      <w:pPr>
        <w:spacing w:after="0" w:line="86"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color w:val="auto"/>
        </w:rPr>
        <w:t>Revenue in a range of $5.0 - 5.3 billion</w:t>
      </w:r>
    </w:p>
    <w:p>
      <w:pPr>
        <w:spacing w:after="0" w:line="167" w:lineRule="exact"/>
        <w:rPr>
          <w:sz w:val="20"/>
          <w:szCs w:val="20"/>
          <w:color w:val="auto"/>
        </w:rPr>
      </w:pPr>
    </w:p>
    <w:p>
      <w:pPr>
        <w:ind w:left="720" w:right="140"/>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at least 14%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FFFFFF"/>
        </w:rPr>
        <w:t>Onshore/Offshore</w:t>
      </w:r>
    </w:p>
    <w:p>
      <w:pPr>
        <w:spacing w:after="0" w:line="86"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Revenue in a range of $5.3 - 5.7 billion</w:t>
      </w:r>
    </w:p>
    <w:p>
      <w:pPr>
        <w:spacing w:after="0" w:line="167"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at least 10.5%*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221615</wp:posOffset>
            </wp:positionV>
            <wp:extent cx="6397625" cy="1509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7625" cy="1509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Surface Technologies</w:t>
      </w:r>
    </w:p>
    <w:p>
      <w:pPr>
        <w:spacing w:after="0" w:line="86" w:lineRule="exact"/>
        <w:rPr>
          <w:sz w:val="20"/>
          <w:szCs w:val="20"/>
          <w:color w:val="auto"/>
        </w:rPr>
      </w:pPr>
    </w:p>
    <w:p>
      <w:pPr>
        <w:ind w:right="1000"/>
        <w:spacing w:after="0" w:line="236" w:lineRule="auto"/>
        <w:rPr>
          <w:sz w:val="20"/>
          <w:szCs w:val="20"/>
          <w:color w:val="auto"/>
        </w:rPr>
      </w:pPr>
      <w:r>
        <w:rPr>
          <w:rFonts w:ascii="Arial" w:cs="Arial" w:eastAsia="Arial" w:hAnsi="Arial"/>
          <w:sz w:val="20"/>
          <w:szCs w:val="20"/>
          <w:color w:val="auto"/>
        </w:rPr>
        <w:t>Revenue in a range of $1.5 - 1.6 billion</w:t>
      </w:r>
    </w:p>
    <w:p>
      <w:pPr>
        <w:spacing w:after="0" w:line="167" w:lineRule="exact"/>
        <w:rPr>
          <w:sz w:val="20"/>
          <w:szCs w:val="20"/>
          <w:color w:val="auto"/>
        </w:rPr>
      </w:pPr>
    </w:p>
    <w:p>
      <w:pPr>
        <w:ind w:right="800"/>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at least 17.5%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560" w:space="500"/>
            <w:col w:w="3040" w:space="480"/>
            <w:col w:w="3840"/>
          </w:cols>
          <w:pgMar w:left="240" w:top="733" w:right="239"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TechnipFMC</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Corporate expense </w:t>
      </w:r>
      <w:r>
        <w:rPr>
          <w:rFonts w:ascii="Arial" w:cs="Arial" w:eastAsia="Arial" w:hAnsi="Arial"/>
          <w:sz w:val="20"/>
          <w:szCs w:val="20"/>
          <w:color w:val="auto"/>
        </w:rPr>
        <w:t>$40 - 45 million per quarter (excluding the impact of foreign currency fluctuations)</w:t>
      </w:r>
    </w:p>
    <w:p>
      <w:pPr>
        <w:spacing w:after="0" w:line="40" w:lineRule="exact"/>
        <w:rPr>
          <w:sz w:val="20"/>
          <w:szCs w:val="20"/>
          <w:color w:val="auto"/>
        </w:rPr>
      </w:pPr>
    </w:p>
    <w:p>
      <w:pPr>
        <w:ind w:left="720" w:right="700"/>
        <w:spacing w:after="0" w:line="253"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approximately $20 - 22 million per quarter (excluding the impact of revaluation of partners’</w:t>
      </w:r>
      <w:r>
        <w:rPr>
          <w:rFonts w:ascii="Arial" w:cs="Arial" w:eastAsia="Arial" w:hAnsi="Arial"/>
          <w:sz w:val="20"/>
          <w:szCs w:val="20"/>
          <w:b w:val="1"/>
          <w:bCs w:val="1"/>
          <w:color w:val="auto"/>
        </w:rPr>
        <w:t xml:space="preserve"> </w:t>
      </w:r>
      <w:r>
        <w:rPr>
          <w:rFonts w:ascii="Arial" w:cs="Arial" w:eastAsia="Arial" w:hAnsi="Arial"/>
          <w:sz w:val="20"/>
          <w:szCs w:val="20"/>
          <w:color w:val="auto"/>
        </w:rPr>
        <w:t>redeemable financial liability)</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 (excluding the impact of discrete items)</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 for the full year</w:t>
      </w:r>
    </w:p>
    <w:p>
      <w:pPr>
        <w:spacing w:after="0" w:line="4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$100 million for the full year</w:t>
      </w:r>
    </w:p>
    <w:p>
      <w:pPr>
        <w:spacing w:after="0" w:line="40" w:lineRule="exact"/>
        <w:rPr>
          <w:sz w:val="20"/>
          <w:szCs w:val="20"/>
          <w:color w:val="auto"/>
        </w:rPr>
      </w:pPr>
    </w:p>
    <w:p>
      <w:pPr>
        <w:ind w:left="720" w:right="72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annual savings ($200 million exit run-rate 12/31/17, $400 million exit run-rate</w:t>
      </w:r>
      <w:r>
        <w:rPr>
          <w:rFonts w:ascii="Arial" w:cs="Arial" w:eastAsia="Arial" w:hAnsi="Arial"/>
          <w:sz w:val="20"/>
          <w:szCs w:val="20"/>
          <w:b w:val="1"/>
          <w:bCs w:val="1"/>
          <w:color w:val="auto"/>
        </w:rPr>
        <w:t xml:space="preserve"> </w:t>
      </w:r>
      <w:r>
        <w:rPr>
          <w:rFonts w:ascii="Arial" w:cs="Arial" w:eastAsia="Arial" w:hAnsi="Arial"/>
          <w:sz w:val="20"/>
          <w:szCs w:val="20"/>
          <w:color w:val="auto"/>
        </w:rPr>
        <w:t>12/31/18, $450 million exit run-rate 12/31/19)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808080"/>
        </w:rPr>
        <w:t>________________________________</w:t>
      </w:r>
    </w:p>
    <w:p>
      <w:pPr>
        <w:spacing w:after="0" w:line="214" w:lineRule="exact"/>
        <w:rPr>
          <w:sz w:val="20"/>
          <w:szCs w:val="20"/>
          <w:color w:val="auto"/>
        </w:rPr>
      </w:pPr>
    </w:p>
    <w:p>
      <w:pPr>
        <w:ind w:right="100" w:firstLine="8"/>
        <w:spacing w:after="0" w:line="227" w:lineRule="auto"/>
        <w:tabs>
          <w:tab w:leader="none" w:pos="10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Our guidance measure, adjusted EBITDA margin, is a non-GAAP measure. We are unable to provide a reconciliation to a comparable GAAP measure on a forward-looking basis without unreasonable effort because of the unpredictability of the individual components of the most directly comparable GAAP financial measure and the variability of items excluded from such measure. Such information may have a significant, and potentially unpredictable, impact on our future financial results.</w:t>
      </w:r>
    </w:p>
    <w:p>
      <w:pPr>
        <w:sectPr>
          <w:pgSz w:w="11900" w:h="16838" w:orient="portrait"/>
          <w:cols w:equalWidth="0" w:num="1">
            <w:col w:w="11420"/>
          </w:cols>
          <w:pgMar w:left="240" w:top="733"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Teleconference</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February 22, 2018 to discuss the fourth quarter 2017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733"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179"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286"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272"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27"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asset construction projects that may affect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related to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environmental laws and regulations, that may increase our costs, limit the demand for our products and services or restrict our operations;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sectPr>
          <w:pgSz w:w="11900" w:h="16838" w:orient="portrait"/>
          <w:cols w:equalWidth="0" w:num="1">
            <w:col w:w="11380"/>
          </w:cols>
          <w:pgMar w:left="240" w:top="544" w:right="279" w:bottom="1440" w:gutter="0" w:footer="0" w:header="0"/>
        </w:sectPr>
      </w:pPr>
    </w:p>
    <w:bookmarkStart w:id="16" w:name="page17"/>
    <w:bookmarkEnd w:id="16"/>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results of the United Kingdom’s referendum on withdrawal from the European Union;</w:t>
      </w:r>
    </w:p>
    <w:p>
      <w:pPr>
        <w:spacing w:after="0" w:line="27"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ability to pay dividends or repurchase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relating to the amount of our existing and future debt and compliance with covenants under our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that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unanticipated or significant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including as a result of cyberattacks, or any significant breach of security;</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of, or future changes to, such laws;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related to seasonal variations and adverse weather conditions; and</w:t>
      </w:r>
    </w:p>
    <w:p>
      <w:pPr>
        <w:spacing w:after="0" w:line="9"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such other risks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0" w:lineRule="exact"/>
        <w:rPr>
          <w:sz w:val="20"/>
          <w:szCs w:val="20"/>
          <w:color w:val="auto"/>
        </w:rPr>
      </w:pP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418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760" w:type="dxa"/>
            <w:vAlign w:val="bottom"/>
            <w:gridSpan w:val="4"/>
          </w:tcPr>
          <w:p>
            <w:pPr>
              <w:ind w:left="1020"/>
              <w:spacing w:after="0"/>
              <w:rPr>
                <w:sz w:val="20"/>
                <w:szCs w:val="20"/>
                <w:color w:val="auto"/>
              </w:rPr>
            </w:pPr>
            <w:r>
              <w:rPr>
                <w:rFonts w:ascii="Arial" w:cs="Arial" w:eastAsia="Arial" w:hAnsi="Arial"/>
                <w:sz w:val="20"/>
                <w:szCs w:val="20"/>
                <w:b w:val="1"/>
                <w:bCs w:val="1"/>
                <w:color w:val="auto"/>
              </w:rPr>
              <w:t>Media relations</w:t>
            </w:r>
          </w:p>
        </w:tc>
      </w:tr>
      <w:tr>
        <w:trPr>
          <w:trHeight w:val="378"/>
        </w:trPr>
        <w:tc>
          <w:tcPr>
            <w:tcW w:w="418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Christophe Belorgeot</w:t>
            </w:r>
          </w:p>
        </w:tc>
      </w:tr>
      <w:tr>
        <w:trPr>
          <w:trHeight w:val="378"/>
        </w:trPr>
        <w:tc>
          <w:tcPr>
            <w:tcW w:w="4180" w:type="dxa"/>
            <w:vAlign w:val="bottom"/>
            <w:gridSpan w:val="4"/>
          </w:tcPr>
          <w:p>
            <w:pPr>
              <w:spacing w:after="0"/>
              <w:rPr>
                <w:sz w:val="20"/>
                <w:szCs w:val="20"/>
                <w:color w:val="auto"/>
              </w:rPr>
            </w:pPr>
            <w:r>
              <w:rPr>
                <w:rFonts w:ascii="Arial" w:cs="Arial" w:eastAsia="Arial" w:hAnsi="Arial"/>
                <w:sz w:val="20"/>
                <w:szCs w:val="20"/>
                <w:color w:val="auto"/>
              </w:rPr>
              <w:t>Vice President Investor Relations</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w w:val="98"/>
              </w:rPr>
              <w:t>Vice President Corporate Communications</w:t>
            </w:r>
          </w:p>
        </w:tc>
      </w:tr>
      <w:tr>
        <w:trPr>
          <w:trHeight w:val="378"/>
        </w:trPr>
        <w:tc>
          <w:tcPr>
            <w:tcW w:w="4180" w:type="dxa"/>
            <w:vAlign w:val="bottom"/>
            <w:gridSpan w:val="4"/>
          </w:tcPr>
          <w:p>
            <w:pPr>
              <w:spacing w:after="0"/>
              <w:rPr>
                <w:sz w:val="20"/>
                <w:szCs w:val="20"/>
                <w:color w:val="auto"/>
              </w:rPr>
            </w:pPr>
            <w:r>
              <w:rPr>
                <w:rFonts w:ascii="Arial" w:cs="Arial" w:eastAsia="Arial" w:hAnsi="Arial"/>
                <w:sz w:val="20"/>
                <w:szCs w:val="20"/>
                <w:color w:val="auto"/>
              </w:rPr>
              <w:t>Tel: +1 281 260 3665</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Tel: +33 1 47 78 39 92</w:t>
            </w:r>
          </w:p>
        </w:tc>
      </w:tr>
      <w:tr>
        <w:trPr>
          <w:trHeight w:val="334"/>
        </w:trPr>
        <w:tc>
          <w:tcPr>
            <w:tcW w:w="418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r>
      <w:tr>
        <w:trPr>
          <w:trHeight w:val="20"/>
        </w:trPr>
        <w:tc>
          <w:tcPr>
            <w:tcW w:w="6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81"/>
        </w:trPr>
        <w:tc>
          <w:tcPr>
            <w:tcW w:w="418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Delphine Nayral</w:t>
            </w:r>
          </w:p>
        </w:tc>
      </w:tr>
      <w:tr>
        <w:trPr>
          <w:trHeight w:val="378"/>
        </w:trPr>
        <w:tc>
          <w:tcPr>
            <w:tcW w:w="4180" w:type="dxa"/>
            <w:vAlign w:val="bottom"/>
            <w:gridSpan w:val="4"/>
          </w:tcPr>
          <w:p>
            <w:pPr>
              <w:spacing w:after="0"/>
              <w:rPr>
                <w:sz w:val="20"/>
                <w:szCs w:val="20"/>
                <w:color w:val="auto"/>
              </w:rPr>
            </w:pPr>
            <w:r>
              <w:rPr>
                <w:rFonts w:ascii="Arial" w:cs="Arial" w:eastAsia="Arial" w:hAnsi="Arial"/>
                <w:sz w:val="20"/>
                <w:szCs w:val="20"/>
                <w:color w:val="auto"/>
              </w:rPr>
              <w:t>Director Investor Relations (Europe)</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Manager Public Relations</w:t>
            </w:r>
          </w:p>
        </w:tc>
      </w:tr>
      <w:tr>
        <w:trPr>
          <w:trHeight w:val="378"/>
        </w:trPr>
        <w:tc>
          <w:tcPr>
            <w:tcW w:w="4180" w:type="dxa"/>
            <w:vAlign w:val="bottom"/>
            <w:gridSpan w:val="4"/>
          </w:tcPr>
          <w:p>
            <w:pPr>
              <w:spacing w:after="0"/>
              <w:rPr>
                <w:sz w:val="20"/>
                <w:szCs w:val="20"/>
                <w:color w:val="auto"/>
              </w:rPr>
            </w:pPr>
            <w:r>
              <w:rPr>
                <w:rFonts w:ascii="Arial" w:cs="Arial" w:eastAsia="Arial" w:hAnsi="Arial"/>
                <w:sz w:val="20"/>
                <w:szCs w:val="20"/>
                <w:color w:val="auto"/>
              </w:rPr>
              <w:t>Tel: +44 (0) 20 3429 3929</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Tel: +33 1 47 78 34 83</w:t>
            </w:r>
          </w:p>
        </w:tc>
      </w:tr>
      <w:tr>
        <w:trPr>
          <w:trHeight w:val="334"/>
        </w:trPr>
        <w:tc>
          <w:tcPr>
            <w:tcW w:w="418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r>
      <w:tr>
        <w:trPr>
          <w:trHeight w:val="20"/>
        </w:trPr>
        <w:tc>
          <w:tcPr>
            <w:tcW w:w="6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financial statements included in this press release, which are unaudited, do not represent the Company’s statutory accounts to be filed with Company’s House, and the Company’s statutory accounts have not yet been delivered and registered for the year ended December 31, 2017 with Company’s House.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61" w:lineRule="exact"/>
        <w:rPr>
          <w:sz w:val="20"/>
          <w:szCs w:val="20"/>
          <w:color w:val="auto"/>
        </w:rPr>
      </w:pPr>
    </w:p>
    <w:p>
      <w:pPr>
        <w:ind w:left="560" w:hanging="322"/>
        <w:spacing w:after="0" w:line="239"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18"/>
          <w:szCs w:val="18"/>
          <w:color w:val="auto"/>
        </w:rPr>
      </w:pPr>
    </w:p>
    <w:p>
      <w:pPr>
        <w:ind w:left="560" w:hanging="322"/>
        <w:spacing w:after="0" w:line="24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In December of 2016, Technip increased its ownership in the Yamal LNG joint venture and became the controlling shareholder. Under U.S. GAAP, this resulted in full consolidation of the joint venture on the date of the transaction.</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and twelve months ended December 31, 2017:</w:t>
      </w:r>
    </w:p>
    <w:p>
      <w:pPr>
        <w:spacing w:after="0" w:line="17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Include Technip for the full period;</w:t>
      </w:r>
    </w:p>
    <w:p>
      <w:pPr>
        <w:jc w:val="both"/>
        <w:ind w:left="660" w:hanging="328"/>
        <w:spacing w:after="0" w:line="23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Include the results of FMC Technologies for the period January 17 to December 31, 2017; revenue of $112.9 million during the period from January 1 to January 16, 2017 were excluded, of which approximately 70 percent came from the Subsea segment;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Fully consolidate the Yamal LNG joint venture for the full period, within the Onshore/Offshore segment.</w:t>
      </w:r>
    </w:p>
    <w:p>
      <w:pPr>
        <w:spacing w:after="0" w:line="200" w:lineRule="exact"/>
        <w:rPr>
          <w:sz w:val="20"/>
          <w:szCs w:val="20"/>
          <w:color w:val="auto"/>
        </w:rPr>
      </w:pP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results for the three and twelve months ended December 31, 2016 only include the results of Technip, inclusive of the equity in affiliate income from the Yamal LNG joint venture.</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733" w:right="239" w:bottom="1440" w:gutter="0" w:footer="0" w:header="0"/>
        </w:sectPr>
      </w:pPr>
    </w:p>
    <w:bookmarkStart w:id="18" w:name="page19"/>
    <w:bookmarkEnd w:id="18"/>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58"/>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4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15,056.9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9,199.6</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2,237.7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w w:val="94"/>
              </w:rPr>
              <w:t>14,091.7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8,743.6</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124.2</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Income before net interest expense and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580.2</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551.4</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180.3</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371.1</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TechnipFMC plc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TechnipFMC plc: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3.29</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8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119.4</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r>
      <w:tr>
        <w:trPr>
          <w:trHeight w:val="27"/>
        </w:trPr>
        <w:tc>
          <w:tcPr>
            <w:tcW w:w="4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26" w:right="13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r>
      <w:tr>
        <w:trPr>
          <w:trHeight w:val="189"/>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Subsea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5,850.5</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7,904.5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3,349.1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Other revenue and intercompany eliminations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15,056.9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Segment operating profit (loss)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19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460.5</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732.0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segment operating profit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766.1</w:t>
            </w:r>
          </w:p>
        </w:tc>
      </w:tr>
      <w:tr>
        <w:trPr>
          <w:trHeight w:val="2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Corporate items</w:t>
            </w:r>
          </w:p>
        </w:tc>
        <w:tc>
          <w:tcPr>
            <w:tcW w:w="306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Corporate expense, net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7"/>
        </w:trPr>
        <w:tc>
          <w:tcPr>
            <w:tcW w:w="20" w:type="dxa"/>
            <w:vAlign w:val="bottom"/>
          </w:tcPr>
          <w:p>
            <w:pPr>
              <w:spacing w:after="0"/>
              <w:rPr>
                <w:sz w:val="20"/>
                <w:szCs w:val="20"/>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551.4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right="80" w:hanging="157"/>
        <w:spacing w:after="0" w:line="265" w:lineRule="auto"/>
        <w:tabs>
          <w:tab w:leader="none" w:pos="184"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Corporate expense, net primarily includes corporate staff expenses, stock-based compensation expenses, other employee benefits, certain foreign exchange gains and losses, and merger-related transaction expenses.</w:t>
      </w:r>
    </w:p>
    <w:p>
      <w:pPr>
        <w:spacing w:after="0" w:line="15" w:lineRule="exact"/>
        <w:rPr>
          <w:rFonts w:ascii="Arial" w:cs="Arial" w:eastAsia="Arial" w:hAnsi="Arial"/>
          <w:sz w:val="19"/>
          <w:szCs w:val="19"/>
          <w:color w:val="auto"/>
          <w:vertAlign w:val="superscript"/>
        </w:rPr>
      </w:pPr>
    </w:p>
    <w:p>
      <w:pPr>
        <w:ind w:left="180" w:hanging="157"/>
        <w:spacing w:after="0"/>
        <w:tabs>
          <w:tab w:leader="none" w:pos="18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noncontrolling interests.</w:t>
      </w:r>
    </w:p>
    <w:p>
      <w:pPr>
        <w:sectPr>
          <w:pgSz w:w="11900" w:h="16838" w:orient="portrait"/>
          <w:cols w:equalWidth="0" w:num="1">
            <w:col w:w="9160"/>
          </w:cols>
          <w:pgMar w:left="1380" w:top="526" w:right="135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Inbound Orders </w:t>
            </w:r>
            <w:r>
              <w:rPr>
                <w:rFonts w:ascii="Arial" w:cs="Arial" w:eastAsia="Arial" w:hAnsi="Arial"/>
                <w:sz w:val="21"/>
                <w:szCs w:val="21"/>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2,384.9</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3,689.0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inbound orders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10,196.3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6,073.9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Order Backlog </w:t>
            </w:r>
            <w:r>
              <w:rPr>
                <w:rFonts w:ascii="Arial" w:cs="Arial" w:eastAsia="Arial" w:hAnsi="Arial"/>
                <w:sz w:val="21"/>
                <w:szCs w:val="21"/>
                <w:b w:val="1"/>
                <w:bCs w:val="1"/>
                <w:color w:val="auto"/>
                <w:vertAlign w:val="superscript"/>
              </w:rPr>
              <w:t>(2)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4,909.0</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11,834.9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12,982.8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16,743.9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57"/>
        <w:spacing w:after="0"/>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Inbound orders represent the estimated sales value of confirmed customer orders received during the reporting period.</w:t>
      </w:r>
    </w:p>
    <w:p>
      <w:pPr>
        <w:spacing w:after="0" w:line="64" w:lineRule="exact"/>
        <w:rPr>
          <w:rFonts w:ascii="Arial" w:cs="Arial" w:eastAsia="Arial" w:hAnsi="Arial"/>
          <w:sz w:val="19"/>
          <w:szCs w:val="19"/>
          <w:color w:val="auto"/>
          <w:vertAlign w:val="superscript"/>
        </w:rPr>
      </w:pPr>
    </w:p>
    <w:p>
      <w:pPr>
        <w:ind w:left="180" w:hanging="157"/>
        <w:spacing w:after="0" w:line="211" w:lineRule="auto"/>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Order backlog is calculated as the estimated sales value of unfilled, confirmed customer orders at the reporting date.</w:t>
      </w:r>
    </w:p>
    <w:p>
      <w:pPr>
        <w:sectPr>
          <w:pgSz w:w="11900" w:h="16838" w:orient="portrait"/>
          <w:cols w:equalWidth="0" w:num="1">
            <w:col w:w="9160"/>
          </w:cols>
          <w:pgMar w:left="1380" w:top="526" w:right="135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(Unaudited)</w:t>
            </w:r>
          </w:p>
        </w:tc>
      </w:tr>
      <w:tr>
        <w:trPr>
          <w:trHeight w:val="152"/>
        </w:trPr>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4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1,469.5</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 excess of billings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334.7</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1,822.9</w:t>
            </w:r>
          </w:p>
        </w:tc>
      </w:tr>
      <w:tr>
        <w:trPr>
          <w:trHeight w:val="237"/>
        </w:trPr>
        <w:tc>
          <w:tcPr>
            <w:tcW w:w="6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10,937.2</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2,620.1</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173.7</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1,172.4</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18,621.7</w:t>
            </w:r>
          </w:p>
        </w:tc>
      </w:tr>
      <w:tr>
        <w:trPr>
          <w:trHeight w:val="67"/>
        </w:trPr>
        <w:tc>
          <w:tcPr>
            <w:tcW w:w="65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6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683.6</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2,225.8</w:t>
            </w:r>
          </w:p>
        </w:tc>
      </w:tr>
      <w:tr>
        <w:trPr>
          <w:trHeight w:val="27"/>
        </w:trPr>
        <w:tc>
          <w:tcPr>
            <w:tcW w:w="6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10,888.9</w:t>
            </w:r>
          </w:p>
        </w:tc>
      </w:tr>
      <w:tr>
        <w:trPr>
          <w:trHeight w:val="284"/>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819.4</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TechnipFMC plc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5,055.8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18,621.7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2" w:name="page23"/>
    <w:bookmarkEnd w:id="22"/>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CASH FLOWS </w:t>
      </w:r>
      <w:r>
        <w:rPr>
          <w:rFonts w:ascii="Arial" w:cs="Arial" w:eastAsia="Arial" w:hAnsi="Arial"/>
          <w:sz w:val="18"/>
          <w:szCs w:val="18"/>
          <w:b w:val="1"/>
          <w:bCs w:val="1"/>
          <w:color w:val="auto"/>
        </w:rPr>
        <w:t>(In millions)</w:t>
      </w:r>
    </w:p>
    <w:p>
      <w:pPr>
        <w:spacing w:after="0" w:line="18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Twelve Months Ended</w:t>
      </w:r>
    </w:p>
    <w:p>
      <w:pPr>
        <w:spacing w:after="0" w:line="4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371.1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Trade accounts receivable, net and costs in excess of billings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(268.7)</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Accounts payable, trade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payments and billings in excess of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493.8</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acquired in merger of Technip and FMC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3,582.2</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3,269.3</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Net increase (decrease) in debt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3,091.3</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3,178.0</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pages. The financial results reflect the following information:</w:t>
      </w:r>
    </w:p>
    <w:p>
      <w:pPr>
        <w:spacing w:after="0" w:line="161" w:lineRule="exact"/>
        <w:rPr>
          <w:sz w:val="20"/>
          <w:szCs w:val="20"/>
          <w:color w:val="auto"/>
        </w:rPr>
      </w:pPr>
    </w:p>
    <w:p>
      <w:pPr>
        <w:ind w:left="560" w:hanging="322"/>
        <w:spacing w:after="0" w:line="239"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18"/>
          <w:szCs w:val="18"/>
          <w:color w:val="auto"/>
        </w:rPr>
      </w:pPr>
    </w:p>
    <w:p>
      <w:pPr>
        <w:jc w:val="both"/>
        <w:ind w:left="560" w:hanging="322"/>
        <w:spacing w:after="0" w:line="243"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20"/>
          <w:szCs w:val="20"/>
          <w:color w:val="auto"/>
        </w:rPr>
        <w:t>In December of 2016, Technip increased its ownership in the Yamal LNG joint venture and became the controlling shareholder. Under U.S. GAAP, this would have resulted in full consolidation of the joint venture on the date of the transaction.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and twelve months ended December 31, 2017:</w:t>
      </w:r>
    </w:p>
    <w:p>
      <w:pPr>
        <w:spacing w:after="0" w:line="17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Include the results of Technip for the full period;</w:t>
      </w:r>
    </w:p>
    <w:p>
      <w:pPr>
        <w:jc w:val="both"/>
        <w:ind w:left="660" w:hanging="328"/>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Include the results of FMC Technologies for the period January 17 to December 31, 2017; revenue of $112.9 million during the period from January 1 to January 16, 2017 were excluded, of which approximately 70 percent from Subsea and the remainder from Surface Technologies;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20"/>
          <w:szCs w:val="20"/>
          <w:color w:val="auto"/>
        </w:rPr>
        <w:t>Fully consolidate the Yamal LNG joint venture for the full period, within the Onshore/Offshore segment.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Non-GAAP pro forma results for the three and twelve months ended December 31, 2016:</w:t>
      </w:r>
    </w:p>
    <w:p>
      <w:pPr>
        <w:spacing w:after="0" w:line="17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Include the results of both Technip and FMC Technologies for the full period;</w:t>
      </w:r>
    </w:p>
    <w:p>
      <w:pPr>
        <w:ind w:left="660" w:hanging="328"/>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Combine FMC Technologies’ former Surface Technologies and Energy Infrastructure segments to form the pro forma Surface Technologies segment;</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Purchase price accounting adjustments applied on an equal basis to results for the three and twelve months ended December 31, 2017 to provide comparability;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Fully consolidate the Yamal LNG joint venture for the full period, within the Onshore/Offshore segment.</w:t>
      </w:r>
    </w:p>
    <w:p>
      <w:pPr>
        <w:spacing w:after="0" w:line="200" w:lineRule="exact"/>
        <w:rPr>
          <w:sz w:val="20"/>
          <w:szCs w:val="20"/>
          <w:color w:val="auto"/>
        </w:rPr>
      </w:pP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355" w:right="239" w:bottom="1440" w:gutter="0" w:footer="0" w:header="0"/>
        </w:sectPr>
      </w:pPr>
    </w:p>
    <w:bookmarkStart w:id="24" w:name="page25"/>
    <w:bookmarkEnd w:id="24"/>
    <w:p>
      <w:pPr>
        <w:jc w:val="center"/>
        <w:ind w:left="400" w:right="260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Fourth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213995</wp:posOffset>
            </wp:positionV>
            <wp:extent cx="4896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jc w:val="center"/>
              <w:ind w:left="448"/>
              <w:spacing w:after="0"/>
              <w:rPr>
                <w:sz w:val="20"/>
                <w:szCs w:val="20"/>
                <w:color w:val="auto"/>
              </w:rPr>
            </w:pPr>
            <w:r>
              <w:rPr>
                <w:rFonts w:ascii="Arial" w:cs="Arial" w:eastAsia="Arial" w:hAnsi="Arial"/>
                <w:sz w:val="14"/>
                <w:szCs w:val="14"/>
                <w:b w:val="1"/>
                <w:bCs w:val="1"/>
                <w:color w:val="auto"/>
                <w:w w:val="93"/>
              </w:rPr>
              <w:t>December 31,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Net income</w:t>
            </w:r>
          </w:p>
        </w:tc>
        <w:tc>
          <w:tcPr>
            <w:tcW w:w="2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Net (income)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Provision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interest</w:t>
            </w:r>
          </w:p>
        </w:tc>
        <w:tc>
          <w:tcPr>
            <w:tcW w:w="4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TechnipFMC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plc</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income taxes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444.1</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7"/>
              </w:rPr>
              <w:t>Impairment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charges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5"/>
              </w:rPr>
              <w:t>Business combination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Change in accounting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reform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(138.2)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gridSpan w:val="2"/>
            <w:vMerge w:val="continue"/>
            <w:shd w:val="clear" w:color="auto" w:fill="CCEEFF"/>
          </w:tcPr>
          <w:p>
            <w:pPr>
              <w:spacing w:after="0"/>
              <w:rPr>
                <w:sz w:val="6"/>
                <w:szCs w:val="6"/>
                <w:color w:val="auto"/>
              </w:rPr>
            </w:pPr>
          </w:p>
        </w:tc>
        <w:tc>
          <w:tcPr>
            <w:tcW w:w="8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48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90.9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215.1</w:t>
            </w:r>
          </w:p>
        </w:tc>
        <w:tc>
          <w:tcPr>
            <w:tcW w:w="60" w:type="dxa"/>
            <w:vAlign w:val="bottom"/>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(122.8)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455.2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181"/>
        </w:trPr>
        <w:tc>
          <w:tcPr>
            <w:tcW w:w="1480" w:type="dxa"/>
            <w:vAlign w:val="bottom"/>
          </w:tcPr>
          <w:p>
            <w:pPr>
              <w:ind w:left="20"/>
              <w:spacing w:after="0"/>
              <w:rPr>
                <w:sz w:val="20"/>
                <w:szCs w:val="20"/>
                <w:color w:val="auto"/>
              </w:rPr>
            </w:pPr>
            <w:r>
              <w:rPr>
                <w:rFonts w:ascii="Arial" w:cs="Arial" w:eastAsia="Arial" w:hAnsi="Arial"/>
                <w:sz w:val="14"/>
                <w:szCs w:val="14"/>
                <w:color w:val="auto"/>
              </w:rPr>
              <w:t>measures</w:t>
            </w:r>
          </w:p>
        </w:tc>
        <w:tc>
          <w:tcPr>
            <w:tcW w:w="12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13"/>
          </w:tcPr>
          <w:p>
            <w:pPr>
              <w:jc w:val="center"/>
              <w:ind w:right="560"/>
              <w:spacing w:after="0"/>
              <w:rPr>
                <w:sz w:val="20"/>
                <w:szCs w:val="20"/>
                <w:color w:val="auto"/>
              </w:rPr>
            </w:pPr>
            <w:r>
              <w:rPr>
                <w:rFonts w:ascii="Arial" w:cs="Arial" w:eastAsia="Arial" w:hAnsi="Arial"/>
                <w:sz w:val="14"/>
                <w:szCs w:val="14"/>
                <w:b w:val="1"/>
                <w:bCs w:val="1"/>
                <w:color w:val="auto"/>
                <w:w w:val="95"/>
              </w:rPr>
              <w:t>Pro Forma Three Months Ended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jc w:val="center"/>
              <w:ind w:left="468"/>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Net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Net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loss attributable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20" w:type="dxa"/>
            <w:vAlign w:val="bottom"/>
          </w:tcPr>
          <w:p>
            <w:pPr>
              <w:spacing w:after="0"/>
              <w:rPr>
                <w:sz w:val="12"/>
                <w:szCs w:val="12"/>
                <w:color w:val="auto"/>
              </w:rPr>
            </w:pPr>
          </w:p>
        </w:tc>
        <w:tc>
          <w:tcPr>
            <w:tcW w:w="11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Provision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Net interest</w:t>
            </w:r>
          </w:p>
        </w:tc>
        <w:tc>
          <w:tcPr>
            <w:tcW w:w="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Technologies and PPA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TechnipFMC</w:t>
            </w:r>
          </w:p>
        </w:tc>
        <w:tc>
          <w:tcPr>
            <w:tcW w:w="2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4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plc</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interests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taxes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TechnipFMC plc, as pro</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7"/>
              </w:rPr>
              <w:t>Impairment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charges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5"/>
              </w:rPr>
              <w:t>Business combination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accounting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37"/>
        </w:trPr>
        <w:tc>
          <w:tcPr>
            <w:tcW w:w="148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132.7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60" w:type="dxa"/>
            <w:vAlign w:val="bottom"/>
          </w:tcPr>
          <w:p>
            <w:pPr>
              <w:spacing w:after="0"/>
              <w:rPr>
                <w:sz w:val="11"/>
                <w:szCs w:val="11"/>
                <w:color w:val="auto"/>
              </w:rPr>
            </w:pPr>
          </w:p>
        </w:tc>
        <w:tc>
          <w:tcPr>
            <w:tcW w:w="380" w:type="dxa"/>
            <w:vAlign w:val="bottom"/>
            <w:gridSpan w:val="3"/>
            <w:vMerge w:val="restart"/>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205.0</w:t>
            </w:r>
          </w:p>
        </w:tc>
        <w:tc>
          <w:tcPr>
            <w:tcW w:w="60" w:type="dxa"/>
            <w:vAlign w:val="bottom"/>
          </w:tcPr>
          <w:p>
            <w:pPr>
              <w:spacing w:after="0"/>
              <w:rPr>
                <w:sz w:val="11"/>
                <w:szCs w:val="11"/>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181"/>
        </w:trPr>
        <w:tc>
          <w:tcPr>
            <w:tcW w:w="1480" w:type="dxa"/>
            <w:vAlign w:val="bottom"/>
          </w:tcPr>
          <w:p>
            <w:pPr>
              <w:ind w:left="20"/>
              <w:spacing w:after="0"/>
              <w:rPr>
                <w:sz w:val="20"/>
                <w:szCs w:val="20"/>
                <w:color w:val="auto"/>
              </w:rPr>
            </w:pPr>
            <w:r>
              <w:rPr>
                <w:rFonts w:ascii="Arial" w:cs="Arial" w:eastAsia="Arial" w:hAnsi="Arial"/>
                <w:sz w:val="14"/>
                <w:szCs w:val="14"/>
                <w:color w:val="auto"/>
              </w:rPr>
              <w:t>measures</w:t>
            </w:r>
          </w:p>
        </w:tc>
        <w:tc>
          <w:tcPr>
            <w:tcW w:w="1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526" w:right="399" w:bottom="1440" w:gutter="0" w:footer="0" w:header="0"/>
        </w:sectPr>
      </w:pPr>
    </w:p>
    <w:bookmarkStart w:id="25" w:name="page26"/>
    <w:bookmarkEnd w:id="25"/>
    <w:p>
      <w:pPr>
        <w:jc w:val="center"/>
        <w:ind w:left="400" w:right="260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Fourth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213995</wp:posOffset>
            </wp:positionV>
            <wp:extent cx="4836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7"/>
          </w:tcPr>
          <w:p>
            <w:pPr>
              <w:jc w:val="center"/>
              <w:ind w:left="388"/>
              <w:spacing w:after="0"/>
              <w:rPr>
                <w:sz w:val="20"/>
                <w:szCs w:val="20"/>
                <w:color w:val="auto"/>
              </w:rPr>
            </w:pPr>
            <w:r>
              <w:rPr>
                <w:rFonts w:ascii="Arial" w:cs="Arial" w:eastAsia="Arial" w:hAnsi="Arial"/>
                <w:sz w:val="14"/>
                <w:szCs w:val="14"/>
                <w:b w:val="1"/>
                <w:bCs w:val="1"/>
                <w:color w:val="auto"/>
                <w:w w:val="93"/>
              </w:rPr>
              <w:t>Twelve Months Ended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Net income</w:t>
            </w:r>
          </w:p>
        </w:tc>
        <w:tc>
          <w:tcPr>
            <w:tcW w:w="13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(income) loss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Depreciation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2"/>
                <w:szCs w:val="12"/>
                <w:color w:val="auto"/>
              </w:rPr>
            </w:pPr>
          </w:p>
        </w:tc>
        <w:tc>
          <w:tcPr>
            <w:tcW w:w="1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Provision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Net interest</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00" w:type="dxa"/>
            <w:vAlign w:val="bottom"/>
          </w:tcPr>
          <w:p>
            <w:pPr>
              <w:spacing w:after="0"/>
              <w:rPr>
                <w:sz w:val="12"/>
                <w:szCs w:val="12"/>
                <w:color w:val="auto"/>
              </w:rPr>
            </w:pPr>
          </w:p>
        </w:tc>
        <w:tc>
          <w:tcPr>
            <w:tcW w:w="12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income taxes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8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2"/>
              </w:rPr>
              <w:t>Restructuring and other</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ind w:left="160"/>
              <w:spacing w:after="0" w:line="157" w:lineRule="exact"/>
              <w:rPr>
                <w:sz w:val="20"/>
                <w:szCs w:val="20"/>
                <w:color w:val="auto"/>
              </w:rPr>
            </w:pPr>
            <w:r>
              <w:rPr>
                <w:rFonts w:ascii="Arial" w:cs="Arial" w:eastAsia="Arial" w:hAnsi="Arial"/>
                <w:sz w:val="14"/>
                <w:szCs w:val="14"/>
                <w:color w:val="auto"/>
                <w:w w:val="99"/>
              </w:rPr>
              <w:t>Business combination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accounting</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w w:val="92"/>
              </w:rPr>
              <w:t>accounting adjustments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reform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603.5</w:t>
            </w:r>
          </w:p>
        </w:tc>
        <w:tc>
          <w:tcPr>
            <w:tcW w:w="100" w:type="dxa"/>
            <w:vAlign w:val="bottom"/>
          </w:tcPr>
          <w:p>
            <w:pPr>
              <w:spacing w:after="0"/>
              <w:rPr>
                <w:sz w:val="11"/>
                <w:szCs w:val="11"/>
                <w:color w:val="auto"/>
              </w:rPr>
            </w:pP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579.4</w:t>
            </w: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1,566.8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464.3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2,031.1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measures</w:t>
            </w: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94"/>
              </w:rPr>
              <w:t>Pro Forma Twelve Months Ended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Net income</w:t>
            </w:r>
          </w:p>
        </w:tc>
        <w:tc>
          <w:tcPr>
            <w:tcW w:w="100" w:type="dxa"/>
            <w:vAlign w:val="bottom"/>
          </w:tcPr>
          <w:p>
            <w:pPr>
              <w:spacing w:after="0"/>
              <w:rPr>
                <w:sz w:val="12"/>
                <w:szCs w:val="12"/>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Net (income) loss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12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Provision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Net interest</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Technologies and PPA</w:t>
            </w:r>
          </w:p>
        </w:tc>
        <w:tc>
          <w:tcPr>
            <w:tcW w:w="1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plc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income taxes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expense</w:t>
            </w:r>
          </w:p>
        </w:tc>
        <w:tc>
          <w:tcPr>
            <w:tcW w:w="8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2"/>
              </w:rPr>
              <w:t>Restructuring and other</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ind w:left="160"/>
              <w:spacing w:after="0" w:line="157" w:lineRule="exact"/>
              <w:rPr>
                <w:sz w:val="20"/>
                <w:szCs w:val="20"/>
                <w:color w:val="auto"/>
              </w:rPr>
            </w:pPr>
            <w:r>
              <w:rPr>
                <w:rFonts w:ascii="Arial" w:cs="Arial" w:eastAsia="Arial" w:hAnsi="Arial"/>
                <w:sz w:val="14"/>
                <w:szCs w:val="14"/>
                <w:color w:val="auto"/>
                <w:w w:val="99"/>
              </w:rPr>
              <w:t>Business combination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2"/>
              </w:rPr>
              <w:t>accounting adjustments</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946.6</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1,468.5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562.1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2,030.6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measures</w:t>
            </w:r>
          </w:p>
        </w:tc>
        <w:tc>
          <w:tcPr>
            <w:tcW w:w="2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526" w:right="399" w:bottom="1440" w:gutter="0" w:footer="0" w:header="0"/>
        </w:sectPr>
      </w:pPr>
    </w:p>
    <w:bookmarkStart w:id="26" w:name="page27"/>
    <w:bookmarkEnd w:id="26"/>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2"/>
                <w:szCs w:val="22"/>
                <w:color w:val="auto"/>
              </w:rPr>
            </w:pPr>
          </w:p>
        </w:tc>
        <w:tc>
          <w:tcPr>
            <w:tcW w:w="24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3"/>
              </w:rPr>
              <w:t>Twelve Months Ended</w:t>
            </w:r>
          </w:p>
        </w:tc>
      </w:tr>
      <w:tr>
        <w:trPr>
          <w:trHeight w:val="2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24"/>
                <w:szCs w:val="24"/>
                <w:color w:val="auto"/>
              </w:rPr>
            </w:pPr>
          </w:p>
        </w:tc>
        <w:tc>
          <w:tcPr>
            <w:tcW w:w="24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4"/>
              </w:rPr>
              <w:t>December 31</w:t>
            </w:r>
          </w:p>
        </w:tc>
      </w:tr>
      <w:tr>
        <w:trPr>
          <w:trHeight w:val="263"/>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(after-tax)</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TechnipFMC plc,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20" w:type="dxa"/>
            <w:vAlign w:val="bottom"/>
            <w:tcBorders>
              <w:bottom w:val="single" w:sz="8" w:color="CCEEFF"/>
            </w:tcBorders>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Charges and (credits):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46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Restructuring and other severance charges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2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640" w:type="dxa"/>
            <w:vAlign w:val="bottom"/>
            <w:gridSpan w:val="2"/>
          </w:tcPr>
          <w:p>
            <w:pPr>
              <w:spacing w:after="0" w:line="270" w:lineRule="exact"/>
              <w:rPr>
                <w:sz w:val="20"/>
                <w:szCs w:val="20"/>
                <w:color w:val="auto"/>
              </w:rPr>
            </w:pPr>
            <w:r>
              <w:rPr>
                <w:rFonts w:ascii="Arial" w:cs="Arial" w:eastAsia="Arial" w:hAnsi="Arial"/>
                <w:sz w:val="18"/>
                <w:szCs w:val="18"/>
                <w:color w:val="auto"/>
                <w:w w:val="99"/>
              </w:rPr>
              <w:t xml:space="preserve">Business combination transaction and integration costs </w:t>
            </w:r>
            <w:r>
              <w:rPr>
                <w:rFonts w:ascii="Arial" w:cs="Arial" w:eastAsia="Arial" w:hAnsi="Arial"/>
                <w:sz w:val="25"/>
                <w:szCs w:val="25"/>
                <w:color w:val="auto"/>
                <w:w w:val="99"/>
                <w:vertAlign w:val="superscript"/>
              </w:rPr>
              <w:t>(3)</w:t>
            </w:r>
          </w:p>
        </w:tc>
        <w:tc>
          <w:tcPr>
            <w:tcW w:w="180" w:type="dxa"/>
            <w:vAlign w:val="bottom"/>
          </w:tcPr>
          <w:p>
            <w:pPr>
              <w:spacing w:after="0"/>
              <w:rPr>
                <w:sz w:val="23"/>
                <w:szCs w:val="23"/>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8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Change in accounting estimate </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6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Purchase price accounting adjustments </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Tax reform </w:t>
            </w:r>
            <w:r>
              <w:rPr>
                <w:rFonts w:ascii="Arial" w:cs="Arial" w:eastAsia="Arial" w:hAnsi="Arial"/>
                <w:sz w:val="25"/>
                <w:szCs w:val="25"/>
                <w:color w:val="auto"/>
                <w:vertAlign w:val="superscript"/>
              </w:rPr>
              <w:t>(6)</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TechnipFMC plc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EPS attributable to TechnipFMC plc,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20" w:type="dxa"/>
            <w:vAlign w:val="bottom"/>
            <w:tcBorders>
              <w:bottom w:val="single" w:sz="8" w:color="CCEEFF"/>
            </w:tcBorders>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20" w:type="dxa"/>
            <w:vAlign w:val="bottom"/>
            <w:shd w:val="clear" w:color="auto" w:fill="CCEEFF"/>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diluted EPS attributable to TechnipFMC plc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2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20" w:right="60" w:firstLine="3"/>
        <w:spacing w:after="0" w:line="258"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$7 million and $(3) million during the three months ended and $10 million and $12 million during the twelve months ended December 31, 2017 and 2016, respectively.</w:t>
      </w:r>
    </w:p>
    <w:p>
      <w:pPr>
        <w:spacing w:after="0" w:line="1" w:lineRule="exact"/>
        <w:rPr>
          <w:rFonts w:ascii="Arial" w:cs="Arial" w:eastAsia="Arial" w:hAnsi="Arial"/>
          <w:sz w:val="18"/>
          <w:szCs w:val="18"/>
          <w:color w:val="auto"/>
        </w:rPr>
      </w:pPr>
    </w:p>
    <w:p>
      <w:pPr>
        <w:ind w:left="20" w:right="420" w:firstLine="3"/>
        <w:spacing w:after="0" w:line="250"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$43 million and $83 million during the three months ended and $61 million and $103 million during the twelve months ended December 31, 2017 and 2016, respectively.</w:t>
      </w:r>
    </w:p>
    <w:p>
      <w:pPr>
        <w:ind w:left="20" w:right="80" w:firstLine="3"/>
        <w:spacing w:after="0" w:line="250"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$4 million and $21 million during the three months ended and $38 million and $31 million during the twelve months ended December 31, 2017 and 2016, respectively.</w:t>
      </w:r>
    </w:p>
    <w:p>
      <w:pPr>
        <w:ind w:left="20" w:right="180" w:firstLine="3"/>
        <w:spacing w:after="0" w:line="250"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nil and nil during the three months ended and $6 million and nil during the twelve months ended December 31, 2017 and 2016, respectively.</w:t>
      </w:r>
    </w:p>
    <w:p>
      <w:pPr>
        <w:ind w:left="20" w:right="320" w:firstLine="3"/>
        <w:spacing w:after="0" w:line="250"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$4 million and nil during the three months ended and $56 million and nil during the twelve months ended December 31, 2017 and 2016, respectively.</w:t>
      </w:r>
    </w:p>
    <w:p>
      <w:pPr>
        <w:ind w:left="20" w:right="60" w:firstLine="3"/>
        <w:spacing w:after="0" w:line="261"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 of $138 million and nil during the three months ended and $138 million and nil during the twelve months ended December 31, 2017 and 2016, respectively.</w:t>
      </w:r>
    </w:p>
    <w:p>
      <w:pPr>
        <w:sectPr>
          <w:pgSz w:w="11900" w:h="16838" w:orient="portrait"/>
          <w:cols w:equalWidth="0" w:num="1">
            <w:col w:w="9160"/>
          </w:cols>
          <w:pgMar w:left="1380" w:top="526" w:right="1359" w:bottom="1440" w:gutter="0" w:footer="0" w:header="0"/>
        </w:sectPr>
      </w:pPr>
    </w:p>
    <w:bookmarkStart w:id="27" w:name="page28"/>
    <w:bookmarkEnd w:id="27"/>
    <w:p>
      <w:pPr>
        <w:jc w:val="center"/>
        <w:ind w:left="1620" w:right="16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ectPr>
          <w:pgSz w:w="11900" w:h="16838" w:orient="portrait"/>
          <w:cols w:equalWidth="0" w:num="1">
            <w:col w:w="9180"/>
          </w:cols>
          <w:pgMar w:left="1380" w:top="526"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as reported (pre-tax)</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Impairment and other charges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other severance charges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Business combination transaction and integration costs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Change in accounting estimate</w:t>
      </w:r>
    </w:p>
    <w:p>
      <w:pPr>
        <w:spacing w:after="0" w:line="109" w:lineRule="exact"/>
        <w:rPr>
          <w:sz w:val="20"/>
          <w:szCs w:val="20"/>
          <w:color w:val="auto"/>
        </w:rPr>
      </w:pPr>
    </w:p>
    <w:p>
      <w:pPr>
        <w:ind w:left="240" w:right="18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Purchase price accounting adjustments - amortization related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reported</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right="320"/>
        <w:spacing w:after="0" w:line="333" w:lineRule="auto"/>
        <w:rPr>
          <w:sz w:val="20"/>
          <w:szCs w:val="20"/>
          <w:color w:val="auto"/>
        </w:rPr>
      </w:pPr>
      <w:r>
        <w:rPr>
          <w:rFonts w:ascii="Arial" w:cs="Arial" w:eastAsia="Arial" w:hAnsi="Arial"/>
          <w:sz w:val="14"/>
          <w:szCs w:val="14"/>
          <w:color w:val="auto"/>
        </w:rPr>
        <w:t>(including legacy FMC Technologies and PPA adjustments) Revenue, as pro forma</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profit (pre-tax), as pro forma</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Impairment and other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and other severance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Business combination transaction and integration costs</w:t>
      </w:r>
    </w:p>
    <w:p>
      <w:pPr>
        <w:spacing w:after="0" w:line="109" w:lineRule="exact"/>
        <w:rPr>
          <w:sz w:val="20"/>
          <w:szCs w:val="20"/>
          <w:color w:val="auto"/>
        </w:rPr>
      </w:pPr>
    </w:p>
    <w:p>
      <w:pPr>
        <w:ind w:left="260" w:right="16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Purchase price accounting adjustments - amortization related</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profit margin, as pro forma</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 margin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1,292.2</w:t>
            </w:r>
          </w:p>
        </w:tc>
        <w:tc>
          <w:tcPr>
            <w:tcW w:w="10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2,019.5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3,683.0</w:t>
            </w: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257.2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501"/>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-4048125</wp:posOffset>
            </wp:positionV>
            <wp:extent cx="58400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-3722370</wp:posOffset>
            </wp:positionV>
            <wp:extent cx="58400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-3396615</wp:posOffset>
            </wp:positionV>
            <wp:extent cx="58400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-3053080</wp:posOffset>
            </wp:positionV>
            <wp:extent cx="58400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-2710180</wp:posOffset>
            </wp:positionV>
            <wp:extent cx="58400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-2315845</wp:posOffset>
            </wp:positionV>
            <wp:extent cx="58400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-1972945</wp:posOffset>
            </wp:positionV>
            <wp:extent cx="58400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-1646555</wp:posOffset>
            </wp:positionV>
            <wp:extent cx="58400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16319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-1312545</wp:posOffset>
            </wp:positionV>
            <wp:extent cx="58400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-986790</wp:posOffset>
            </wp:positionV>
            <wp:extent cx="58400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-643255</wp:posOffset>
            </wp:positionV>
            <wp:extent cx="58400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-317500</wp:posOffset>
            </wp:positionV>
            <wp:extent cx="58400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Pro Forma Three Months Ended</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319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Technologies</w:t>
            </w:r>
          </w:p>
        </w:tc>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2,024.1</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2,060.9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303.6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4,379.7</w:t>
            </w:r>
          </w:p>
        </w:tc>
        <w:tc>
          <w:tcPr>
            <w:tcW w:w="0" w:type="dxa"/>
            <w:vAlign w:val="bottom"/>
          </w:tcPr>
          <w:p>
            <w:pPr>
              <w:spacing w:after="0"/>
              <w:rPr>
                <w:sz w:val="1"/>
                <w:szCs w:val="1"/>
                <w:color w:val="auto"/>
              </w:rPr>
            </w:pPr>
          </w:p>
        </w:tc>
      </w:tr>
      <w:tr>
        <w:trPr>
          <w:trHeight w:val="513"/>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349.9</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501"/>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395.9</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6.5 %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-3876675</wp:posOffset>
            </wp:positionV>
            <wp:extent cx="58146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-3550920</wp:posOffset>
            </wp:positionV>
            <wp:extent cx="58146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-3224530</wp:posOffset>
            </wp:positionV>
            <wp:extent cx="58146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-2881630</wp:posOffset>
            </wp:positionV>
            <wp:extent cx="58146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-2538730</wp:posOffset>
            </wp:positionV>
            <wp:extent cx="581469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4695" cy="22288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-2144395</wp:posOffset>
            </wp:positionV>
            <wp:extent cx="581469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-1818640</wp:posOffset>
            </wp:positionV>
            <wp:extent cx="581469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-1483995</wp:posOffset>
            </wp:positionV>
            <wp:extent cx="58146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-1158240</wp:posOffset>
            </wp:positionV>
            <wp:extent cx="58146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-814705</wp:posOffset>
            </wp:positionV>
            <wp:extent cx="58146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-488950</wp:posOffset>
            </wp:positionV>
            <wp:extent cx="581469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469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-163195</wp:posOffset>
            </wp:positionV>
            <wp:extent cx="581469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4695" cy="171450"/>
                    </a:xfrm>
                    <a:prstGeom prst="rect">
                      <a:avLst/>
                    </a:prstGeom>
                    <a:noFill/>
                  </pic:spPr>
                </pic:pic>
              </a:graphicData>
            </a:graphic>
          </wp:anchor>
        </w:drawing>
      </w:r>
    </w:p>
    <w:p>
      <w:pPr>
        <w:sectPr>
          <w:pgSz w:w="11900" w:h="16838" w:orient="portrait"/>
          <w:cols w:equalWidth="0" w:num="2">
            <w:col w:w="3780" w:space="160"/>
            <w:col w:w="5240"/>
          </w:cols>
          <w:pgMar w:left="1380" w:top="526" w:right="1339" w:bottom="0" w:gutter="0" w:footer="0" w:header="0"/>
          <w:type w:val="continuous"/>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line="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ind w:left="528"/>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Technologies</w:t>
            </w:r>
          </w:p>
        </w:tc>
        <w:tc>
          <w:tcPr>
            <w:tcW w:w="1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5,877.4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7,904.5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1,274.6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15,056.9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810.9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1,043.0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16"/>
                <w:szCs w:val="16"/>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accounting estimate</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260"/>
              <w:spacing w:after="0" w:line="157" w:lineRule="exact"/>
              <w:rPr>
                <w:sz w:val="20"/>
                <w:szCs w:val="20"/>
                <w:color w:val="auto"/>
              </w:rPr>
            </w:pPr>
            <w:r>
              <w:rPr>
                <w:rFonts w:ascii="Arial" w:cs="Arial" w:eastAsia="Arial" w:hAnsi="Arial"/>
                <w:sz w:val="14"/>
                <w:szCs w:val="14"/>
                <w:color w:val="auto"/>
              </w:rPr>
              <w:t>Purchase price accounting adjustments - non-amortization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6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42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523.8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16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751.8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1,566.8</w:t>
            </w:r>
          </w:p>
        </w:tc>
        <w:tc>
          <w:tcPr>
            <w:tcW w:w="0" w:type="dxa"/>
            <w:vAlign w:val="bottom"/>
          </w:tcPr>
          <w:p>
            <w:pPr>
              <w:spacing w:after="0"/>
              <w:rPr>
                <w:sz w:val="1"/>
                <w:szCs w:val="1"/>
                <w:color w:val="auto"/>
              </w:rPr>
            </w:pPr>
          </w:p>
        </w:tc>
      </w:tr>
      <w:tr>
        <w:trPr>
          <w:trHeight w:val="74"/>
        </w:trPr>
        <w:tc>
          <w:tcPr>
            <w:tcW w:w="3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1,119.8</w:t>
            </w:r>
          </w:p>
        </w:tc>
        <w:tc>
          <w:tcPr>
            <w:tcW w:w="12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(186.6)</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2,031.1</w:t>
            </w:r>
          </w:p>
        </w:tc>
        <w:tc>
          <w:tcPr>
            <w:tcW w:w="0" w:type="dxa"/>
            <w:vAlign w:val="bottom"/>
          </w:tcPr>
          <w:p>
            <w:pPr>
              <w:spacing w:after="0"/>
              <w:rPr>
                <w:sz w:val="1"/>
                <w:szCs w:val="1"/>
                <w:color w:val="auto"/>
              </w:rPr>
            </w:pPr>
          </w:p>
        </w:tc>
      </w:tr>
      <w:tr>
        <w:trPr>
          <w:trHeight w:val="100"/>
        </w:trPr>
        <w:tc>
          <w:tcPr>
            <w:tcW w:w="3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9160"/>
          </w:cols>
          <w:pgMar w:left="1380" w:top="526"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line="333" w:lineRule="auto"/>
        <w:rPr>
          <w:sz w:val="20"/>
          <w:szCs w:val="20"/>
          <w:color w:val="auto"/>
        </w:rPr>
      </w:pPr>
      <w:r>
        <w:rPr>
          <w:rFonts w:ascii="Arial" w:cs="Arial" w:eastAsia="Arial" w:hAnsi="Arial"/>
          <w:sz w:val="14"/>
          <w:szCs w:val="14"/>
          <w:color w:val="auto"/>
        </w:rPr>
        <w:t>(including legacy FMC Technologies and PPA adjustments) Revenue, as pro forma</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profit (pre-tax), as pro forma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 Forma Twelve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9,150.5</w:t>
            </w:r>
          </w:p>
        </w:tc>
        <w:tc>
          <w:tcPr>
            <w:tcW w:w="100" w:type="dxa"/>
            <w:vAlign w:val="bottom"/>
          </w:tcPr>
          <w:p>
            <w:pPr>
              <w:spacing w:after="0"/>
              <w:rPr>
                <w:sz w:val="21"/>
                <w:szCs w:val="21"/>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8,690.0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1,252.2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19,068.8</w:t>
            </w:r>
          </w:p>
        </w:tc>
        <w:tc>
          <w:tcPr>
            <w:tcW w:w="0" w:type="dxa"/>
            <w:vAlign w:val="bottom"/>
          </w:tcPr>
          <w:p>
            <w:pPr>
              <w:spacing w:after="0"/>
              <w:rPr>
                <w:sz w:val="1"/>
                <w:szCs w:val="1"/>
                <w:color w:val="auto"/>
              </w:rPr>
            </w:pPr>
          </w:p>
        </w:tc>
      </w:tr>
      <w:tr>
        <w:trPr>
          <w:trHeight w:val="513"/>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982.6</w:t>
            </w:r>
          </w:p>
        </w:tc>
        <w:tc>
          <w:tcPr>
            <w:tcW w:w="1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(366.6)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-488950</wp:posOffset>
            </wp:positionV>
            <wp:extent cx="58058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-163195</wp:posOffset>
            </wp:positionV>
            <wp:extent cx="58058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161925</wp:posOffset>
            </wp:positionV>
            <wp:extent cx="580580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5805" cy="171450"/>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3480" w:space="440"/>
            <w:col w:w="5240"/>
          </w:cols>
          <w:pgMar w:left="1380" w:top="526" w:right="1359" w:bottom="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5"/>
                <w:szCs w:val="15"/>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222.1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362.8</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16"/>
                <w:szCs w:val="16"/>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related</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220" w:type="dxa"/>
            <w:vAlign w:val="bottom"/>
          </w:tcPr>
          <w:p>
            <w:pPr>
              <w:spacing w:after="0"/>
              <w:rPr>
                <w:sz w:val="16"/>
                <w:szCs w:val="16"/>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276.8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236.7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124.1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790.0</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1,259.4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1,468.5</w:t>
            </w:r>
          </w:p>
        </w:tc>
        <w:tc>
          <w:tcPr>
            <w:tcW w:w="0" w:type="dxa"/>
            <w:vAlign w:val="bottom"/>
          </w:tcPr>
          <w:p>
            <w:pPr>
              <w:spacing w:after="0"/>
              <w:rPr>
                <w:sz w:val="1"/>
                <w:szCs w:val="1"/>
                <w:color w:val="auto"/>
              </w:rPr>
            </w:pPr>
          </w:p>
        </w:tc>
      </w:tr>
      <w:tr>
        <w:trPr>
          <w:trHeight w:val="74"/>
        </w:trPr>
        <w:tc>
          <w:tcPr>
            <w:tcW w:w="39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562.1</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1,700.7</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471.7</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2,030.6</w:t>
            </w:r>
          </w:p>
        </w:tc>
        <w:tc>
          <w:tcPr>
            <w:tcW w:w="0" w:type="dxa"/>
            <w:vAlign w:val="bottom"/>
          </w:tcPr>
          <w:p>
            <w:pPr>
              <w:spacing w:after="0"/>
              <w:rPr>
                <w:sz w:val="1"/>
                <w:szCs w:val="1"/>
                <w:color w:val="auto"/>
              </w:rPr>
            </w:pPr>
          </w:p>
        </w:tc>
      </w:tr>
      <w:tr>
        <w:trPr>
          <w:trHeight w:val="60"/>
        </w:trPr>
        <w:tc>
          <w:tcPr>
            <w:tcW w:w="3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pro forma</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9160"/>
          </w:cols>
          <w:pgMar w:left="1380" w:top="526" w:right="1359" w:bottom="0" w:gutter="0" w:footer="0" w:header="0"/>
          <w:type w:val="continuous"/>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2,882.4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3,716.4</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4"/>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2019-12-29T01:19:37Z</dcterms:created>
  <dcterms:modified xsi:type="dcterms:W3CDTF">2019-12-29T01:19:37Z</dcterms:modified>
</cp:coreProperties>
</file>