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Glickman Barry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TechnipFMC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FTI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President, Subsea Services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EC4M 8AP</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01/17/2017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60"/>
              <w:spacing w:after="0"/>
              <w:rPr>
                <w:sz w:val="20"/>
                <w:szCs w:val="20"/>
                <w:color w:val="auto"/>
              </w:rPr>
            </w:pPr>
            <w:r>
              <w:rPr>
                <w:rFonts w:ascii="Arial" w:cs="Arial" w:eastAsia="Arial" w:hAnsi="Arial"/>
                <w:sz w:val="18"/>
                <w:szCs w:val="18"/>
                <w:color w:val="0000FF"/>
                <w:w w:val="83"/>
              </w:rPr>
              <w:t>93,322</w:t>
            </w:r>
          </w:p>
        </w:tc>
        <w:tc>
          <w:tcPr>
            <w:tcW w:w="700" w:type="dxa"/>
            <w:vAlign w:val="bottom"/>
          </w:tcPr>
          <w:p>
            <w:pPr>
              <w:ind w:left="38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18"/>
                <w:szCs w:val="18"/>
                <w:color w:val="0000FF"/>
              </w:rPr>
              <w:t>93,322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Business Combination Agreement, dated as of June 14, 2016 (the "BCA"), by and among the Issuer, FMC Technologies, Inc. ("FMCTI") and Technip S.A. ("Technip"), each share of FMCTI common stock beneficially owned by the Reporting Person at the effective time of the transactions contemplated by the BCA was exchanged for 1.00 ordinary share of the Issuer.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Lisa P. Wang, Attorney-In-Fact 01/18/2017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9926"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2019-12-24T09:15:03Z</dcterms:created>
  <dcterms:modified xsi:type="dcterms:W3CDTF">2019-12-24T09:15:03Z</dcterms:modified>
</cp:coreProperties>
</file>