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5565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6514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Beitler Bradley D.</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TechnipFMC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FTI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01/17/2017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firstLine="6"/>
        <w:spacing w:after="0" w:line="256"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4"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74"/>
        <w:spacing w:after="0"/>
        <w:rPr>
          <w:sz w:val="20"/>
          <w:szCs w:val="20"/>
          <w:color w:val="auto"/>
        </w:rPr>
      </w:pPr>
      <w:r>
        <w:rPr>
          <w:rFonts w:ascii="Arial" w:cs="Arial" w:eastAsia="Arial" w:hAnsi="Arial"/>
          <w:sz w:val="17"/>
          <w:szCs w:val="17"/>
          <w:color w:val="0000FF"/>
        </w:rPr>
        <w:t>EVP, Technology and R&amp;D</w:t>
      </w:r>
    </w:p>
    <w:p>
      <w:pPr>
        <w:spacing w:after="0" w:line="334" w:lineRule="exact"/>
        <w:rPr>
          <w:sz w:val="24"/>
          <w:szCs w:val="24"/>
          <w:color w:val="auto"/>
        </w:rPr>
      </w:pPr>
    </w:p>
    <w:p>
      <w:pPr>
        <w:sectPr>
          <w:pgSz w:w="11900" w:h="16838" w:orient="portrait"/>
          <w:cols w:equalWidth="0" w:num="3">
            <w:col w:w="3340" w:space="720"/>
            <w:col w:w="3266" w:space="720"/>
            <w:col w:w="3474"/>
          </w:cols>
          <w:pgMar w:left="240" w:top="226"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LONDON</w:t>
            </w:r>
          </w:p>
        </w:tc>
        <w:tc>
          <w:tcPr>
            <w:tcW w:w="1120" w:type="dxa"/>
            <w:vAlign w:val="bottom"/>
          </w:tcPr>
          <w:p>
            <w:pPr>
              <w:ind w:left="280"/>
              <w:spacing w:after="0"/>
              <w:rPr>
                <w:sz w:val="20"/>
                <w:szCs w:val="20"/>
                <w:color w:val="auto"/>
              </w:rPr>
            </w:pPr>
            <w:r>
              <w:rPr>
                <w:rFonts w:ascii="Arial" w:cs="Arial" w:eastAsia="Arial" w:hAnsi="Arial"/>
                <w:sz w:val="17"/>
                <w:szCs w:val="17"/>
                <w:color w:val="0000FF"/>
              </w:rPr>
              <w:t>X0</w:t>
            </w:r>
          </w:p>
        </w:tc>
        <w:tc>
          <w:tcPr>
            <w:tcW w:w="1660" w:type="dxa"/>
            <w:vAlign w:val="bottom"/>
          </w:tcPr>
          <w:p>
            <w:pPr>
              <w:ind w:left="420"/>
              <w:spacing w:after="0"/>
              <w:rPr>
                <w:sz w:val="20"/>
                <w:szCs w:val="20"/>
                <w:color w:val="auto"/>
              </w:rPr>
            </w:pPr>
            <w:r>
              <w:rPr>
                <w:rFonts w:ascii="Arial" w:cs="Arial" w:eastAsia="Arial" w:hAnsi="Arial"/>
                <w:sz w:val="17"/>
                <w:szCs w:val="17"/>
                <w:color w:val="0000FF"/>
              </w:rPr>
              <w:t>EC4M 8AP</w:t>
            </w:r>
          </w:p>
        </w:tc>
      </w:tr>
      <w:tr>
        <w:trPr>
          <w:trHeight w:val="157"/>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5"/>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7"/>
                <w:szCs w:val="17"/>
                <w:color w:val="0000FF"/>
              </w:rPr>
              <w:t>Ordinary Shares</w:t>
            </w:r>
          </w:p>
        </w:tc>
        <w:tc>
          <w:tcPr>
            <w:tcW w:w="1060" w:type="dxa"/>
            <w:vAlign w:val="bottom"/>
          </w:tcPr>
          <w:p>
            <w:pPr>
              <w:spacing w:after="0"/>
              <w:rPr>
                <w:sz w:val="23"/>
                <w:szCs w:val="23"/>
                <w:color w:val="auto"/>
              </w:rPr>
            </w:pPr>
          </w:p>
        </w:tc>
        <w:tc>
          <w:tcPr>
            <w:tcW w:w="1840" w:type="dxa"/>
            <w:vAlign w:val="bottom"/>
            <w:gridSpan w:val="2"/>
          </w:tcPr>
          <w:p>
            <w:pPr>
              <w:ind w:left="860"/>
              <w:spacing w:after="0"/>
              <w:rPr>
                <w:sz w:val="20"/>
                <w:szCs w:val="20"/>
                <w:color w:val="auto"/>
              </w:rPr>
            </w:pPr>
            <w:r>
              <w:rPr>
                <w:rFonts w:ascii="Arial" w:cs="Arial" w:eastAsia="Arial" w:hAnsi="Arial"/>
                <w:sz w:val="17"/>
                <w:szCs w:val="17"/>
                <w:color w:val="0000FF"/>
              </w:rPr>
              <w:t>01/17/2017</w:t>
            </w: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1020" w:type="dxa"/>
            <w:vAlign w:val="bottom"/>
            <w:gridSpan w:val="2"/>
          </w:tcPr>
          <w:p>
            <w:pPr>
              <w:ind w:left="120"/>
              <w:spacing w:after="0"/>
              <w:rPr>
                <w:sz w:val="20"/>
                <w:szCs w:val="20"/>
                <w:color w:val="auto"/>
              </w:rPr>
            </w:pPr>
            <w:r>
              <w:rPr>
                <w:rFonts w:ascii="Arial" w:cs="Arial" w:eastAsia="Arial" w:hAnsi="Arial"/>
                <w:sz w:val="17"/>
                <w:szCs w:val="17"/>
                <w:color w:val="0000FF"/>
              </w:rPr>
              <w:t>106,317.38</w:t>
            </w:r>
          </w:p>
        </w:tc>
        <w:tc>
          <w:tcPr>
            <w:tcW w:w="380" w:type="dxa"/>
            <w:vAlign w:val="bottom"/>
          </w:tcPr>
          <w:p>
            <w:pPr>
              <w:ind w:left="140"/>
              <w:spacing w:after="0"/>
              <w:rPr>
                <w:sz w:val="20"/>
                <w:szCs w:val="20"/>
                <w:color w:val="auto"/>
              </w:rPr>
            </w:pPr>
            <w:r>
              <w:rPr>
                <w:rFonts w:ascii="Arial" w:cs="Arial" w:eastAsia="Arial" w:hAnsi="Arial"/>
                <w:sz w:val="17"/>
                <w:szCs w:val="17"/>
                <w:color w:val="0000FF"/>
              </w:rPr>
              <w:t>A</w:t>
            </w:r>
          </w:p>
        </w:tc>
        <w:tc>
          <w:tcPr>
            <w:tcW w:w="540" w:type="dxa"/>
            <w:vAlign w:val="bottom"/>
          </w:tcPr>
          <w:p>
            <w:pPr>
              <w:ind w:left="32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3"/>
                <w:szCs w:val="23"/>
                <w:color w:val="auto"/>
              </w:rPr>
            </w:pPr>
          </w:p>
        </w:tc>
        <w:tc>
          <w:tcPr>
            <w:tcW w:w="1340" w:type="dxa"/>
            <w:vAlign w:val="bottom"/>
            <w:gridSpan w:val="3"/>
          </w:tcPr>
          <w:p>
            <w:pPr>
              <w:ind w:left="280"/>
              <w:spacing w:after="0"/>
              <w:rPr>
                <w:sz w:val="20"/>
                <w:szCs w:val="20"/>
                <w:color w:val="auto"/>
              </w:rPr>
            </w:pPr>
            <w:r>
              <w:rPr>
                <w:rFonts w:ascii="Arial" w:cs="Arial" w:eastAsia="Arial" w:hAnsi="Arial"/>
                <w:sz w:val="17"/>
                <w:szCs w:val="17"/>
                <w:color w:val="0000FF"/>
              </w:rPr>
              <w:t>106,317.38</w:t>
            </w:r>
          </w:p>
        </w:tc>
        <w:tc>
          <w:tcPr>
            <w:tcW w:w="28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7"/>
                <w:szCs w:val="17"/>
                <w:color w:val="0000FF"/>
              </w:rPr>
              <w:t>Ordinary Shares</w:t>
            </w:r>
          </w:p>
        </w:tc>
        <w:tc>
          <w:tcPr>
            <w:tcW w:w="1060" w:type="dxa"/>
            <w:vAlign w:val="bottom"/>
          </w:tcPr>
          <w:p>
            <w:pPr>
              <w:spacing w:after="0"/>
              <w:rPr>
                <w:sz w:val="18"/>
                <w:szCs w:val="18"/>
                <w:color w:val="auto"/>
              </w:rPr>
            </w:pPr>
          </w:p>
        </w:tc>
        <w:tc>
          <w:tcPr>
            <w:tcW w:w="1840" w:type="dxa"/>
            <w:vAlign w:val="bottom"/>
            <w:gridSpan w:val="2"/>
            <w:vMerge w:val="restart"/>
          </w:tcPr>
          <w:p>
            <w:pPr>
              <w:ind w:left="860"/>
              <w:spacing w:after="0"/>
              <w:rPr>
                <w:sz w:val="20"/>
                <w:szCs w:val="20"/>
                <w:color w:val="auto"/>
              </w:rPr>
            </w:pPr>
            <w:r>
              <w:rPr>
                <w:rFonts w:ascii="Arial" w:cs="Arial" w:eastAsia="Arial" w:hAnsi="Arial"/>
                <w:sz w:val="17"/>
                <w:szCs w:val="17"/>
                <w:color w:val="0000FF"/>
              </w:rPr>
              <w:t>01/17/2017</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6,669.5418</w:t>
            </w:r>
          </w:p>
        </w:tc>
        <w:tc>
          <w:tcPr>
            <w:tcW w:w="38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54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18"/>
                <w:szCs w:val="18"/>
                <w:color w:val="auto"/>
              </w:rPr>
            </w:pPr>
          </w:p>
        </w:tc>
        <w:tc>
          <w:tcPr>
            <w:tcW w:w="1340" w:type="dxa"/>
            <w:vAlign w:val="bottom"/>
            <w:gridSpan w:val="3"/>
            <w:vMerge w:val="restart"/>
          </w:tcPr>
          <w:p>
            <w:pPr>
              <w:ind w:left="280"/>
              <w:spacing w:after="0"/>
              <w:rPr>
                <w:sz w:val="20"/>
                <w:szCs w:val="20"/>
                <w:color w:val="auto"/>
              </w:rPr>
            </w:pPr>
            <w:r>
              <w:rPr>
                <w:rFonts w:ascii="Arial" w:cs="Arial" w:eastAsia="Arial" w:hAnsi="Arial"/>
                <w:sz w:val="17"/>
                <w:szCs w:val="17"/>
                <w:color w:val="0000FF"/>
              </w:rPr>
              <w:t>6,669.5418</w:t>
            </w:r>
          </w:p>
        </w:tc>
        <w:tc>
          <w:tcPr>
            <w:tcW w:w="280" w:type="dxa"/>
            <w:vAlign w:val="bottom"/>
          </w:tcPr>
          <w:p>
            <w:pPr>
              <w:spacing w:after="0"/>
              <w:rPr>
                <w:sz w:val="18"/>
                <w:szCs w:val="18"/>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Qualified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6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60" w:type="dxa"/>
            <w:vAlign w:val="bottom"/>
            <w:tcBorders>
              <w:bottom w:val="single" w:sz="8" w:color="2C2C2C"/>
            </w:tcBorders>
            <w:gridSpan w:val="6"/>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40" w:type="dxa"/>
            <w:vAlign w:val="bottom"/>
            <w:gridSpan w:val="12"/>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6"/>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38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23,290</w:t>
            </w:r>
          </w:p>
        </w:tc>
        <w:tc>
          <w:tcPr>
            <w:tcW w:w="80" w:type="dxa"/>
            <w:vAlign w:val="bottom"/>
          </w:tcPr>
          <w:p>
            <w:pPr>
              <w:spacing w:after="0"/>
              <w:rPr>
                <w:sz w:val="16"/>
                <w:szCs w:val="16"/>
                <w:color w:val="auto"/>
              </w:rPr>
            </w:pPr>
          </w:p>
        </w:tc>
        <w:tc>
          <w:tcPr>
            <w:tcW w:w="720" w:type="dxa"/>
            <w:vAlign w:val="bottom"/>
            <w:gridSpan w:val="2"/>
            <w:vMerge w:val="restart"/>
          </w:tcPr>
          <w:p>
            <w:pPr>
              <w:ind w:left="220"/>
              <w:spacing w:after="0"/>
              <w:rPr>
                <w:sz w:val="20"/>
                <w:szCs w:val="20"/>
                <w:color w:val="auto"/>
              </w:rPr>
            </w:pP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4"/>
                <w:szCs w:val="4"/>
                <w:color w:val="auto"/>
              </w:rPr>
            </w:pPr>
          </w:p>
        </w:tc>
        <w:tc>
          <w:tcPr>
            <w:tcW w:w="1060" w:type="dxa"/>
            <w:vAlign w:val="bottom"/>
            <w:vMerge w:val="restart"/>
          </w:tcPr>
          <w:p>
            <w:pPr>
              <w:jc w:val="right"/>
              <w:ind w:right="138"/>
              <w:spacing w:after="0"/>
              <w:rPr>
                <w:sz w:val="20"/>
                <w:szCs w:val="20"/>
                <w:color w:val="auto"/>
              </w:rPr>
            </w:pPr>
            <w:r>
              <w:rPr>
                <w:rFonts w:ascii="Arial" w:cs="Arial" w:eastAsia="Arial" w:hAnsi="Arial"/>
                <w:sz w:val="13"/>
                <w:szCs w:val="13"/>
                <w:color w:val="0000FF"/>
              </w:rPr>
              <w:t>01/17/2017</w:t>
            </w:r>
          </w:p>
        </w:tc>
        <w:tc>
          <w:tcPr>
            <w:tcW w:w="1200" w:type="dxa"/>
            <w:vAlign w:val="bottom"/>
          </w:tcPr>
          <w:p>
            <w:pPr>
              <w:spacing w:after="0"/>
              <w:rPr>
                <w:sz w:val="4"/>
                <w:szCs w:val="4"/>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4"/>
                <w:szCs w:val="4"/>
                <w:color w:val="auto"/>
              </w:rPr>
            </w:pPr>
          </w:p>
        </w:tc>
        <w:tc>
          <w:tcPr>
            <w:tcW w:w="580" w:type="dxa"/>
            <w:vAlign w:val="bottom"/>
            <w:vMerge w:val="restart"/>
          </w:tcPr>
          <w:p>
            <w:pPr>
              <w:ind w:left="80"/>
              <w:spacing w:after="0"/>
              <w:rPr>
                <w:sz w:val="20"/>
                <w:szCs w:val="20"/>
                <w:color w:val="auto"/>
              </w:rPr>
            </w:pPr>
            <w:r>
              <w:rPr>
                <w:rFonts w:ascii="Arial" w:cs="Arial" w:eastAsia="Arial" w:hAnsi="Arial"/>
                <w:sz w:val="13"/>
                <w:szCs w:val="13"/>
                <w:color w:val="0000FF"/>
              </w:rPr>
              <w:t>23,290</w:t>
            </w:r>
          </w:p>
        </w:tc>
        <w:tc>
          <w:tcPr>
            <w:tcW w:w="3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23,290</w:t>
            </w:r>
          </w:p>
        </w:tc>
        <w:tc>
          <w:tcPr>
            <w:tcW w:w="280" w:type="dxa"/>
            <w:vAlign w:val="bottom"/>
          </w:tcPr>
          <w:p>
            <w:pPr>
              <w:spacing w:after="0"/>
              <w:rPr>
                <w:sz w:val="4"/>
                <w:szCs w:val="4"/>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gridSpan w:val="2"/>
            <w:vMerge w:val="restart"/>
          </w:tcPr>
          <w:p>
            <w:pPr>
              <w:ind w:left="60"/>
              <w:spacing w:after="0" w:line="163" w:lineRule="exact"/>
              <w:rPr>
                <w:sz w:val="20"/>
                <w:szCs w:val="20"/>
                <w:color w:val="auto"/>
              </w:rPr>
            </w:pPr>
            <w:r>
              <w:rPr>
                <w:rFonts w:ascii="Arial" w:cs="Arial" w:eastAsia="Arial" w:hAnsi="Arial"/>
                <w:sz w:val="11"/>
                <w:szCs w:val="11"/>
                <w:color w:val="0000FF"/>
              </w:rPr>
              <w:t>Shares</w:t>
            </w:r>
            <w:r>
              <w:rPr>
                <w:rFonts w:ascii="Arial" w:cs="Arial" w:eastAsia="Arial" w:hAnsi="Arial"/>
                <w:sz w:val="18"/>
                <w:szCs w:val="18"/>
                <w:color w:val="008000"/>
                <w:vertAlign w:val="superscript"/>
              </w:rPr>
              <w:t>(4)</w:t>
            </w: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8"/>
        <w:spacing w:after="0" w:line="27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Business Combination Agreement, dated as of June 14, 2016 (the "BCA"), by and among the Issuer, FMC Technologies, Inc. ("FMCTI") and Technip S.A. ("Technip"), each share of FMCTI common stock beneficially owned by the Reporting Person at the effective time of the transactions contemplated by the BCA was exchanged for 1.00 ordinary share of the Issuer.</w:t>
      </w:r>
    </w:p>
    <w:p>
      <w:pPr>
        <w:spacing w:after="0" w:line="9" w:lineRule="exact"/>
        <w:rPr>
          <w:rFonts w:ascii="Arial" w:cs="Arial" w:eastAsia="Arial" w:hAnsi="Arial"/>
          <w:sz w:val="13"/>
          <w:szCs w:val="13"/>
          <w:color w:val="008000"/>
        </w:rPr>
      </w:pPr>
    </w:p>
    <w:p>
      <w:pPr>
        <w:ind w:left="40" w:right="380" w:firstLine="8"/>
        <w:spacing w:after="0" w:line="27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Business Combination Agreement, FMCTI Phantom Stock Units were converted into an equal number of units consisting of phantom shares over an equal number of ordinary shares of the Issuer and uninvested cash balances held by the NQ Plan.</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Stock Units are payable in cash following termination or retirement of the reporting person's employment with the Issuer, or death.</w:t>
      </w:r>
    </w:p>
    <w:p>
      <w:pPr>
        <w:spacing w:after="0" w:line="52" w:lineRule="exact"/>
        <w:rPr>
          <w:rFonts w:ascii="Arial" w:cs="Arial" w:eastAsia="Arial" w:hAnsi="Arial"/>
          <w:sz w:val="13"/>
          <w:szCs w:val="13"/>
          <w:color w:val="008000"/>
        </w:rPr>
      </w:pPr>
    </w:p>
    <w:p>
      <w:pPr>
        <w:ind w:left="40" w:right="360" w:firstLine="8"/>
        <w:spacing w:after="0" w:line="27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 participant's interest in the NQ Plan is represented in units (referred to as Phantom Stock Units) which consists of phantom shares of the Issuer's ordinary shares and uninvested cash balances held by the NQ Plan.</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Lisa P. Wang, Attorney-In-Fact 01/18/2017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4358005</wp:posOffset>
            </wp:positionH>
            <wp:positionV relativeFrom="paragraph">
              <wp:posOffset>-6985</wp:posOffset>
            </wp:positionV>
            <wp:extent cx="1956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6435" cy="8255"/>
                    </a:xfrm>
                    <a:prstGeom prst="rect">
                      <a:avLst/>
                    </a:prstGeom>
                    <a:noFill/>
                  </pic:spPr>
                </pic:pic>
              </a:graphicData>
            </a:graphic>
          </wp:anchor>
        </w:drawing>
      </w:r>
    </w:p>
    <w:p>
      <w:pPr>
        <w:spacing w:after="0" w:line="6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14001"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2019-12-24T09:12:52Z</dcterms:created>
  <dcterms:modified xsi:type="dcterms:W3CDTF">2019-12-24T09:12:52Z</dcterms:modified>
</cp:coreProperties>
</file>